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color w:val="FF0000"/>
          <w:sz w:val="44"/>
          <w:szCs w:val="44"/>
          <w:lang w:val="en-US" w:eastAsia="zh-CN"/>
        </w:rPr>
      </w:pPr>
      <w:r>
        <w:rPr>
          <w:rFonts w:hint="eastAsia" w:ascii="Times New Roman" w:hAnsi="Times New Roman" w:eastAsia="方正小标宋简体" w:cs="Times New Roman"/>
          <w:sz w:val="44"/>
          <w:szCs w:val="44"/>
          <w:lang w:val="en-US" w:eastAsia="zh-CN"/>
        </w:rPr>
        <w:t>XX学院</w:t>
      </w:r>
      <w:r>
        <w:rPr>
          <w:rFonts w:hint="default" w:ascii="Times New Roman" w:hAnsi="Times New Roman" w:eastAsia="方正小标宋简体" w:cs="Times New Roman"/>
          <w:sz w:val="44"/>
          <w:szCs w:val="44"/>
          <w:lang w:val="en-US" w:eastAsia="zh-CN"/>
        </w:rPr>
        <w:t>实验</w:t>
      </w:r>
      <w:r>
        <w:rPr>
          <w:rFonts w:hint="eastAsia" w:ascii="Times New Roman" w:hAnsi="Times New Roman" w:eastAsia="方正小标宋简体" w:cs="Times New Roman"/>
          <w:sz w:val="44"/>
          <w:szCs w:val="44"/>
          <w:lang w:val="en-US" w:eastAsia="zh-CN"/>
        </w:rPr>
        <w:t>实训</w:t>
      </w:r>
      <w:r>
        <w:rPr>
          <w:rFonts w:hint="default" w:ascii="Times New Roman" w:hAnsi="Times New Roman" w:eastAsia="方正小标宋简体" w:cs="Times New Roman"/>
          <w:sz w:val="44"/>
          <w:szCs w:val="44"/>
          <w:lang w:val="en-US" w:eastAsia="zh-CN"/>
        </w:rPr>
        <w:t>室安全自查报告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黑体" w:hAnsi="黑体" w:eastAsia="黑体" w:cs="黑体"/>
          <w:sz w:val="32"/>
          <w:szCs w:val="32"/>
          <w:lang w:eastAsia="zh-CN"/>
        </w:rPr>
        <w:t>一、基本情况</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一）重点描述学院对《教育部办公厅关于组织开展2023年度高等学校实验室安全检查工作的通知》《安徽省教育厅转发教育部办公厅关于组织开展2023年度高等学校实验室安全检查工作的通知》和《学校关于组织开展2023年度实验实训室安全检查工作的通知》的宣传和落实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（二）概括学</w:t>
      </w:r>
      <w:r>
        <w:rPr>
          <w:rFonts w:hint="eastAsia" w:ascii="仿宋_GB2312" w:hAnsi="黑体" w:eastAsia="仿宋_GB2312"/>
          <w:sz w:val="32"/>
          <w:szCs w:val="32"/>
          <w:lang w:val="en-US" w:eastAsia="zh-CN"/>
        </w:rPr>
        <w:t>院</w:t>
      </w:r>
      <w:r>
        <w:rPr>
          <w:rFonts w:hint="eastAsia" w:ascii="仿宋_GB2312" w:hAnsi="黑体" w:eastAsia="仿宋_GB2312"/>
          <w:sz w:val="32"/>
          <w:szCs w:val="32"/>
          <w:lang w:eastAsia="zh-CN"/>
        </w:rPr>
        <w:t>实验</w:t>
      </w:r>
      <w:r>
        <w:rPr>
          <w:rFonts w:hint="eastAsia" w:ascii="仿宋_GB2312" w:hAnsi="黑体" w:eastAsia="仿宋_GB2312"/>
          <w:sz w:val="32"/>
          <w:szCs w:val="32"/>
          <w:lang w:val="en-US" w:eastAsia="zh-CN"/>
        </w:rPr>
        <w:t>实训</w:t>
      </w:r>
      <w:r>
        <w:rPr>
          <w:rFonts w:hint="eastAsia" w:ascii="仿宋_GB2312" w:hAnsi="黑体" w:eastAsia="仿宋_GB2312"/>
          <w:sz w:val="32"/>
          <w:szCs w:val="32"/>
          <w:lang w:eastAsia="zh-CN"/>
        </w:rPr>
        <w:t>室数量、位置、类别、基本配置、管理机制等基础情况。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黑体" w:hAnsi="黑体" w:eastAsia="黑体" w:cs="黑体"/>
          <w:sz w:val="32"/>
          <w:szCs w:val="32"/>
          <w:lang w:eastAsia="zh-CN"/>
        </w:rPr>
        <w:t>二、安全检查主要任务自查情况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黑体" w:eastAsia="仿宋_GB2312"/>
          <w:sz w:val="32"/>
          <w:szCs w:val="32"/>
          <w:lang w:eastAsia="zh-CN"/>
        </w:rPr>
      </w:pPr>
      <w:r>
        <w:rPr>
          <w:rFonts w:hint="eastAsia" w:ascii="仿宋_GB2312" w:hAnsi="黑体" w:eastAsia="仿宋_GB2312"/>
          <w:sz w:val="32"/>
          <w:szCs w:val="32"/>
          <w:lang w:eastAsia="zh-CN"/>
        </w:rPr>
        <w:t>（一）说明学</w:t>
      </w:r>
      <w:r>
        <w:rPr>
          <w:rFonts w:hint="eastAsia" w:ascii="仿宋_GB2312" w:hAnsi="黑体" w:eastAsia="仿宋_GB2312"/>
          <w:sz w:val="32"/>
          <w:szCs w:val="32"/>
          <w:lang w:val="en-US" w:eastAsia="zh-CN"/>
        </w:rPr>
        <w:t>院</w:t>
      </w:r>
      <w:r>
        <w:rPr>
          <w:rFonts w:hint="eastAsia" w:ascii="仿宋_GB2312" w:hAnsi="黑体" w:eastAsia="仿宋_GB2312"/>
          <w:sz w:val="32"/>
          <w:szCs w:val="32"/>
          <w:lang w:eastAsia="zh-CN"/>
        </w:rPr>
        <w:t>开展自查工作的具体举措。</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黑体" w:eastAsia="仿宋_GB2312"/>
          <w:sz w:val="32"/>
          <w:szCs w:val="32"/>
          <w:lang w:eastAsia="zh-CN"/>
        </w:rPr>
      </w:pPr>
      <w:r>
        <w:rPr>
          <w:rFonts w:hint="eastAsia" w:ascii="仿宋_GB2312" w:hAnsi="黑体" w:eastAsia="仿宋_GB2312"/>
          <w:sz w:val="32"/>
          <w:szCs w:val="32"/>
          <w:lang w:eastAsia="zh-CN"/>
        </w:rPr>
        <w:t>（二）根据《高等学校实验室安全检查项目表（2023年）》要求，主要从责任体系、规章制度、教育培训、安全准入、安全检查、实验场所、安全设施、基础安全等方面体现实验室安全落实情况。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黑体" w:eastAsia="仿宋_GB2312"/>
          <w:sz w:val="32"/>
          <w:szCs w:val="32"/>
          <w:lang w:eastAsia="zh-CN"/>
        </w:rPr>
      </w:pPr>
      <w:r>
        <w:rPr>
          <w:rFonts w:hint="eastAsia" w:ascii="仿宋_GB2312" w:hAnsi="黑体" w:eastAsia="仿宋_GB2312"/>
          <w:sz w:val="32"/>
          <w:szCs w:val="32"/>
          <w:lang w:eastAsia="zh-CN"/>
        </w:rPr>
        <w:t>（三）开展危险化学品安全宣传进校园等危化品相关政策法规和知识普及宣传，开展危险化学品安全排查，确保依法依规采购、管理和使用危险化学品的相关情况。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Cs/>
          <w:color w:val="000000" w:themeColor="text1"/>
          <w:sz w:val="32"/>
          <w:szCs w:val="32"/>
          <w:lang w:eastAsia="zh-CN"/>
          <w14:textFill>
            <w14:solidFill>
              <w14:schemeClr w14:val="tx1"/>
            </w14:solidFill>
          </w14:textFill>
        </w:rPr>
      </w:pPr>
      <w:r>
        <w:rPr>
          <w:rFonts w:hint="eastAsia" w:ascii="黑体" w:hAnsi="黑体" w:eastAsia="黑体" w:cs="黑体"/>
          <w:sz w:val="32"/>
          <w:szCs w:val="32"/>
          <w:lang w:eastAsia="zh-CN"/>
        </w:rPr>
        <w:t>三、</w:t>
      </w:r>
      <w:r>
        <w:rPr>
          <w:rFonts w:hint="eastAsia" w:ascii="黑体" w:hAnsi="黑体" w:eastAsia="黑体" w:cs="黑体"/>
          <w:bCs/>
          <w:color w:val="000000" w:themeColor="text1"/>
          <w:sz w:val="32"/>
          <w:szCs w:val="32"/>
          <w:lang w:eastAsia="zh-CN"/>
          <w14:textFill>
            <w14:solidFill>
              <w14:schemeClr w14:val="tx1"/>
            </w14:solidFill>
          </w14:textFill>
        </w:rPr>
        <w:t>存在的问题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color w:val="auto"/>
          <w:sz w:val="32"/>
          <w:szCs w:val="32"/>
          <w:lang w:val="en-US" w:eastAsia="zh-CN"/>
        </w:rPr>
        <w:t>要根据</w:t>
      </w:r>
      <w:r>
        <w:rPr>
          <w:rFonts w:hint="eastAsia" w:ascii="Times New Roman" w:hAnsi="Times New Roman" w:eastAsia="仿宋_GB2312" w:cs="Times New Roman"/>
          <w:sz w:val="32"/>
          <w:szCs w:val="32"/>
          <w:lang w:eastAsia="zh-CN"/>
        </w:rPr>
        <w:t>教育部和省教育厅文件逐项对照检查，全面梳理存在的问题和不足，上报问题数量，逐一说明存在隐患的风险点具体情况。</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Cs/>
          <w:color w:val="000000" w:themeColor="text1"/>
          <w:sz w:val="32"/>
          <w:szCs w:val="32"/>
          <w:lang w:eastAsia="zh-CN"/>
          <w14:textFill>
            <w14:solidFill>
              <w14:schemeClr w14:val="tx1"/>
            </w14:solidFill>
          </w14:textFill>
        </w:rPr>
      </w:pPr>
      <w:r>
        <w:rPr>
          <w:rFonts w:hint="eastAsia" w:ascii="黑体" w:hAnsi="黑体" w:eastAsia="黑体" w:cs="黑体"/>
          <w:bCs/>
          <w:color w:val="000000" w:themeColor="text1"/>
          <w:sz w:val="32"/>
          <w:szCs w:val="32"/>
          <w:lang w:eastAsia="zh-CN"/>
          <w14:textFill>
            <w14:solidFill>
              <w14:schemeClr w14:val="tx1"/>
            </w14:solidFill>
          </w14:textFill>
        </w:rPr>
        <w:t>下一步工作举措或整改措施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针对问题列明整改措施，明确责任人和整改时限。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附表：</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***学院实验实训室安全隐患台账</w:t>
      </w:r>
    </w:p>
    <w:p>
      <w:pPr>
        <w:keepNext w:val="0"/>
        <w:keepLines w:val="0"/>
        <w:pageBreakBefore w:val="0"/>
        <w:widowControl w:val="0"/>
        <w:kinsoku/>
        <w:wordWrap/>
        <w:overflowPunct/>
        <w:topLinePunct w:val="0"/>
        <w:autoSpaceDE/>
        <w:autoSpaceDN/>
        <w:bidi w:val="0"/>
        <w:adjustRightInd/>
        <w:snapToGrid/>
        <w:spacing w:line="580" w:lineRule="exact"/>
        <w:ind w:firstLine="482" w:firstLineChars="200"/>
        <w:jc w:val="center"/>
        <w:textAlignment w:val="auto"/>
        <w:rPr>
          <w:rFonts w:hint="default" w:ascii="Times New Roman" w:hAnsi="Times New Roman" w:eastAsia="仿宋_GB2312" w:cs="Times New Roman"/>
          <w:b/>
          <w:bCs/>
          <w:sz w:val="24"/>
          <w:szCs w:val="24"/>
          <w:lang w:val="en-US" w:eastAsia="zh-CN"/>
        </w:rPr>
      </w:pPr>
      <w:r>
        <w:rPr>
          <w:rFonts w:hint="eastAsia" w:ascii="Times New Roman" w:hAnsi="Times New Roman" w:eastAsia="仿宋_GB2312" w:cs="Times New Roman"/>
          <w:b/>
          <w:bCs/>
          <w:sz w:val="24"/>
          <w:szCs w:val="24"/>
          <w:lang w:val="en-US" w:eastAsia="zh-CN"/>
        </w:rPr>
        <w:t xml:space="preserve">                               填表时间：</w:t>
      </w:r>
    </w:p>
    <w:tbl>
      <w:tblPr>
        <w:tblStyle w:val="7"/>
        <w:tblW w:w="8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16"/>
        <w:gridCol w:w="2725"/>
        <w:gridCol w:w="2102"/>
        <w:gridCol w:w="1611"/>
        <w:gridCol w:w="1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16"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r>
              <w:rPr>
                <w:rFonts w:hint="eastAsia" w:ascii="仿宋_GB2312" w:hAnsi="仿宋" w:eastAsia="仿宋_GB2312" w:cs="仿宋"/>
                <w:color w:val="000000"/>
                <w:sz w:val="24"/>
                <w:szCs w:val="24"/>
                <w:vertAlign w:val="baseline"/>
                <w:lang w:val="en-US" w:eastAsia="zh-CN"/>
              </w:rPr>
              <w:t>序号</w:t>
            </w:r>
          </w:p>
        </w:tc>
        <w:tc>
          <w:tcPr>
            <w:tcW w:w="2725"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r>
              <w:rPr>
                <w:rFonts w:hint="eastAsia" w:ascii="仿宋_GB2312" w:hAnsi="仿宋" w:eastAsia="仿宋_GB2312" w:cs="仿宋"/>
                <w:color w:val="000000"/>
                <w:sz w:val="24"/>
                <w:szCs w:val="24"/>
                <w:vertAlign w:val="baseline"/>
                <w:lang w:val="en-US" w:eastAsia="zh-CN"/>
              </w:rPr>
              <w:t>风险隐患</w:t>
            </w:r>
          </w:p>
        </w:tc>
        <w:tc>
          <w:tcPr>
            <w:tcW w:w="2102"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r>
              <w:rPr>
                <w:rFonts w:hint="eastAsia" w:ascii="仿宋_GB2312" w:hAnsi="仿宋" w:eastAsia="仿宋_GB2312" w:cs="仿宋"/>
                <w:color w:val="000000"/>
                <w:sz w:val="24"/>
                <w:szCs w:val="24"/>
                <w:vertAlign w:val="baseline"/>
                <w:lang w:val="en-US" w:eastAsia="zh-CN"/>
              </w:rPr>
              <w:t>整改措施</w:t>
            </w:r>
          </w:p>
        </w:tc>
        <w:tc>
          <w:tcPr>
            <w:tcW w:w="1611"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r>
              <w:rPr>
                <w:rFonts w:hint="eastAsia" w:ascii="仿宋_GB2312" w:hAnsi="仿宋" w:eastAsia="仿宋_GB2312" w:cs="仿宋"/>
                <w:color w:val="000000"/>
                <w:sz w:val="24"/>
                <w:szCs w:val="24"/>
                <w:vertAlign w:val="baseline"/>
                <w:lang w:val="en-US" w:eastAsia="zh-CN"/>
              </w:rPr>
              <w:t>责任人</w:t>
            </w:r>
          </w:p>
        </w:tc>
        <w:tc>
          <w:tcPr>
            <w:tcW w:w="1499"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r>
              <w:rPr>
                <w:rFonts w:hint="eastAsia" w:ascii="仿宋_GB2312" w:hAnsi="仿宋" w:eastAsia="仿宋_GB2312" w:cs="仿宋"/>
                <w:color w:val="000000"/>
                <w:sz w:val="24"/>
                <w:szCs w:val="24"/>
                <w:vertAlign w:val="baseline"/>
                <w:lang w:val="en-US" w:eastAsia="zh-CN"/>
              </w:rPr>
              <w:t>整改时限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16"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2725"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2102"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1611"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1499"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16"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2725"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2102"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1611"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1499"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16"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2725"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2102"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1611"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c>
          <w:tcPr>
            <w:tcW w:w="1499" w:type="dxa"/>
          </w:tcPr>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hint="default" w:ascii="仿宋_GB2312" w:hAnsi="仿宋" w:eastAsia="仿宋_GB2312" w:cs="仿宋"/>
                <w:color w:val="000000"/>
                <w:sz w:val="24"/>
                <w:szCs w:val="24"/>
                <w:vertAlign w:val="baseline"/>
                <w:lang w:val="en-US" w:eastAsia="zh-CN"/>
              </w:rPr>
            </w:pPr>
          </w:p>
        </w:tc>
      </w:tr>
    </w:tbl>
    <w:p>
      <w:pPr>
        <w:keepNext w:val="0"/>
        <w:keepLines w:val="0"/>
        <w:pageBreakBefore w:val="0"/>
        <w:widowControl w:val="0"/>
        <w:kinsoku/>
        <w:overflowPunct/>
        <w:topLinePunct w:val="0"/>
        <w:autoSpaceDE/>
        <w:autoSpaceDN/>
        <w:bidi w:val="0"/>
        <w:adjustRightInd/>
        <w:snapToGrid/>
        <w:spacing w:line="580" w:lineRule="exact"/>
        <w:ind w:firstLine="640" w:firstLineChars="200"/>
        <w:jc w:val="center"/>
        <w:textAlignment w:val="auto"/>
        <w:rPr>
          <w:rFonts w:hint="default" w:ascii="仿宋_GB2312" w:hAnsi="仿宋" w:eastAsia="仿宋_GB2312" w:cs="仿宋"/>
          <w:color w:val="000000"/>
          <w:sz w:val="32"/>
          <w:szCs w:val="32"/>
          <w:lang w:val="en-US" w:eastAsia="zh-CN"/>
        </w:rPr>
      </w:pPr>
    </w:p>
    <w:sectPr>
      <w:footerReference r:id="rId3" w:type="default"/>
      <w:pgSz w:w="11906" w:h="16838"/>
      <w:pgMar w:top="2098" w:right="1474" w:bottom="1984"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4F0068"/>
    <w:multiLevelType w:val="singleLevel"/>
    <w:tmpl w:val="E74F006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CE52CA"/>
    <w:rsid w:val="01A95BC9"/>
    <w:rsid w:val="01C07023"/>
    <w:rsid w:val="081A4E7C"/>
    <w:rsid w:val="093B4730"/>
    <w:rsid w:val="0A67612A"/>
    <w:rsid w:val="0D5E39A1"/>
    <w:rsid w:val="0D9644DB"/>
    <w:rsid w:val="0E537CEA"/>
    <w:rsid w:val="0F765467"/>
    <w:rsid w:val="0FD94F80"/>
    <w:rsid w:val="114739BC"/>
    <w:rsid w:val="11504027"/>
    <w:rsid w:val="14B73097"/>
    <w:rsid w:val="156353DE"/>
    <w:rsid w:val="189A28E1"/>
    <w:rsid w:val="198B67EC"/>
    <w:rsid w:val="19B030B5"/>
    <w:rsid w:val="1A570DAB"/>
    <w:rsid w:val="1A765BE2"/>
    <w:rsid w:val="1BBA411F"/>
    <w:rsid w:val="1DAC168E"/>
    <w:rsid w:val="1DCB6DB0"/>
    <w:rsid w:val="1EC36B9F"/>
    <w:rsid w:val="20245A0B"/>
    <w:rsid w:val="210902CD"/>
    <w:rsid w:val="22E018F8"/>
    <w:rsid w:val="23361E7E"/>
    <w:rsid w:val="256A220C"/>
    <w:rsid w:val="27152358"/>
    <w:rsid w:val="27674691"/>
    <w:rsid w:val="28795980"/>
    <w:rsid w:val="2A982EF1"/>
    <w:rsid w:val="2D672E00"/>
    <w:rsid w:val="2DF823FE"/>
    <w:rsid w:val="2E746C21"/>
    <w:rsid w:val="2ECE52CA"/>
    <w:rsid w:val="30027716"/>
    <w:rsid w:val="30557114"/>
    <w:rsid w:val="31497BDA"/>
    <w:rsid w:val="31747128"/>
    <w:rsid w:val="32010582"/>
    <w:rsid w:val="32527532"/>
    <w:rsid w:val="34395576"/>
    <w:rsid w:val="35D5039A"/>
    <w:rsid w:val="38E7123D"/>
    <w:rsid w:val="3AD42F2E"/>
    <w:rsid w:val="3B204F35"/>
    <w:rsid w:val="3C6C20F3"/>
    <w:rsid w:val="3E940C5B"/>
    <w:rsid w:val="3F466D4E"/>
    <w:rsid w:val="3FC54393"/>
    <w:rsid w:val="40010E84"/>
    <w:rsid w:val="408B3279"/>
    <w:rsid w:val="417B5564"/>
    <w:rsid w:val="44E41D7C"/>
    <w:rsid w:val="45BB01EA"/>
    <w:rsid w:val="4A575076"/>
    <w:rsid w:val="4A7C1001"/>
    <w:rsid w:val="4D255987"/>
    <w:rsid w:val="4E5D7AD7"/>
    <w:rsid w:val="4E850AF3"/>
    <w:rsid w:val="4E982C08"/>
    <w:rsid w:val="544F3C1F"/>
    <w:rsid w:val="54BC26A7"/>
    <w:rsid w:val="56D55195"/>
    <w:rsid w:val="5AA80C0B"/>
    <w:rsid w:val="5C9C21E0"/>
    <w:rsid w:val="5DF01552"/>
    <w:rsid w:val="5F787544"/>
    <w:rsid w:val="60543025"/>
    <w:rsid w:val="619349D3"/>
    <w:rsid w:val="61F63991"/>
    <w:rsid w:val="63853199"/>
    <w:rsid w:val="653E54D3"/>
    <w:rsid w:val="683F7C3B"/>
    <w:rsid w:val="690D2488"/>
    <w:rsid w:val="697D2861"/>
    <w:rsid w:val="6DB77B1D"/>
    <w:rsid w:val="721C0FBA"/>
    <w:rsid w:val="7250721D"/>
    <w:rsid w:val="734D1541"/>
    <w:rsid w:val="73E7380B"/>
    <w:rsid w:val="77177232"/>
    <w:rsid w:val="788972BD"/>
    <w:rsid w:val="7A03692A"/>
    <w:rsid w:val="7A576002"/>
    <w:rsid w:val="7ABE5E98"/>
    <w:rsid w:val="7BC05D87"/>
    <w:rsid w:val="7C2758A3"/>
    <w:rsid w:val="7DB75029"/>
    <w:rsid w:val="7EC01DA8"/>
    <w:rsid w:val="7ED1067F"/>
    <w:rsid w:val="DFFAD6FC"/>
    <w:rsid w:val="EEB5166E"/>
    <w:rsid w:val="EFFEE5BA"/>
    <w:rsid w:val="F535F5B6"/>
    <w:rsid w:val="FDD35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qFormat/>
    <w:uiPriority w:val="0"/>
    <w:rPr>
      <w:color w:val="444444"/>
      <w:sz w:val="18"/>
      <w:szCs w:val="18"/>
      <w:u w:val="none"/>
    </w:rPr>
  </w:style>
  <w:style w:type="character" w:styleId="10">
    <w:name w:val="Hyperlink"/>
    <w:basedOn w:val="8"/>
    <w:qFormat/>
    <w:uiPriority w:val="0"/>
    <w:rPr>
      <w:color w:val="444444"/>
      <w:sz w:val="18"/>
      <w:szCs w:val="18"/>
      <w:u w:val="none"/>
    </w:rPr>
  </w:style>
  <w:style w:type="paragraph" w:styleId="11">
    <w:name w:val="List Paragraph"/>
    <w:basedOn w:val="1"/>
    <w:qFormat/>
    <w:uiPriority w:val="34"/>
    <w:pPr>
      <w:ind w:firstLine="420" w:firstLineChars="200"/>
    </w:pPr>
  </w:style>
  <w:style w:type="character" w:customStyle="1" w:styleId="12">
    <w:name w:val="legend"/>
    <w:basedOn w:val="8"/>
    <w:qFormat/>
    <w:uiPriority w:val="0"/>
    <w:rPr>
      <w:rFonts w:ascii="Arial" w:hAnsi="Arial" w:cs="Arial"/>
      <w:b/>
      <w:bCs/>
      <w:color w:val="73B304"/>
      <w:sz w:val="21"/>
      <w:szCs w:val="21"/>
      <w:shd w:val="clear" w:fill="FFFFFF"/>
    </w:rPr>
  </w:style>
  <w:style w:type="character" w:customStyle="1" w:styleId="13">
    <w:name w:val="ui-icon36"/>
    <w:basedOn w:val="8"/>
    <w:qFormat/>
    <w:uiPriority w:val="0"/>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2021-03-05T10:40:00Z</dcterms:created>
  <dc:creator>edu</dc:creator>
  <cp:lastModifiedBy>疏国会</cp:lastModifiedBy>
  <cp:lastPrinted>2022-03-01T09:07:00Z</cp:lastPrinted>
  <dcterms:modified xsi:type="dcterms:W3CDTF">2023-04-22T07:43:17Z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C6E87B36BC04E043C1BB3C6415137712</vt:lpwstr>
  </property>
</Properties>
</file>