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numPr>
          <w:numId w:val="0"/>
        </w:numPr>
        <w:spacing w:before="100" w:after="100"/>
        <w:ind w:leftChars="0"/>
        <w:jc w:val="center"/>
        <w:outlineLvl w:val="0"/>
        <w:rPr>
          <w:rFonts w:ascii="宋体" w:hAnsi="宋体" w:eastAsia="宋体" w:cs="宋体"/>
          <w:b/>
          <w:bCs/>
          <w:color w:val="000000"/>
        </w:rPr>
      </w:pPr>
      <w:bookmarkStart w:id="2" w:name="_GoBack"/>
      <w:bookmarkEnd w:id="2"/>
      <w:bookmarkStart w:id="0" w:name="_Toc18076"/>
      <w:bookmarkStart w:id="1" w:name="_Toc4481598"/>
      <w:r>
        <w:rPr>
          <w:rFonts w:hint="eastAsia" w:ascii="Times New Roman" w:hAnsi="Times New Roman" w:eastAsia="宋体" w:cs="Times New Roman"/>
          <w:b/>
          <w:bCs/>
          <w:color w:val="000000"/>
          <w:kern w:val="44"/>
          <w:sz w:val="32"/>
          <w:szCs w:val="44"/>
          <w:lang w:val="en-US" w:eastAsia="zh-CN" w:bidi="ar-SA"/>
        </w:rPr>
        <w:t>服务需求及技术要求</w:t>
      </w:r>
      <w:bookmarkEnd w:id="0"/>
      <w:bookmarkEnd w:id="1"/>
    </w:p>
    <w:p>
      <w:pPr>
        <w:suppressAutoHyphens w:val="0"/>
        <w:bidi w:val="0"/>
        <w:spacing w:beforeLines="0" w:beforeAutospacing="0" w:afterLines="0" w:afterAutospacing="0"/>
        <w:rPr>
          <w:rFonts w:ascii="宋体" w:hAnsi="宋体" w:eastAsia="宋体" w:cs="宋体"/>
          <w:b/>
          <w:bCs/>
          <w:color w:val="000000"/>
        </w:rPr>
      </w:pPr>
      <w:r>
        <w:rPr>
          <w:rFonts w:ascii="宋体" w:hAnsi="宋体" w:eastAsia="宋体" w:cs="宋体"/>
          <w:b/>
          <w:bCs/>
          <w:color w:val="000000"/>
        </w:rPr>
        <w:t>一、服务需求及技术要求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安庆职业技术学院“双创”中心一楼门面招租现场示意图如下：</w:t>
      </w:r>
    </w:p>
    <w:tbl>
      <w:tblPr>
        <w:tblStyle w:val="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68"/>
        <w:gridCol w:w="1068"/>
        <w:gridCol w:w="1068"/>
        <w:gridCol w:w="1068"/>
        <w:gridCol w:w="1068"/>
        <w:gridCol w:w="907"/>
        <w:gridCol w:w="907"/>
        <w:gridCol w:w="90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西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北8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北7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北6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北5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北4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北1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通讯运营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31.5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m²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通讯运营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31.5m²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通讯运营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31.5m²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文印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31.5m²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水果经营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31.5m²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超市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31.5*3=94.5m²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061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南7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南6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南5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南2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leftChars="0" w:right="0" w:hanging="357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南1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理发店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42.32m²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电子产品42.32m²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超市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42.32*3=126.96m²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超市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42.32+50.4=92.72m²</w:t>
            </w: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 w:val="0"/>
              <w:bidi w:val="0"/>
              <w:spacing w:before="0" w:beforeLines="0" w:beforeAutospacing="1" w:after="0" w:afterLines="0" w:afterAutospacing="1" w:line="440" w:lineRule="exact"/>
              <w:ind w:left="357" w:right="0" w:hanging="35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numPr>
          <w:ilvl w:val="0"/>
          <w:numId w:val="0"/>
        </w:numPr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二、租金底价：</w:t>
      </w:r>
    </w:p>
    <w:tbl>
      <w:tblPr>
        <w:tblStyle w:val="2"/>
        <w:tblpPr w:leftFromText="180" w:rightFromText="180" w:vertAnchor="text" w:horzAnchor="page" w:tblpXSpec="center" w:tblpY="189"/>
        <w:tblOverlap w:val="never"/>
        <w:tblW w:w="8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39"/>
        <w:gridCol w:w="1139"/>
        <w:gridCol w:w="1139"/>
        <w:gridCol w:w="1139"/>
        <w:gridCol w:w="1528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坐落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经营类别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（㎡）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年租金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（元/㎡）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年租金总额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北1-北3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南1-南2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71765.28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南3-南5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126.96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98267.04</w:t>
            </w:r>
          </w:p>
        </w:tc>
      </w:tr>
    </w:tbl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420" w:firstLineChars="200"/>
        <w:jc w:val="left"/>
        <w:textAlignment w:val="auto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投标人的竞租报价不得低于上述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年租金总额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，否则按无效报价处理。投标人对租金底价须无条件响应，否则按无效报价处理。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420" w:firstLineChars="200"/>
        <w:jc w:val="left"/>
        <w:textAlignment w:val="auto"/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租赁期限：</w:t>
      </w:r>
      <w:r>
        <w:rPr>
          <w:rFonts w:ascii="宋体" w:hAnsi="宋体" w:eastAsia="宋体" w:cs="宋体"/>
          <w:color w:val="auto"/>
          <w:kern w:val="0"/>
          <w:sz w:val="21"/>
          <w:szCs w:val="21"/>
          <w:lang w:val="en-US" w:eastAsia="zh-CN" w:bidi="ar-SA"/>
        </w:rPr>
        <w:t>一年（经招标人验收合格，且在租期内，未出现较大事故或造成较大经济损失的，同时经招标人考核结果为良好及以上等次可续签一年，最多可续签两次）。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具体起止日期在《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经营合同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》中约定。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三、招标要求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1、履约保证金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420" w:firstLineChars="200"/>
        <w:jc w:val="left"/>
        <w:textAlignment w:val="auto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1）在经营过程中出现各类突发事件（如食品安全事件、意外伤害事件等）时，学校有权使用履约保证金先行支付相关费用；如因此造成的损失超过突发事件履约保证金金额，中标人应按学校要求及时补足。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2）在合同终止和解除时，中标人必须保证招标人投资的设施设备完好无损，中标人在已完全承担全部经营与法律责任（如经济、劳工、合约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纠纷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、赔偿责任等）后，招标人将全额返还履约保证金（不计利息）。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3）中标人不得转包，其委派的经营门店负责人在中标后和经营期间不得更换，并进行书面承诺，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否则招标人有权单方面解除合同，取消中标人的租赁经营权，履约保证金不予退还。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2、费用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1）中标人从收到中标通知书日起，至签订合同前，需一次性缴纳全年租金，招标人凭收款票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据办理经营门店用房交接手续、签订合同。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2）水、电独立装表计量，费用按安庆市有关规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定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缴纳给招标人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，并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由中标人</w:t>
      </w:r>
      <w:r>
        <w:rPr>
          <w:rFonts w:ascii="宋体" w:hAnsi="宋体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t>承担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卫生防疫等相关费用。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3）建议采用使用招标人提供的一卡通支付系统（为唯一支付方式），全部经营收入存入一卡通专用账户，每个月初按照招标人的要求统一结算上个月的营业额。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3、安全卫生管理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中标人为经营门店的卫生、防火、防盗、防食物中毒、卫生防疫等责任人，对相应工作负有全部组织和管理义务。</w:t>
      </w:r>
    </w:p>
    <w:p>
      <w:pPr>
        <w:widowControl/>
        <w:numPr>
          <w:ilvl w:val="0"/>
          <w:numId w:val="1"/>
        </w:numPr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中标人必须自行做好安全、防盜、防火、食品卫生、卫生防疫等工作，维护好消防设施，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定期检査消防器材，如发生失窃、火灾、食物中毒等事故，造成的一切损失均由中标人自行承担。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发现消防器材过期、失效须及时向招标人报告更换。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2）严格执行《中华人民共和国食品安全法》，所有员工都要经过卫生防疫部门的体检、办理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有效的健康证才能上岗。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3）食品经营者采购食品，应当查验供货者的许可证和食品出厂检验合格证或者其他合格证明；同时应当建立食品进货查验记录制度，如实记录食品的名称、规格、数量、生产日期或者生产批号、保质期、进货日期以及供货者名称、地址、联系方式等内容，并保存相关凭证。记录和凭证保存期限应当符合本法第五十条第二款的规定。建立档案，接受监督检查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4）负责落实各经营范围内及招标人指定区域的卫生工作（含周边环境、下水、厕所等)，建立和健全一整套经营管理、卫生和安全管理制度。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5）中标人必须接受招标人、政府相关职能部门的监督检査和管理，积极配合招标人管理部门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开展工作，自觉接受对食品采购、卫生消毒、供应价格、服务规范、卫生防疫等方面的全方位监控。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5、经营管理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中标单位从事的一切经营活动必须严格执行合同约定，严格遵守各项法律法规及学校制定的一切管理制度。努力创造良好的购物环境，提供优质的服务。</w:t>
      </w:r>
    </w:p>
    <w:p>
      <w:pPr>
        <w:widowControl/>
        <w:numPr>
          <w:ilvl w:val="0"/>
          <w:numId w:val="2"/>
        </w:numPr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>经营项目不得超出营业执照规定的经营范围，同时根据招标人的实际需求在签订合同时约定具体的经营项目，经营项目调整需经投标方批准，否则视为中标方违约。经营范围见下表</w:t>
      </w:r>
    </w:p>
    <w:tbl>
      <w:tblPr>
        <w:tblStyle w:val="2"/>
        <w:tblpPr w:leftFromText="180" w:rightFromText="180" w:vertAnchor="text" w:horzAnchor="page" w:tblpX="1339" w:tblpY="173"/>
        <w:tblOverlap w:val="never"/>
        <w:tblW w:w="9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19"/>
        <w:gridCol w:w="4658"/>
        <w:gridCol w:w="2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门店类别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日用百货、文体用品、食品、粮油、饮料、家电、鞋帽、水果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禁售管制刀具、床上用品、半成品食品、易燃易爆物品；禁止向学生销售烟酒（电子烟）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日用百货、文体用品、食品、粮油、饮料、家电、鞋帽、水果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禁售管制刀具、床上用品、半成品食品、易燃易爆物品；禁止向学生销售烟酒（电子烟）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日用百货、文体用品、食品、粮油、饮料、家电、鞋帽、水果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hi-I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禁售管制刀具、床上用品、半成品食品、易燃易爆物品；禁止向学生销售烟酒（电子烟）</w:t>
            </w:r>
          </w:p>
        </w:tc>
      </w:tr>
    </w:tbl>
    <w:p>
      <w:pPr>
        <w:widowControl/>
        <w:numPr>
          <w:ilvl w:val="0"/>
          <w:numId w:val="2"/>
        </w:numPr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货物销售明码标价，工作人员服务程序操作规范，文明用语、礼貌服务、热情、周到、便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捷。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3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）定期主动了解服务对象的要求，调査购物人员满意程度。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4</w:t>
      </w: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）接受招标人民主监督，对其提出的改进意见中标人有义务予以改进。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6、设施管理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1）经营门店的公共设施、设备由招标人负责登记造册，办理资产交接手续，交由中标人经营管理。凡经营门店的公共设施、设备人为损坏、丢失的，均由中标人按价赔偿。中标人负责经营门店所有设施设备的管理与维护，保证设备完好率、维修及时率100%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2）合同终止和解除后，中标人必须保证所有设施设备的完好，否则，招标人将从履约保证金中扣除相应损失和修理费用。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3）中标人经招标人同意后在不改变经营门店总体结构的情况下，根据实际经营需要进行装饰装修，期间产生的费用由中标人自理。合同期满，中标人装修（不可移动部分）无偿归招标人所有，设备（可移动部分）自行处置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4）经营门店员工住宿安排及费用由中标人负责。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7、经营指标控制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投标人需承诺接受招标人定期或不定期对超市经营商品价格、质量、服务进行测评。其中超市物价将参照当地口碑较好的商超价格（具体参照哪家商超将在合同中约定）（即学校超市同类物品价格不得高于该商超价格）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8、风险责任承诺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中标人必须对自主经营风险承担全部的后果，并对有关卫生安全责任做出明确的承诺。</w:t>
      </w:r>
    </w:p>
    <w:p>
      <w:pPr>
        <w:widowControl/>
        <w:numPr>
          <w:ilvl w:val="0"/>
          <w:numId w:val="3"/>
        </w:numPr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中标人要按投标文件中的条款和双方签订的《超市租赁经营管理合同书》规定，承担全部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的安全、卫生、质量、效益、风险等责任。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ind w:firstLine="420" w:firstLineChars="200"/>
        <w:jc w:val="left"/>
        <w:rPr>
          <w:rFonts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2）中标人在经营过程中与外界发生的一切债权、债务等纠纷与招标人无关。</w:t>
      </w:r>
    </w:p>
    <w:p>
      <w:pPr>
        <w:widowControl/>
        <w:suppressAutoHyphens w:val="0"/>
        <w:bidi w:val="0"/>
        <w:spacing w:beforeLines="0" w:beforeAutospacing="0" w:afterLines="0" w:afterAutospacing="0" w:line="500" w:lineRule="exact"/>
        <w:jc w:val="left"/>
        <w:rPr>
          <w:rFonts w:ascii="宋体" w:hAnsi="宋体" w:eastAsia="宋体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四、对意向承租方的基本要求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00" w:lineRule="exact"/>
        <w:ind w:firstLine="420" w:firstLineChars="200"/>
        <w:jc w:val="left"/>
        <w:textAlignment w:val="auto"/>
        <w:rPr>
          <w:rFonts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凡具有完全民事行为能力，无不良记录的境内企事业法人、个体工商户（法律另有规定除外），均可参与竞租。</w:t>
      </w:r>
    </w:p>
    <w:p>
      <w:pPr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</w:rPr>
        <w:t>、验收</w:t>
      </w:r>
    </w:p>
    <w:p>
      <w:pPr>
        <w:widowControl/>
        <w:spacing w:line="500" w:lineRule="exact"/>
        <w:ind w:firstLine="420" w:firstLineChars="200"/>
        <w:jc w:val="left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  <w:szCs w:val="21"/>
        </w:rPr>
        <w:t>中标人和招标人双方依据项目内容和进度共同实施验收工作，验收结果和验收报告经双方确认后生效。</w:t>
      </w:r>
    </w:p>
    <w:p>
      <w:pPr>
        <w:spacing w:line="360" w:lineRule="auto"/>
        <w:ind w:firstLine="420" w:firstLineChars="200"/>
        <w:rPr>
          <w:rFonts w:ascii="宋体" w:hAnsi="宋体" w:eastAsia="宋体" w:cs="Times New Roman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decimal"/>
      <w:suff w:val="nothing"/>
      <w:lvlText w:val="%1）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suff w:val="nothing"/>
      <w:lvlText w:val="%1）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72183CF9"/>
    <w:multiLevelType w:val="multilevel"/>
    <w:tmpl w:val="72183CF9"/>
    <w:lvl w:ilvl="0" w:tentative="0">
      <w:start w:val="1"/>
      <w:numFmt w:val="decimal"/>
      <w:suff w:val="nothing"/>
      <w:lvlText w:val="%1）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YTA2NWVlMjZiZWExNDM3NWU0MmQ0N2Q1MmJiZDcifQ=="/>
  </w:docVars>
  <w:rsids>
    <w:rsidRoot w:val="10DC44E9"/>
    <w:rsid w:val="10D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2023-01-05T06:57:00Z</dcterms:created>
  <dc:creator>随便</dc:creator>
  <cp:lastModifiedBy>随便</cp:lastModifiedBy>
  <dcterms:modified xsi:type="dcterms:W3CDTF">2023-01-05T06:58:48Z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4CAB435ABDF9415997122E74612F162C</vt:lpwstr>
  </property>
</Properties>
</file>