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000000"/>
          <w:sz w:val="48"/>
          <w:szCs w:val="48"/>
          <w:lang w:eastAsia="zh-CN"/>
        </w:rPr>
      </w:pPr>
    </w:p>
    <w:p>
      <w:pPr>
        <w:spacing w:line="360" w:lineRule="auto"/>
        <w:jc w:val="center"/>
        <w:rPr>
          <w:rFonts w:ascii="宋体" w:hAnsi="宋体" w:cs="宋体"/>
          <w:b/>
          <w:color w:val="000000"/>
          <w:sz w:val="52"/>
          <w:szCs w:val="52"/>
        </w:rPr>
      </w:pPr>
      <w:r>
        <w:rPr>
          <w:rFonts w:hint="eastAsia" w:ascii="宋体" w:hAnsi="宋体" w:cs="宋体"/>
          <w:b/>
          <w:color w:val="000000"/>
          <w:sz w:val="52"/>
          <w:szCs w:val="52"/>
          <w:lang w:eastAsia="zh-CN"/>
        </w:rPr>
        <w:t>数控车间智能化升级改造项目</w:t>
      </w:r>
    </w:p>
    <w:p>
      <w:pPr>
        <w:spacing w:line="360" w:lineRule="auto"/>
        <w:jc w:val="center"/>
        <w:rPr>
          <w:rFonts w:hint="eastAsia" w:ascii="宋体" w:hAnsi="宋体" w:cs="宋体"/>
          <w:b/>
          <w:color w:val="000000"/>
          <w:sz w:val="52"/>
          <w:szCs w:val="52"/>
        </w:rPr>
      </w:pPr>
      <w:r>
        <w:rPr>
          <w:rFonts w:hint="eastAsia" w:ascii="宋体" w:hAnsi="宋体" w:cs="宋体"/>
          <w:b/>
          <w:color w:val="000000"/>
          <w:sz w:val="52"/>
          <w:szCs w:val="52"/>
        </w:rPr>
        <w:t>采 购</w:t>
      </w:r>
    </w:p>
    <w:p>
      <w:pPr>
        <w:pStyle w:val="2"/>
      </w:pPr>
    </w:p>
    <w:p>
      <w:pPr>
        <w:spacing w:line="360" w:lineRule="auto"/>
        <w:jc w:val="center"/>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rPr>
          <w:rFonts w:hint="eastAsia" w:ascii="宋体" w:hAnsi="宋体" w:cs="宋体"/>
          <w:b/>
          <w:color w:val="000000"/>
          <w:sz w:val="24"/>
        </w:rPr>
      </w:pPr>
    </w:p>
    <w:p>
      <w:pPr>
        <w:spacing w:line="360" w:lineRule="auto"/>
        <w:ind w:firstLine="3373" w:firstLineChars="1400"/>
        <w:rPr>
          <w:rFonts w:hint="default" w:ascii="宋体" w:hAnsi="宋体" w:eastAsia="宋体" w:cs="宋体"/>
          <w:b/>
          <w:color w:val="000000"/>
          <w:sz w:val="24"/>
          <w:szCs w:val="32"/>
          <w:lang w:val="en-US" w:eastAsia="zh-CN"/>
        </w:rPr>
      </w:pPr>
      <w:r>
        <w:rPr>
          <w:rFonts w:hint="eastAsia" w:ascii="宋体" w:hAnsi="宋体" w:cs="宋体"/>
          <w:b/>
          <w:color w:val="000000"/>
          <w:sz w:val="24"/>
        </w:rPr>
        <w:t>项目编号：CG-AQ-W202</w:t>
      </w:r>
      <w:r>
        <w:rPr>
          <w:rFonts w:hint="eastAsia" w:ascii="宋体" w:hAnsi="宋体" w:cs="宋体"/>
          <w:b/>
          <w:color w:val="000000"/>
          <w:sz w:val="24"/>
          <w:lang w:val="en-US" w:eastAsia="zh-CN"/>
        </w:rPr>
        <w:t>3</w:t>
      </w:r>
      <w:r>
        <w:rPr>
          <w:rFonts w:hint="eastAsia" w:ascii="宋体" w:hAnsi="宋体" w:cs="宋体"/>
          <w:b/>
          <w:color w:val="000000"/>
          <w:sz w:val="24"/>
        </w:rPr>
        <w:t>-</w:t>
      </w:r>
      <w:r>
        <w:rPr>
          <w:rFonts w:hint="eastAsia" w:ascii="宋体" w:hAnsi="宋体" w:cs="宋体"/>
          <w:b/>
          <w:color w:val="000000"/>
          <w:sz w:val="24"/>
          <w:lang w:val="en-US" w:eastAsia="zh-CN"/>
        </w:rPr>
        <w:t>017</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rPr>
        <w:t xml:space="preserve">            安庆职业技术学院</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15"/>
        <w:rPr>
          <w:rFonts w:ascii="宋体" w:hAnsi="宋体" w:cs="宋体"/>
          <w:b/>
          <w:color w:val="000000"/>
          <w:sz w:val="24"/>
        </w:rPr>
      </w:pPr>
    </w:p>
    <w:p>
      <w:pPr>
        <w:pStyle w:val="15"/>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采购代理机构：</w:t>
      </w:r>
      <w:r>
        <w:rPr>
          <w:rFonts w:hint="eastAsia" w:ascii="宋体" w:hAnsi="宋体" w:cs="宋体"/>
          <w:b/>
          <w:color w:val="000000"/>
          <w:sz w:val="30"/>
          <w:szCs w:val="30"/>
          <w:u w:val="single"/>
        </w:rPr>
        <w:t xml:space="preserve">    安庆市皖宜项目咨询管理有限公司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  期：二〇二</w:t>
      </w:r>
      <w:r>
        <w:rPr>
          <w:rFonts w:hint="eastAsia" w:ascii="宋体" w:hAnsi="宋体" w:cs="宋体"/>
          <w:b/>
          <w:color w:val="000000"/>
          <w:sz w:val="30"/>
          <w:szCs w:val="30"/>
          <w:lang w:val="en-US" w:eastAsia="zh-CN"/>
        </w:rPr>
        <w:t>三</w:t>
      </w:r>
      <w:r>
        <w:rPr>
          <w:rFonts w:hint="eastAsia" w:ascii="宋体" w:hAnsi="宋体" w:cs="宋体"/>
          <w:b/>
          <w:color w:val="000000"/>
          <w:sz w:val="30"/>
          <w:szCs w:val="30"/>
        </w:rPr>
        <w:t xml:space="preserve"> 年 </w:t>
      </w:r>
      <w:r>
        <w:rPr>
          <w:rFonts w:hint="eastAsia" w:ascii="宋体" w:hAnsi="宋体" w:cs="宋体"/>
          <w:b/>
          <w:color w:val="000000"/>
          <w:sz w:val="30"/>
          <w:szCs w:val="30"/>
          <w:lang w:val="en-US" w:eastAsia="zh-CN"/>
        </w:rPr>
        <w:t>二</w:t>
      </w:r>
      <w:r>
        <w:rPr>
          <w:rFonts w:hint="eastAsia" w:ascii="宋体" w:hAnsi="宋体" w:cs="宋体"/>
          <w:b/>
          <w:color w:val="000000"/>
          <w:sz w:val="30"/>
          <w:szCs w:val="30"/>
        </w:rPr>
        <w:t>月</w:t>
      </w:r>
    </w:p>
    <w:p>
      <w:pPr>
        <w:spacing w:line="360" w:lineRule="auto"/>
        <w:jc w:val="center"/>
        <w:rPr>
          <w:rFonts w:ascii="宋体" w:hAnsi="宋体" w:cs="宋体"/>
          <w:color w:val="000000"/>
        </w:rPr>
      </w:pPr>
    </w:p>
    <w:p>
      <w:pPr>
        <w:pStyle w:val="2"/>
        <w:sectPr>
          <w:headerReference r:id="rId3" w:type="default"/>
          <w:pgSz w:w="11906" w:h="16838"/>
          <w:pgMar w:top="1417" w:right="1418" w:bottom="1276" w:left="1418" w:header="680" w:footer="680" w:gutter="0"/>
          <w:pgNumType w:fmt="decimal" w:start="1"/>
          <w:cols w:space="720" w:num="1"/>
          <w:docGrid w:type="lines" w:linePitch="312" w:charSpace="0"/>
        </w:sectPr>
      </w:pPr>
    </w:p>
    <w:p>
      <w:pPr>
        <w:pStyle w:val="2"/>
      </w:pPr>
    </w:p>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ascii="黑体" w:hAnsi="黑体" w:eastAsia="黑体" w:cs="宋体"/>
          <w:b/>
          <w:kern w:val="0"/>
          <w:sz w:val="32"/>
          <w:szCs w:val="32"/>
        </w:rPr>
      </w:pPr>
      <w:r>
        <w:rPr>
          <w:rFonts w:hint="eastAsia" w:ascii="黑体" w:hAnsi="黑体" w:eastAsia="黑体" w:cs="宋体"/>
          <w:b/>
          <w:kern w:val="0"/>
          <w:sz w:val="32"/>
          <w:szCs w:val="32"/>
        </w:rPr>
        <w:t>重 要 提 示</w:t>
      </w:r>
    </w:p>
    <w:p>
      <w:pPr>
        <w:keepNext w:val="0"/>
        <w:keepLines w:val="0"/>
        <w:pageBreakBefore w:val="0"/>
        <w:widowControl/>
        <w:kinsoku/>
        <w:wordWrap/>
        <w:overflowPunct/>
        <w:topLinePunct w:val="0"/>
        <w:autoSpaceDE/>
        <w:autoSpaceDN/>
        <w:bidi w:val="0"/>
        <w:adjustRightInd/>
        <w:snapToGrid/>
        <w:spacing w:line="720" w:lineRule="auto"/>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各谈判响应人：</w:t>
      </w:r>
    </w:p>
    <w:p>
      <w:pPr>
        <w:keepNext w:val="0"/>
        <w:keepLines w:val="0"/>
        <w:pageBreakBefore w:val="0"/>
        <w:widowControl/>
        <w:kinsoku/>
        <w:wordWrap/>
        <w:overflowPunct/>
        <w:topLinePunct w:val="0"/>
        <w:autoSpaceDE/>
        <w:autoSpaceDN/>
        <w:bidi w:val="0"/>
        <w:adjustRightInd/>
        <w:snapToGrid/>
        <w:spacing w:line="720" w:lineRule="auto"/>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720" w:lineRule="auto"/>
        <w:ind w:firstLine="640" w:firstLineChars="200"/>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keepNext w:val="0"/>
        <w:keepLines w:val="0"/>
        <w:pageBreakBefore w:val="0"/>
        <w:kinsoku/>
        <w:wordWrap/>
        <w:overflowPunct/>
        <w:topLinePunct w:val="0"/>
        <w:autoSpaceDE/>
        <w:autoSpaceDN/>
        <w:bidi w:val="0"/>
        <w:adjustRightInd/>
        <w:snapToGrid/>
        <w:spacing w:line="720" w:lineRule="auto"/>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213号）门口处接收谈判响应文件，请供应商在递交响应文件前出示健康码（绿码）授权书、身份证。响应文件递交成功后可暂时离开现场，如有询标或谈判事宜将电话通知（最终报价表由各响应人谈判后现场递交）。</w:t>
      </w:r>
    </w:p>
    <w:p>
      <w:pPr>
        <w:pStyle w:val="2"/>
        <w:keepNext w:val="0"/>
        <w:keepLines w:val="0"/>
        <w:pageBreakBefore w:val="0"/>
        <w:kinsoku/>
        <w:wordWrap/>
        <w:overflowPunct/>
        <w:topLinePunct w:val="0"/>
        <w:autoSpaceDE/>
        <w:autoSpaceDN/>
        <w:bidi w:val="0"/>
        <w:adjustRightInd/>
        <w:snapToGrid/>
        <w:spacing w:line="720" w:lineRule="auto"/>
        <w:textAlignment w:val="auto"/>
        <w:rPr>
          <w:rFonts w:hint="eastAsia" w:ascii="仿宋" w:hAnsi="仿宋" w:eastAsia="仿宋" w:cs="仿宋"/>
          <w:bCs/>
          <w:kern w:val="0"/>
          <w:sz w:val="32"/>
          <w:szCs w:val="32"/>
        </w:rPr>
      </w:pPr>
    </w:p>
    <w:p>
      <w:pPr>
        <w:pStyle w:val="2"/>
        <w:keepNext w:val="0"/>
        <w:keepLines w:val="0"/>
        <w:pageBreakBefore w:val="0"/>
        <w:kinsoku/>
        <w:wordWrap/>
        <w:overflowPunct/>
        <w:topLinePunct w:val="0"/>
        <w:autoSpaceDE/>
        <w:autoSpaceDN/>
        <w:bidi w:val="0"/>
        <w:adjustRightInd/>
        <w:snapToGrid/>
        <w:spacing w:line="720" w:lineRule="auto"/>
        <w:textAlignment w:val="auto"/>
        <w:rPr>
          <w:rFonts w:hint="eastAsia" w:ascii="仿宋" w:hAnsi="仿宋" w:eastAsia="仿宋" w:cs="仿宋"/>
          <w:bCs/>
          <w:kern w:val="0"/>
          <w:sz w:val="32"/>
          <w:szCs w:val="32"/>
        </w:rPr>
      </w:pPr>
    </w:p>
    <w:p>
      <w:pPr>
        <w:pStyle w:val="2"/>
        <w:rPr>
          <w:rFonts w:hint="eastAsia" w:ascii="仿宋" w:hAnsi="仿宋" w:eastAsia="仿宋" w:cs="仿宋"/>
          <w:bCs/>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2、对投标活动中可能发生的质疑、投诉行为，须依法在规定的时间内提出。</w:t>
      </w: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jc w:val="center"/>
        <w:outlineLvl w:val="0"/>
        <w:rPr>
          <w:rFonts w:ascii="宋体" w:hAnsi="宋体" w:cs="宋体"/>
          <w:b/>
          <w:color w:val="000000"/>
          <w:sz w:val="36"/>
          <w:szCs w:val="36"/>
        </w:rPr>
      </w:pPr>
      <w:bookmarkStart w:id="0" w:name="_Toc28575"/>
      <w:bookmarkStart w:id="1" w:name="_Toc28541"/>
      <w:bookmarkStart w:id="2" w:name="_Toc20545"/>
      <w:r>
        <w:rPr>
          <w:rFonts w:hint="eastAsia" w:ascii="宋体" w:hAnsi="宋体" w:cs="宋体"/>
          <w:b/>
          <w:color w:val="000000"/>
          <w:sz w:val="36"/>
          <w:szCs w:val="36"/>
        </w:rPr>
        <w:t>目   录</w:t>
      </w:r>
      <w:bookmarkEnd w:id="0"/>
      <w:bookmarkEnd w:id="1"/>
      <w:bookmarkEnd w:id="2"/>
    </w:p>
    <w:p>
      <w:pPr>
        <w:pStyle w:val="17"/>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fldChar w:fldCharType="begin"/>
      </w:r>
      <w:r>
        <w:instrText xml:space="preserve"> HYPERLINK \l "_Toc17841" </w:instrText>
      </w:r>
      <w:r>
        <w:fldChar w:fldCharType="separate"/>
      </w:r>
      <w:r>
        <w:rPr>
          <w:rFonts w:hint="eastAsia" w:ascii="宋体" w:hAnsi="宋体" w:cs="宋体"/>
          <w:bCs/>
          <w:szCs w:val="32"/>
        </w:rPr>
        <w:t>第一章   竞争性谈判公告</w:t>
      </w:r>
      <w:r>
        <w:tab/>
      </w:r>
      <w:r>
        <w:fldChar w:fldCharType="begin"/>
      </w:r>
      <w:r>
        <w:instrText xml:space="preserve"> PAGEREF _Toc17841 \h </w:instrText>
      </w:r>
      <w:r>
        <w:fldChar w:fldCharType="separate"/>
      </w:r>
      <w:r>
        <w:t>5</w:t>
      </w:r>
      <w:r>
        <w:fldChar w:fldCharType="end"/>
      </w:r>
      <w:r>
        <w:fldChar w:fldCharType="end"/>
      </w:r>
    </w:p>
    <w:p>
      <w:pPr>
        <w:pStyle w:val="17"/>
        <w:tabs>
          <w:tab w:val="right" w:leader="dot" w:pos="9070"/>
          <w:tab w:val="clear" w:pos="1260"/>
          <w:tab w:val="clear" w:pos="9060"/>
        </w:tabs>
      </w:pPr>
      <w:r>
        <w:fldChar w:fldCharType="begin"/>
      </w:r>
      <w:r>
        <w:instrText xml:space="preserve"> HYPERLINK \l "_Toc9734" </w:instrText>
      </w:r>
      <w:r>
        <w:fldChar w:fldCharType="separate"/>
      </w:r>
      <w:r>
        <w:rPr>
          <w:rFonts w:hint="eastAsia" w:ascii="宋体" w:hAnsi="宋体" w:cs="宋体"/>
        </w:rPr>
        <w:t>第二章   谈判响应人须知</w:t>
      </w:r>
      <w:r>
        <w:tab/>
      </w:r>
      <w:r>
        <w:fldChar w:fldCharType="begin"/>
      </w:r>
      <w:r>
        <w:instrText xml:space="preserve"> PAGEREF _Toc9734 \h </w:instrText>
      </w:r>
      <w:r>
        <w:fldChar w:fldCharType="separate"/>
      </w:r>
      <w:r>
        <w:t>9</w:t>
      </w:r>
      <w:r>
        <w:fldChar w:fldCharType="end"/>
      </w:r>
      <w:r>
        <w:fldChar w:fldCharType="end"/>
      </w:r>
    </w:p>
    <w:p>
      <w:pPr>
        <w:pStyle w:val="17"/>
        <w:tabs>
          <w:tab w:val="right" w:leader="dot" w:pos="9070"/>
          <w:tab w:val="clear" w:pos="1260"/>
          <w:tab w:val="clear" w:pos="9060"/>
        </w:tabs>
      </w:pPr>
      <w:r>
        <w:fldChar w:fldCharType="begin"/>
      </w:r>
      <w:r>
        <w:instrText xml:space="preserve"> HYPERLINK \l "_Toc28823" </w:instrText>
      </w:r>
      <w:r>
        <w:fldChar w:fldCharType="separate"/>
      </w:r>
      <w:r>
        <w:rPr>
          <w:rFonts w:hint="eastAsia" w:ascii="宋体" w:hAnsi="宋体" w:cs="宋体"/>
        </w:rPr>
        <w:t>第三章   货物需求及技术要求</w:t>
      </w:r>
      <w:r>
        <w:tab/>
      </w:r>
      <w:r>
        <w:fldChar w:fldCharType="begin"/>
      </w:r>
      <w:r>
        <w:instrText xml:space="preserve"> PAGEREF _Toc28823 \h </w:instrText>
      </w:r>
      <w:r>
        <w:fldChar w:fldCharType="separate"/>
      </w:r>
      <w:r>
        <w:t>22</w:t>
      </w:r>
      <w:r>
        <w:fldChar w:fldCharType="end"/>
      </w:r>
      <w:r>
        <w:fldChar w:fldCharType="end"/>
      </w:r>
    </w:p>
    <w:p>
      <w:pPr>
        <w:pStyle w:val="17"/>
        <w:tabs>
          <w:tab w:val="right" w:leader="dot" w:pos="9070"/>
          <w:tab w:val="clear" w:pos="1260"/>
          <w:tab w:val="clear" w:pos="9060"/>
        </w:tabs>
      </w:pPr>
      <w:r>
        <w:fldChar w:fldCharType="begin"/>
      </w:r>
      <w:r>
        <w:instrText xml:space="preserve"> HYPERLINK \l "_Toc21671" </w:instrText>
      </w:r>
      <w:r>
        <w:fldChar w:fldCharType="separate"/>
      </w:r>
      <w:r>
        <w:rPr>
          <w:rFonts w:hint="eastAsia" w:ascii="宋体" w:hAnsi="宋体" w:cs="宋体"/>
        </w:rPr>
        <w:t>第四章   合同主要条款</w:t>
      </w:r>
      <w:r>
        <w:tab/>
      </w:r>
      <w:r>
        <w:fldChar w:fldCharType="begin"/>
      </w:r>
      <w:r>
        <w:instrText xml:space="preserve"> PAGEREF _Toc21671 \h </w:instrText>
      </w:r>
      <w:r>
        <w:fldChar w:fldCharType="separate"/>
      </w:r>
      <w:r>
        <w:t>27</w:t>
      </w:r>
      <w:r>
        <w:fldChar w:fldCharType="end"/>
      </w:r>
      <w:r>
        <w:fldChar w:fldCharType="end"/>
      </w:r>
    </w:p>
    <w:p>
      <w:pPr>
        <w:pStyle w:val="17"/>
        <w:tabs>
          <w:tab w:val="right" w:leader="dot" w:pos="9070"/>
          <w:tab w:val="clear" w:pos="1260"/>
          <w:tab w:val="clear" w:pos="9060"/>
        </w:tabs>
      </w:pPr>
      <w:r>
        <w:fldChar w:fldCharType="begin"/>
      </w:r>
      <w:r>
        <w:instrText xml:space="preserve"> HYPERLINK \l "_Toc2526" </w:instrText>
      </w:r>
      <w:r>
        <w:fldChar w:fldCharType="separate"/>
      </w:r>
      <w:r>
        <w:rPr>
          <w:rFonts w:hint="eastAsia" w:ascii="宋体" w:hAnsi="宋体" w:cs="宋体"/>
        </w:rPr>
        <w:t>第五章   谈判响应文件格式</w:t>
      </w:r>
      <w:r>
        <w:tab/>
      </w:r>
      <w:r>
        <w:fldChar w:fldCharType="begin"/>
      </w:r>
      <w:r>
        <w:instrText xml:space="preserve"> PAGEREF _Toc2526 \h </w:instrText>
      </w:r>
      <w:r>
        <w:fldChar w:fldCharType="separate"/>
      </w:r>
      <w:r>
        <w:t>29</w:t>
      </w:r>
      <w:r>
        <w:fldChar w:fldCharType="end"/>
      </w:r>
      <w:r>
        <w:fldChar w:fldCharType="end"/>
      </w:r>
    </w:p>
    <w:p>
      <w:pPr>
        <w:pStyle w:val="10"/>
        <w:tabs>
          <w:tab w:val="right" w:leader="dot" w:pos="9060"/>
        </w:tabs>
        <w:spacing w:line="240" w:lineRule="auto"/>
        <w:ind w:left="0" w:leftChars="0"/>
        <w:jc w:val="center"/>
        <w:outlineLvl w:val="0"/>
        <w:rPr>
          <w:rFonts w:ascii="宋体" w:hAnsi="宋体" w:cs="宋体"/>
          <w:color w:val="000000"/>
        </w:rPr>
        <w:sectPr>
          <w:footerReference r:id="rId4" w:type="default"/>
          <w:pgSz w:w="11906" w:h="16838"/>
          <w:pgMar w:top="1417" w:right="1418" w:bottom="1276" w:left="1418" w:header="680" w:footer="680" w:gutter="0"/>
          <w:pgNumType w:fmt="decimal" w:start="2"/>
          <w:cols w:space="720" w:num="1"/>
          <w:docGrid w:type="lines" w:linePitch="312" w:charSpace="0"/>
        </w:sectPr>
      </w:pPr>
      <w:r>
        <w:rPr>
          <w:rFonts w:ascii="宋体" w:hAnsi="宋体" w:cs="宋体"/>
          <w:color w:val="000000"/>
        </w:rPr>
        <w:fldChar w:fldCharType="end"/>
      </w:r>
    </w:p>
    <w:p>
      <w:pPr>
        <w:pStyle w:val="10"/>
        <w:tabs>
          <w:tab w:val="right" w:leader="dot" w:pos="9060"/>
        </w:tabs>
        <w:spacing w:line="240" w:lineRule="auto"/>
        <w:ind w:left="0" w:leftChars="0"/>
        <w:jc w:val="center"/>
        <w:outlineLvl w:val="0"/>
        <w:rPr>
          <w:rStyle w:val="35"/>
          <w:rFonts w:ascii="宋体" w:hAnsi="宋体" w:cs="宋体"/>
          <w:b/>
          <w:bCs/>
          <w:color w:val="000000"/>
          <w:sz w:val="32"/>
          <w:szCs w:val="32"/>
        </w:rPr>
      </w:pPr>
      <w:bookmarkStart w:id="3" w:name="_Toc17841"/>
      <w:bookmarkStart w:id="4" w:name="_Toc12698"/>
      <w:r>
        <w:rPr>
          <w:rStyle w:val="35"/>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28359011"/>
      <w:bookmarkStart w:id="6" w:name="_Toc35393797"/>
      <w:r>
        <w:rPr>
          <w:rFonts w:hint="eastAsia" w:ascii="华文中宋" w:hAnsi="华文中宋" w:eastAsia="华文中宋"/>
          <w:b/>
          <w:bCs/>
          <w:kern w:val="44"/>
          <w:sz w:val="32"/>
          <w:szCs w:val="32"/>
          <w:lang w:eastAsia="zh-CN"/>
        </w:rPr>
        <w:t>数控车间智能化升级改造项目</w:t>
      </w:r>
      <w:r>
        <w:rPr>
          <w:rFonts w:hint="eastAsia" w:ascii="华文中宋" w:hAnsi="华文中宋" w:eastAsia="华文中宋"/>
          <w:b/>
          <w:bCs/>
          <w:kern w:val="44"/>
          <w:sz w:val="32"/>
          <w:szCs w:val="32"/>
        </w:rPr>
        <w:t>采购竞争性谈判公告</w:t>
      </w:r>
      <w:bookmarkEnd w:id="5"/>
      <w:bookmarkEnd w:id="6"/>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pPr>
              <w:ind w:left="280" w:hanging="280" w:hangingChars="100"/>
            </w:pPr>
            <w:r>
              <w:rPr>
                <w:rFonts w:hint="eastAsia" w:ascii="仿宋" w:hAnsi="仿宋" w:eastAsia="仿宋"/>
                <w:sz w:val="28"/>
                <w:szCs w:val="28"/>
                <w:u w:val="single"/>
                <w:lang w:eastAsia="zh-CN"/>
              </w:rPr>
              <w:t>数控车间智能化升级改造项目</w:t>
            </w:r>
            <w:r>
              <w:rPr>
                <w:rFonts w:hint="eastAsia" w:ascii="仿宋" w:hAnsi="仿宋" w:eastAsia="仿宋"/>
                <w:sz w:val="28"/>
                <w:szCs w:val="28"/>
                <w:u w:val="single"/>
              </w:rPr>
              <w:t>采购</w:t>
            </w:r>
            <w:r>
              <w:rPr>
                <w:rFonts w:hint="eastAsia" w:ascii="仿宋" w:hAnsi="仿宋" w:eastAsia="仿宋"/>
                <w:sz w:val="28"/>
                <w:szCs w:val="28"/>
              </w:rPr>
              <w:t>的潜在供应商应于</w:t>
            </w:r>
            <w:r>
              <w:rPr>
                <w:rFonts w:hint="eastAsia" w:ascii="仿宋" w:hAnsi="仿宋" w:eastAsia="仿宋"/>
                <w:sz w:val="28"/>
                <w:szCs w:val="28"/>
                <w:lang w:eastAsia="zh-CN"/>
              </w:rPr>
              <w:t>2023</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时</w:t>
            </w:r>
            <w:r>
              <w:rPr>
                <w:rFonts w:hint="eastAsia" w:ascii="仿宋" w:hAnsi="仿宋" w:eastAsia="仿宋"/>
                <w:sz w:val="28"/>
                <w:szCs w:val="28"/>
                <w:lang w:val="en-US" w:eastAsia="zh-CN"/>
              </w:rPr>
              <w:t>30</w:t>
            </w:r>
            <w:r>
              <w:rPr>
                <w:rFonts w:hint="eastAsia" w:ascii="仿宋" w:hAnsi="仿宋" w:eastAsia="仿宋"/>
                <w:sz w:val="28"/>
                <w:szCs w:val="28"/>
              </w:rPr>
              <w:t>分（北京时间）前提交响应文件。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rPr>
        <w:t xml:space="preserve"> </w:t>
      </w:r>
      <w:bookmarkStart w:id="7" w:name="_Toc28359089"/>
      <w:bookmarkStart w:id="8" w:name="_Toc28359012"/>
      <w:bookmarkStart w:id="9" w:name="_Toc35393798"/>
      <w:bookmarkStart w:id="10" w:name="_Toc35393629"/>
      <w:r>
        <w:rPr>
          <w:rFonts w:hint="eastAsia" w:ascii="黑体" w:hAnsi="黑体" w:eastAsia="黑体" w:cs="宋体"/>
          <w:bCs/>
          <w:sz w:val="28"/>
          <w:szCs w:val="28"/>
        </w:rPr>
        <w:t>一、项目基本情况</w:t>
      </w:r>
      <w:bookmarkEnd w:id="7"/>
      <w:bookmarkEnd w:id="8"/>
      <w:bookmarkEnd w:id="9"/>
      <w:bookmarkEnd w:id="10"/>
    </w:p>
    <w:p>
      <w:pPr>
        <w:ind w:firstLine="560" w:firstLineChars="200"/>
        <w:rPr>
          <w:rFonts w:ascii="仿宋" w:hAnsi="仿宋" w:eastAsia="仿宋"/>
          <w:sz w:val="28"/>
          <w:szCs w:val="28"/>
        </w:rPr>
      </w:pPr>
      <w:r>
        <w:rPr>
          <w:rFonts w:hint="eastAsia" w:ascii="仿宋" w:hAnsi="仿宋" w:eastAsia="仿宋"/>
          <w:sz w:val="28"/>
          <w:szCs w:val="28"/>
        </w:rPr>
        <w:t>项目编号：CG-AQ-W</w:t>
      </w:r>
      <w:r>
        <w:rPr>
          <w:rFonts w:hint="eastAsia" w:ascii="仿宋" w:hAnsi="仿宋" w:eastAsia="仿宋"/>
          <w:sz w:val="28"/>
          <w:szCs w:val="28"/>
          <w:lang w:eastAsia="zh-CN"/>
        </w:rPr>
        <w:t>2023</w:t>
      </w:r>
      <w:r>
        <w:rPr>
          <w:rFonts w:hint="eastAsia" w:ascii="仿宋" w:hAnsi="仿宋" w:eastAsia="仿宋"/>
          <w:sz w:val="28"/>
          <w:szCs w:val="28"/>
        </w:rPr>
        <w:t>-017</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数控车间智能化升级改造项目</w:t>
      </w:r>
      <w:r>
        <w:rPr>
          <w:rFonts w:hint="eastAsia" w:ascii="仿宋" w:hAnsi="仿宋" w:eastAsia="仿宋"/>
          <w:sz w:val="28"/>
          <w:szCs w:val="28"/>
        </w:rPr>
        <w:t>采购</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ascii="仿宋" w:hAnsi="仿宋" w:eastAsia="仿宋"/>
          <w:sz w:val="28"/>
          <w:szCs w:val="28"/>
        </w:rPr>
      </w:pPr>
      <w:r>
        <w:rPr>
          <w:rFonts w:hint="eastAsia" w:ascii="仿宋" w:hAnsi="仿宋" w:eastAsia="仿宋"/>
          <w:sz w:val="28"/>
          <w:szCs w:val="28"/>
        </w:rPr>
        <w:t>资金来源：财政资金</w:t>
      </w:r>
    </w:p>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12.6</w:t>
      </w:r>
      <w:r>
        <w:rPr>
          <w:rFonts w:hint="eastAsia" w:ascii="仿宋" w:hAnsi="仿宋" w:eastAsia="仿宋"/>
          <w:sz w:val="28"/>
          <w:szCs w:val="28"/>
        </w:rPr>
        <w:t>万元</w:t>
      </w:r>
    </w:p>
    <w:p>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12.6</w:t>
      </w:r>
      <w:r>
        <w:rPr>
          <w:rFonts w:hint="eastAsia" w:ascii="仿宋" w:hAnsi="仿宋" w:eastAsia="仿宋"/>
          <w:sz w:val="28"/>
          <w:szCs w:val="28"/>
        </w:rPr>
        <w:t>万元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sz w:val="28"/>
          <w:szCs w:val="28"/>
          <w:lang w:eastAsia="zh-CN"/>
        </w:rPr>
        <w:t>数控车间智能化升级改造</w:t>
      </w:r>
      <w:r>
        <w:rPr>
          <w:rFonts w:hint="eastAsia" w:ascii="仿宋" w:hAnsi="仿宋" w:eastAsia="仿宋"/>
          <w:sz w:val="28"/>
          <w:szCs w:val="28"/>
        </w:rPr>
        <w:t>，详见附件。</w:t>
      </w:r>
    </w:p>
    <w:p>
      <w:pPr>
        <w:ind w:firstLine="560" w:firstLineChars="200"/>
        <w:rPr>
          <w:rFonts w:ascii="仿宋" w:hAnsi="仿宋" w:eastAsia="仿宋"/>
          <w:sz w:val="28"/>
          <w:szCs w:val="28"/>
        </w:rPr>
      </w:pPr>
      <w:r>
        <w:rPr>
          <w:rFonts w:hint="eastAsia" w:ascii="仿宋" w:hAnsi="仿宋" w:eastAsia="仿宋"/>
          <w:sz w:val="28"/>
          <w:szCs w:val="28"/>
        </w:rPr>
        <w:t>评标办法：</w:t>
      </w:r>
      <w:r>
        <w:rPr>
          <w:rFonts w:hint="eastAsia" w:ascii="仿宋" w:hAnsi="仿宋" w:eastAsia="仿宋" w:cs="仿宋"/>
          <w:sz w:val="28"/>
          <w:szCs w:val="28"/>
        </w:rPr>
        <w:t>最低评</w:t>
      </w:r>
      <w:r>
        <w:rPr>
          <w:rFonts w:hint="eastAsia" w:ascii="仿宋" w:hAnsi="仿宋" w:eastAsia="仿宋" w:cs="仿宋"/>
          <w:sz w:val="28"/>
          <w:szCs w:val="28"/>
          <w:lang w:val="en-US" w:eastAsia="zh-CN"/>
        </w:rPr>
        <w:t>标价</w:t>
      </w:r>
      <w:r>
        <w:rPr>
          <w:rFonts w:hint="eastAsia" w:ascii="仿宋" w:hAnsi="仿宋" w:eastAsia="仿宋" w:cs="仿宋"/>
          <w:sz w:val="28"/>
          <w:szCs w:val="28"/>
        </w:rPr>
        <w:t>法</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交货、安装、调试：合同签订后</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日内完成</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28359090"/>
      <w:bookmarkStart w:id="12" w:name="_Toc35393630"/>
      <w:bookmarkStart w:id="13" w:name="_Toc35393799"/>
      <w:bookmarkStart w:id="14" w:name="_Toc28359013"/>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1.参照《中华人民共和国政府采购法》第二十二条规定；</w:t>
      </w:r>
    </w:p>
    <w:p>
      <w:pPr>
        <w:ind w:firstLine="708" w:firstLineChars="253"/>
        <w:rPr>
          <w:rFonts w:ascii="仿宋" w:hAnsi="仿宋" w:eastAsia="仿宋"/>
          <w:sz w:val="28"/>
          <w:szCs w:val="28"/>
        </w:rPr>
      </w:pPr>
      <w:bookmarkStart w:id="15" w:name="_Toc28359014"/>
      <w:bookmarkStart w:id="16" w:name="_Toc28359091"/>
      <w:r>
        <w:rPr>
          <w:rFonts w:hint="eastAsia" w:ascii="仿宋" w:hAnsi="仿宋" w:eastAsia="仿宋"/>
          <w:sz w:val="28"/>
          <w:szCs w:val="28"/>
        </w:rPr>
        <w:t>2.落实政府采购政策需满足的资格要求：/</w:t>
      </w:r>
    </w:p>
    <w:p>
      <w:pPr>
        <w:ind w:firstLine="708" w:firstLineChars="253"/>
        <w:rPr>
          <w:rFonts w:ascii="仿宋" w:hAnsi="仿宋" w:eastAsia="仿宋"/>
          <w:sz w:val="28"/>
          <w:szCs w:val="28"/>
        </w:rPr>
      </w:pPr>
      <w:r>
        <w:rPr>
          <w:rFonts w:hint="eastAsia" w:ascii="仿宋" w:hAnsi="仿宋" w:eastAsia="仿宋"/>
          <w:sz w:val="28"/>
          <w:szCs w:val="28"/>
        </w:rPr>
        <w:t>3.本项目的特定资格要求：/</w:t>
      </w:r>
    </w:p>
    <w:p>
      <w:pPr>
        <w:rPr>
          <w:rFonts w:ascii="黑体" w:hAnsi="黑体" w:eastAsia="黑体" w:cs="宋体"/>
          <w:bCs/>
          <w:sz w:val="28"/>
          <w:szCs w:val="28"/>
        </w:rPr>
      </w:pPr>
      <w:bookmarkStart w:id="17" w:name="_Toc35393631"/>
      <w:bookmarkStart w:id="18" w:name="_Toc35393800"/>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ascii="仿宋" w:hAnsi="仿宋" w:eastAsia="仿宋" w:cs="宋体"/>
          <w:sz w:val="28"/>
          <w:szCs w:val="28"/>
        </w:rPr>
      </w:pPr>
      <w:bookmarkStart w:id="19" w:name="_Toc28359092"/>
      <w:bookmarkStart w:id="20" w:name="_Toc35393801"/>
      <w:bookmarkStart w:id="21" w:name="_Toc28359015"/>
      <w:bookmarkStart w:id="22" w:name="_Toc35393632"/>
      <w:r>
        <w:rPr>
          <w:rFonts w:hint="eastAsia" w:ascii="仿宋" w:hAnsi="仿宋" w:eastAsia="仿宋" w:cs="仿宋"/>
          <w:kern w:val="0"/>
          <w:sz w:val="28"/>
          <w:szCs w:val="28"/>
        </w:rPr>
        <w:t>1、潜在供应商于</w:t>
      </w:r>
      <w:r>
        <w:rPr>
          <w:rFonts w:hint="eastAsia" w:ascii="仿宋" w:hAnsi="仿宋" w:eastAsia="仿宋" w:cs="仿宋"/>
          <w:kern w:val="0"/>
          <w:sz w:val="28"/>
          <w:szCs w:val="28"/>
          <w:u w:val="single"/>
          <w:lang w:eastAsia="zh-CN"/>
        </w:rPr>
        <w:t>2023</w:t>
      </w:r>
      <w:r>
        <w:rPr>
          <w:rFonts w:hint="eastAsia" w:ascii="仿宋" w:hAnsi="仿宋" w:eastAsia="仿宋" w:cs="仿宋"/>
          <w:kern w:val="0"/>
          <w:sz w:val="28"/>
          <w:szCs w:val="28"/>
          <w:u w:val="single"/>
        </w:rPr>
        <w:t>年</w:t>
      </w:r>
      <w:r>
        <w:rPr>
          <w:rFonts w:hint="eastAsia" w:ascii="仿宋" w:hAnsi="仿宋" w:eastAsia="仿宋" w:cs="仿宋"/>
          <w:kern w:val="0"/>
          <w:sz w:val="28"/>
          <w:szCs w:val="28"/>
          <w:u w:val="single"/>
          <w:lang w:val="en-US" w:eastAsia="zh-CN"/>
        </w:rPr>
        <w:t>2</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15</w:t>
      </w:r>
      <w:r>
        <w:rPr>
          <w:rFonts w:hint="eastAsia" w:ascii="仿宋" w:hAnsi="仿宋" w:eastAsia="仿宋" w:cs="仿宋"/>
          <w:kern w:val="0"/>
          <w:sz w:val="28"/>
          <w:szCs w:val="28"/>
          <w:u w:val="single"/>
        </w:rPr>
        <w:t>日17点30分</w:t>
      </w:r>
      <w:r>
        <w:rPr>
          <w:rFonts w:hint="eastAsia" w:ascii="仿宋" w:hAnsi="仿宋" w:eastAsia="仿宋" w:cs="仿宋"/>
          <w:kern w:val="0"/>
          <w:sz w:val="28"/>
          <w:szCs w:val="28"/>
        </w:rPr>
        <w:t>前，将盖公章的获取竞争性谈判文件的函（详见附件）发送至邮箱3050346988@qq.com。（超过时间的邮件无效，无法获取文件）</w:t>
      </w:r>
    </w:p>
    <w:p>
      <w:pPr>
        <w:ind w:firstLine="568" w:firstLineChars="202"/>
        <w:rPr>
          <w:rFonts w:ascii="仿宋" w:hAnsi="仿宋" w:eastAsia="仿宋" w:cs="仿宋"/>
          <w:b/>
          <w:bCs/>
          <w:kern w:val="0"/>
          <w:sz w:val="28"/>
          <w:szCs w:val="28"/>
        </w:rPr>
      </w:pPr>
      <w:r>
        <w:rPr>
          <w:rFonts w:hint="eastAsia" w:ascii="仿宋" w:hAnsi="仿宋" w:eastAsia="仿宋" w:cs="仿宋"/>
          <w:b/>
          <w:bCs/>
          <w:kern w:val="0"/>
          <w:sz w:val="28"/>
          <w:szCs w:val="28"/>
        </w:rPr>
        <w:t>2、谈判文件及相关资料工本费：人民币400元/套，售后不退。</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账户名：安庆市皖宜项目咨询管理有限公司  </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账号：188727830513 </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开户行：中国银行安庆龙山路支行</w:t>
      </w:r>
    </w:p>
    <w:p>
      <w:pPr>
        <w:ind w:firstLine="565" w:firstLineChars="202"/>
        <w:rPr>
          <w:rFonts w:ascii="仿宋" w:hAnsi="仿宋" w:eastAsia="仿宋" w:cs="仿宋"/>
          <w:b/>
          <w:bCs/>
          <w:kern w:val="0"/>
          <w:sz w:val="28"/>
          <w:szCs w:val="28"/>
        </w:rPr>
      </w:pPr>
      <w:r>
        <w:rPr>
          <w:rFonts w:hint="eastAsia" w:ascii="仿宋" w:hAnsi="仿宋" w:eastAsia="仿宋" w:cs="仿宋"/>
          <w:kern w:val="0"/>
          <w:sz w:val="28"/>
          <w:szCs w:val="28"/>
          <w:lang w:val="en-US" w:eastAsia="zh-CN"/>
        </w:rPr>
        <w:t>将缴费凭证和获取竞争性谈判文件的函同时发送至邮箱3050346988@qq.com，</w:t>
      </w:r>
      <w:r>
        <w:rPr>
          <w:rFonts w:hint="eastAsia" w:ascii="仿宋" w:hAnsi="仿宋" w:eastAsia="仿宋" w:cs="仿宋"/>
          <w:kern w:val="0"/>
          <w:sz w:val="28"/>
          <w:szCs w:val="28"/>
        </w:rPr>
        <w:t>若为自然人转账工本费必须在转账备注中写明供应商名称。若自然人转账工本费未备注供应商名称的，转账截图发至邮箱的同时，必须要附上供应商对该人的授权书（授权该人对这个项目转账工本费及获得谈判文件，加盖供应商公章）</w:t>
      </w:r>
      <w:r>
        <w:rPr>
          <w:rFonts w:hint="eastAsia" w:ascii="仿宋" w:hAnsi="仿宋" w:eastAsia="仿宋" w:cs="仿宋"/>
          <w:b w:val="0"/>
          <w:bCs w:val="0"/>
          <w:kern w:val="0"/>
          <w:sz w:val="28"/>
          <w:szCs w:val="28"/>
        </w:rPr>
        <w:t>。</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eastAsia="zh-CN"/>
        </w:rPr>
        <w:t>2023年2月20日9时30分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地点：安庆市公共资源交易中心</w:t>
      </w:r>
    </w:p>
    <w:p>
      <w:pPr>
        <w:rPr>
          <w:rFonts w:ascii="黑体" w:hAnsi="黑体" w:eastAsia="黑体" w:cs="宋体"/>
          <w:bCs/>
          <w:sz w:val="28"/>
          <w:szCs w:val="28"/>
        </w:rPr>
      </w:pPr>
      <w:bookmarkStart w:id="23" w:name="_Toc35393802"/>
      <w:bookmarkStart w:id="24" w:name="_Toc28359093"/>
      <w:bookmarkStart w:id="25" w:name="_Toc35393633"/>
      <w:bookmarkStart w:id="26" w:name="_Toc28359016"/>
      <w:r>
        <w:rPr>
          <w:rFonts w:hint="eastAsia" w:ascii="黑体" w:hAnsi="黑体" w:eastAsia="黑体" w:cs="宋体"/>
          <w:bCs/>
          <w:sz w:val="28"/>
          <w:szCs w:val="28"/>
        </w:rPr>
        <w:t>五、开启</w:t>
      </w:r>
      <w:bookmarkEnd w:id="23"/>
      <w:bookmarkEnd w:id="24"/>
      <w:bookmarkEnd w:id="25"/>
      <w:bookmarkEnd w:id="26"/>
    </w:p>
    <w:p>
      <w:pPr>
        <w:ind w:firstLine="565" w:firstLineChars="202"/>
        <w:rPr>
          <w:rFonts w:ascii="仿宋" w:hAnsi="仿宋" w:eastAsia="仿宋" w:cs="宋体"/>
          <w:kern w:val="0"/>
          <w:sz w:val="28"/>
          <w:szCs w:val="28"/>
        </w:rPr>
      </w:pPr>
      <w:bookmarkStart w:id="27" w:name="_Toc28359094"/>
      <w:bookmarkStart w:id="28" w:name="_Toc35393634"/>
      <w:bookmarkStart w:id="29" w:name="_Toc28359017"/>
      <w:bookmarkStart w:id="30" w:name="_Toc35393803"/>
      <w:r>
        <w:rPr>
          <w:rFonts w:hint="eastAsia" w:ascii="仿宋" w:hAnsi="仿宋" w:eastAsia="仿宋" w:cs="宋体"/>
          <w:kern w:val="0"/>
          <w:sz w:val="28"/>
          <w:szCs w:val="28"/>
        </w:rPr>
        <w:t>时间：</w:t>
      </w:r>
      <w:r>
        <w:rPr>
          <w:rFonts w:hint="eastAsia" w:ascii="仿宋" w:hAnsi="仿宋" w:eastAsia="仿宋" w:cs="宋体"/>
          <w:kern w:val="0"/>
          <w:sz w:val="28"/>
          <w:szCs w:val="28"/>
          <w:lang w:eastAsia="zh-CN"/>
        </w:rPr>
        <w:t>2023年2月20日9时30分</w:t>
      </w:r>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地点：安庆市公共资源交易中心</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804"/>
      <w:bookmarkStart w:id="32" w:name="_Toc35393635"/>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35393636"/>
      <w:bookmarkStart w:id="34" w:name="_Toc28359018"/>
      <w:bookmarkStart w:id="35" w:name="_Toc35393805"/>
      <w:bookmarkStart w:id="36" w:name="_Toc28359095"/>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安庆市皖宜项目咨询管理有限公司（http://wyxmzx.com/index.html）、安庆职业技术学院（https://www.aqvtc.edu.cn/）招标采购栏目发布，请务必随时关注，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3.获取竞争性谈判文件，而放弃参加投标的供应商，请在响应文件提交截止日前以单位名义向3050346988@qq.com邮箱发送弃标函（格式自拟）。</w:t>
      </w:r>
    </w:p>
    <w:p>
      <w:pPr>
        <w:spacing w:line="360" w:lineRule="auto"/>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1.采购人信息</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名    称：安庆职业技术学院</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地    址：安庆市天柱山东路99号</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 系 人：朱老师</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联系方式：0556-5283045</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2.采购代理机构信息</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名    称：安庆市皖宜项目咨询管理有限公司</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 xml:space="preserve">地　　址：安庆市龙山路213号五楼交易二部  </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 系 人：戴福婧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联系方式：0556-5991153</w:t>
      </w:r>
      <w:bookmarkStart w:id="37" w:name="_Toc28359098"/>
      <w:bookmarkStart w:id="38" w:name="_Toc28359021"/>
      <w:bookmarkStart w:id="39" w:name="_Toc35393808"/>
      <w:bookmarkStart w:id="40" w:name="_Toc35393639"/>
    </w:p>
    <w:p>
      <w:pPr>
        <w:numPr>
          <w:ilvl w:val="0"/>
          <w:numId w:val="1"/>
        </w:num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项目联系</w:t>
      </w:r>
      <w:r>
        <w:rPr>
          <w:rFonts w:ascii="仿宋" w:hAnsi="仿宋" w:eastAsia="仿宋" w:cs="宋体"/>
          <w:bCs/>
          <w:sz w:val="28"/>
          <w:szCs w:val="28"/>
        </w:rPr>
        <w:t>方式</w:t>
      </w:r>
      <w:bookmarkEnd w:id="37"/>
      <w:bookmarkEnd w:id="38"/>
      <w:bookmarkEnd w:id="39"/>
      <w:bookmarkEnd w:id="40"/>
    </w:p>
    <w:p>
      <w:pPr>
        <w:spacing w:line="360" w:lineRule="auto"/>
        <w:ind w:firstLine="560" w:firstLineChars="200"/>
        <w:rPr>
          <w:rFonts w:ascii="仿宋" w:hAnsi="仿宋" w:eastAsia="仿宋"/>
          <w:sz w:val="28"/>
          <w:szCs w:val="28"/>
          <w:u w:val="single"/>
        </w:rPr>
      </w:pPr>
      <w:r>
        <w:rPr>
          <w:rFonts w:hint="eastAsia" w:ascii="仿宋" w:hAnsi="仿宋" w:eastAsia="仿宋" w:cstheme="minorBidi"/>
          <w:sz w:val="28"/>
          <w:szCs w:val="28"/>
        </w:rPr>
        <w:t>项目联系人：朱老师</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话：0556-5283045</w:t>
      </w:r>
    </w:p>
    <w:p>
      <w:pPr>
        <w:pStyle w:val="3"/>
        <w:jc w:val="left"/>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pP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w:t>
      </w:r>
      <w:r>
        <w:rPr>
          <w:rFonts w:hint="eastAsia" w:ascii="仿宋" w:hAnsi="仿宋" w:eastAsia="仿宋" w:cs="仿宋"/>
          <w:sz w:val="32"/>
          <w:szCs w:val="32"/>
          <w:lang w:eastAsia="zh-CN"/>
        </w:rPr>
        <w:t>数控车间智能化升级改造项目</w:t>
      </w:r>
      <w:r>
        <w:rPr>
          <w:rFonts w:hint="eastAsia" w:ascii="仿宋" w:hAnsi="仿宋" w:eastAsia="仿宋" w:cs="仿宋"/>
          <w:sz w:val="32"/>
          <w:szCs w:val="32"/>
        </w:rPr>
        <w:t>采购的竞争性谈判文件电子版，该电子版仅做本次投标使用，并承诺不做外用。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 w:hAnsi="仿宋" w:eastAsia="仿宋" w:cs="仿宋"/>
          <w:sz w:val="32"/>
          <w:szCs w:val="32"/>
          <w:lang w:eastAsia="zh-CN"/>
        </w:rPr>
        <w:t>数控车间智能化升级改造项目</w:t>
      </w:r>
      <w:r>
        <w:rPr>
          <w:rFonts w:hint="eastAsia" w:ascii="仿宋" w:hAnsi="仿宋" w:eastAsia="仿宋" w:cs="仿宋"/>
          <w:sz w:val="32"/>
          <w:szCs w:val="32"/>
        </w:rPr>
        <w:t>采购”竞争性谈判文件发至以下邮箱：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XXX（单位名称）（盖章）</w:t>
      </w:r>
    </w:p>
    <w:p>
      <w:pPr>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2023</w:t>
      </w:r>
      <w:r>
        <w:rPr>
          <w:rFonts w:hint="eastAsia" w:ascii="仿宋" w:hAnsi="仿宋" w:eastAsia="仿宋" w:cs="仿宋"/>
          <w:sz w:val="32"/>
          <w:szCs w:val="32"/>
        </w:rPr>
        <w:t>年  月  日</w:t>
      </w:r>
    </w:p>
    <w:p>
      <w:pPr>
        <w:ind w:firstLine="640"/>
        <w:rPr>
          <w:rFonts w:ascii="仿宋" w:hAnsi="仿宋" w:eastAsia="仿宋" w:cs="仿宋"/>
          <w:sz w:val="32"/>
          <w:szCs w:val="32"/>
        </w:rPr>
      </w:pPr>
    </w:p>
    <w:p>
      <w:pPr>
        <w:widowControl/>
        <w:jc w:val="left"/>
      </w:pPr>
      <w:r>
        <w:br w:type="page"/>
      </w:r>
    </w:p>
    <w:p>
      <w:pPr>
        <w:pStyle w:val="3"/>
        <w:rPr>
          <w:rFonts w:ascii="宋体" w:hAnsi="宋体" w:cs="宋体"/>
          <w:color w:val="000000"/>
        </w:rPr>
      </w:pPr>
      <w:bookmarkStart w:id="41" w:name="_Toc5725"/>
      <w:bookmarkStart w:id="42" w:name="_Toc9734"/>
      <w:bookmarkStart w:id="43" w:name="_Toc17554"/>
      <w:r>
        <w:rPr>
          <w:rFonts w:hint="eastAsia" w:ascii="宋体" w:hAnsi="宋体" w:cs="宋体"/>
          <w:color w:val="000000"/>
        </w:rPr>
        <w:t>第二章   谈判响应人须知</w:t>
      </w:r>
      <w:bookmarkEnd w:id="41"/>
      <w:bookmarkEnd w:id="42"/>
      <w:bookmarkEnd w:id="43"/>
    </w:p>
    <w:p>
      <w:pPr>
        <w:pStyle w:val="46"/>
        <w:rPr>
          <w:rFonts w:ascii="宋体" w:hAnsi="宋体"/>
          <w:color w:val="000000"/>
        </w:rPr>
      </w:pPr>
      <w:bookmarkStart w:id="44" w:name="_Toc16301"/>
      <w:bookmarkStart w:id="45" w:name="_Toc27607"/>
      <w:r>
        <w:rPr>
          <w:rFonts w:hint="eastAsia" w:ascii="宋体" w:hAnsi="宋体"/>
          <w:color w:val="000000"/>
        </w:rPr>
        <w:t>第一节  谈判响应人须知前附表</w:t>
      </w:r>
      <w:bookmarkEnd w:id="44"/>
      <w:bookmarkEnd w:id="45"/>
    </w:p>
    <w:tbl>
      <w:tblPr>
        <w:tblStyle w:val="22"/>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CG-AQ-W</w:t>
            </w:r>
            <w:r>
              <w:rPr>
                <w:rFonts w:hint="eastAsia" w:ascii="宋体" w:hAnsi="宋体" w:cs="宋体"/>
                <w:color w:val="000000"/>
                <w:szCs w:val="21"/>
                <w:lang w:eastAsia="zh-CN"/>
              </w:rPr>
              <w:t>2023</w:t>
            </w:r>
            <w:r>
              <w:rPr>
                <w:rFonts w:hint="eastAsia" w:ascii="宋体" w:hAnsi="宋体" w:cs="宋体"/>
                <w:color w:val="000000"/>
                <w:szCs w:val="21"/>
              </w:rPr>
              <w:t>-017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lang w:eastAsia="zh-CN"/>
              </w:rPr>
              <w:t>数控车间智能化升级改造项目</w:t>
            </w:r>
            <w:r>
              <w:rPr>
                <w:rFonts w:hint="eastAsia" w:ascii="宋体" w:hAnsi="宋体" w:cs="宋体"/>
                <w:color w:val="000000"/>
                <w:szCs w:val="21"/>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kern w:val="0"/>
                <w:szCs w:val="21"/>
              </w:rPr>
              <w:t>安庆市皖宜项目咨询</w:t>
            </w:r>
            <w:r>
              <w:rPr>
                <w:rFonts w:hint="eastAsia" w:ascii="宋体" w:hAnsi="宋体" w:cs="宋体"/>
                <w:color w:val="000000"/>
                <w:szCs w:val="21"/>
              </w:rPr>
              <w:t>管理</w:t>
            </w:r>
            <w:r>
              <w:rPr>
                <w:rFonts w:hint="eastAsia" w:ascii="宋体" w:hAnsi="宋体" w:cs="宋体"/>
                <w:kern w:val="0"/>
                <w:szCs w:val="21"/>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人民币</w:t>
            </w:r>
            <w:r>
              <w:rPr>
                <w:rFonts w:hint="eastAsia" w:ascii="宋体" w:hAnsi="宋体" w:cs="宋体"/>
                <w:color w:val="000000"/>
                <w:szCs w:val="21"/>
                <w:lang w:val="en-US" w:eastAsia="zh-CN"/>
              </w:rPr>
              <w:t>壹拾贰万陆仟元</w:t>
            </w:r>
            <w:r>
              <w:rPr>
                <w:rFonts w:hint="eastAsia" w:ascii="宋体" w:hAnsi="宋体" w:cs="宋体"/>
                <w:color w:val="000000"/>
                <w:szCs w:val="21"/>
              </w:rPr>
              <w:t>整（￥</w:t>
            </w:r>
            <w:r>
              <w:rPr>
                <w:rFonts w:hint="eastAsia" w:ascii="宋体" w:hAnsi="宋体" w:cs="宋体"/>
                <w:color w:val="000000"/>
                <w:szCs w:val="21"/>
                <w:lang w:val="en-US" w:eastAsia="zh-CN"/>
              </w:rPr>
              <w:t>12.6</w:t>
            </w:r>
            <w:r>
              <w:rPr>
                <w:rFonts w:hint="eastAsia" w:ascii="宋体" w:hAnsi="宋体" w:cs="宋体"/>
                <w:color w:val="000000"/>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rPr>
              <w:t>交货、安装、调试期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rPr>
              <w:t>合同签订后</w:t>
            </w:r>
            <w:r>
              <w:rPr>
                <w:rFonts w:hint="eastAsia" w:ascii="宋体" w:hAnsi="宋体" w:cs="宋体"/>
                <w:szCs w:val="21"/>
                <w:highlight w:val="none"/>
                <w:lang w:val="en-US" w:eastAsia="zh-CN"/>
              </w:rPr>
              <w:t>30</w:t>
            </w:r>
            <w:r>
              <w:rPr>
                <w:rFonts w:hint="eastAsia" w:ascii="宋体" w:hAnsi="宋体" w:cs="宋体"/>
                <w:szCs w:val="21"/>
                <w:highlight w:val="none"/>
              </w:rPr>
              <w:t>日内完成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20" w:lineRule="exact"/>
              <w:rPr>
                <w:rFonts w:hint="eastAsia" w:ascii="宋体" w:hAnsi="宋体" w:cs="宋体"/>
                <w:color w:val="000000"/>
                <w:szCs w:val="21"/>
                <w:lang w:eastAsia="zh-CN"/>
              </w:rPr>
            </w:pPr>
            <w:r>
              <w:rPr>
                <w:rFonts w:hint="eastAsia" w:ascii="宋体" w:hAnsi="宋体" w:cs="宋体"/>
                <w:color w:val="000000"/>
                <w:szCs w:val="21"/>
              </w:rPr>
              <w:t>提交响应文件截止时间：</w:t>
            </w:r>
            <w:r>
              <w:rPr>
                <w:rFonts w:hint="eastAsia" w:ascii="宋体" w:hAnsi="宋体" w:cs="宋体"/>
                <w:color w:val="000000"/>
                <w:szCs w:val="21"/>
                <w:lang w:eastAsia="zh-CN"/>
              </w:rPr>
              <w:t>2023年2月20日9时30分</w:t>
            </w:r>
          </w:p>
          <w:p>
            <w:pPr>
              <w:numPr>
                <w:ilvl w:val="0"/>
                <w:numId w:val="0"/>
              </w:numPr>
              <w:spacing w:line="420" w:lineRule="exact"/>
              <w:rPr>
                <w:rFonts w:ascii="宋体" w:hAnsi="宋体" w:cs="宋体"/>
                <w:color w:val="000000"/>
                <w:szCs w:val="21"/>
              </w:rPr>
            </w:pPr>
            <w:r>
              <w:rPr>
                <w:rFonts w:hint="eastAsia" w:ascii="宋体" w:hAnsi="宋体" w:cs="宋体"/>
                <w:color w:val="000000"/>
                <w:szCs w:val="21"/>
              </w:rPr>
              <w:t>2、一份正本，二份副本，装在同一密封袋内，密封提交。</w:t>
            </w:r>
          </w:p>
          <w:p>
            <w:pPr>
              <w:spacing w:line="420" w:lineRule="exact"/>
              <w:rPr>
                <w:rFonts w:ascii="宋体" w:hAnsi="宋体" w:cs="宋体"/>
                <w:color w:val="000000"/>
                <w:szCs w:val="21"/>
              </w:rPr>
            </w:pPr>
            <w:r>
              <w:rPr>
                <w:rFonts w:hint="eastAsia" w:ascii="宋体" w:hAnsi="宋体" w:cs="宋体"/>
                <w:color w:val="000000"/>
                <w:szCs w:val="21"/>
              </w:rPr>
              <w:t>3、密封袋上应加盖响应人公章。</w:t>
            </w:r>
          </w:p>
          <w:p>
            <w:pPr>
              <w:spacing w:line="420" w:lineRule="exact"/>
              <w:rPr>
                <w:rFonts w:ascii="宋体" w:hAnsi="宋体" w:cs="宋体"/>
                <w:color w:val="000000"/>
                <w:szCs w:val="21"/>
              </w:rPr>
            </w:pPr>
            <w:r>
              <w:rPr>
                <w:rFonts w:hint="eastAsia" w:ascii="宋体" w:hAnsi="宋体" w:cs="宋体"/>
                <w:color w:val="000000"/>
                <w:szCs w:val="21"/>
              </w:rPr>
              <w:t>4、响应文件需装订并编码。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在安庆市皖宜项目咨询管理有限公司（http://wyxmzx.com/index.html）、安庆职业技术学院（https://www.aqvtc.edu.cn/）招标采购栏目</w:t>
            </w:r>
            <w:r>
              <w:rPr>
                <w:rFonts w:hint="eastAsia" w:ascii="宋体" w:hAnsi="宋体" w:cs="宋体"/>
                <w:color w:val="000000"/>
                <w:szCs w:val="21"/>
              </w:rPr>
              <w:t>上</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u w:val="single"/>
              </w:rPr>
            </w:pPr>
            <w:r>
              <w:rPr>
                <w:rFonts w:hint="eastAsia" w:ascii="宋体" w:hAnsi="宋体" w:cs="宋体"/>
                <w:szCs w:val="21"/>
              </w:rPr>
              <w:t>时间:</w:t>
            </w:r>
            <w:r>
              <w:rPr>
                <w:rFonts w:hint="eastAsia" w:ascii="宋体" w:hAnsi="宋体" w:cs="宋体"/>
                <w:szCs w:val="21"/>
                <w:u w:val="single"/>
                <w:lang w:eastAsia="zh-CN"/>
              </w:rPr>
              <w:t>2023年2月20日9时30分</w:t>
            </w:r>
          </w:p>
          <w:p>
            <w:pPr>
              <w:spacing w:line="360" w:lineRule="auto"/>
              <w:rPr>
                <w:rFonts w:ascii="宋体" w:hAnsi="宋体" w:cs="宋体"/>
                <w:szCs w:val="21"/>
              </w:rPr>
            </w:pPr>
            <w:r>
              <w:rPr>
                <w:rFonts w:hint="eastAsia" w:ascii="宋体" w:hAnsi="宋体" w:cs="宋体"/>
                <w:szCs w:val="21"/>
              </w:rPr>
              <w:t>地点: 安庆市公共资源交易中心</w:t>
            </w:r>
          </w:p>
          <w:p>
            <w:pPr>
              <w:spacing w:line="420" w:lineRule="exact"/>
              <w:rPr>
                <w:rFonts w:ascii="宋体" w:hAnsi="宋体" w:cs="宋体"/>
                <w:color w:val="000000"/>
                <w:szCs w:val="21"/>
              </w:rPr>
            </w:pPr>
            <w:r>
              <w:rPr>
                <w:rFonts w:hint="eastAsia" w:ascii="宋体" w:hAnsi="宋体" w:cs="宋体"/>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采用最低价评标法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履约保证金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pPr>
            <w:r>
              <w:rPr>
                <w:rFonts w:hint="eastAsia"/>
              </w:rPr>
              <w:t>履约保证金金额：成交价的</w:t>
            </w:r>
            <w:r>
              <w:rPr>
                <w:rFonts w:hint="eastAsia"/>
                <w:u w:val="single"/>
              </w:rPr>
              <w:t>2.5</w:t>
            </w:r>
            <w:r>
              <w:rPr>
                <w:rFonts w:hint="eastAsia"/>
              </w:rPr>
              <w:t xml:space="preserve"> %</w:t>
            </w:r>
          </w:p>
          <w:p>
            <w:pPr>
              <w:spacing w:line="420" w:lineRule="exact"/>
            </w:pPr>
            <w:r>
              <w:rPr>
                <w:rFonts w:hint="eastAsia"/>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pPr>
            <w:r>
              <w:rPr>
                <w:rFonts w:hint="eastAsia"/>
              </w:rPr>
              <w:t>履约保证金的提交：成交人在合同签订前按照竞争性谈判文件要求提交给采购人。</w:t>
            </w:r>
          </w:p>
          <w:p>
            <w:pPr>
              <w:spacing w:line="420" w:lineRule="exact"/>
            </w:pPr>
            <w:r>
              <w:rPr>
                <w:rFonts w:hint="eastAsia"/>
                <w:highlight w:val="none"/>
              </w:rPr>
              <w:t>履约保证金的退还：一年后无质量问题一次性退还（不计息）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按照竞争性谈判文件规定收取，由成交人支付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u w:val="single"/>
              </w:rPr>
            </w:pPr>
            <w:r>
              <w:rPr>
                <w:rFonts w:hint="eastAsia" w:ascii="宋体" w:hAnsi="宋体" w:cs="宋体"/>
                <w:szCs w:val="21"/>
                <w:highlight w:val="none"/>
              </w:rPr>
              <w:t>项目完成后支付90%。半年后无故障支付剩余10%。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质疑函递交方式、接收部门、联系电话和通讯地址</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递交方式：书面或电子形式</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联系电话：0556-5991152</w:t>
            </w:r>
          </w:p>
          <w:p>
            <w:pPr>
              <w:spacing w:line="420" w:lineRule="exact"/>
              <w:rPr>
                <w:rFonts w:ascii="宋体" w:hAnsi="宋体" w:cs="宋体"/>
                <w:color w:val="000000"/>
                <w:szCs w:val="21"/>
              </w:rPr>
            </w:pPr>
            <w:r>
              <w:rPr>
                <w:rFonts w:hint="eastAsia" w:ascii="宋体" w:hAnsi="宋体" w:cs="宋体"/>
                <w:color w:val="000000"/>
                <w:szCs w:val="21"/>
              </w:rPr>
              <w:t>通讯地址：安庆市龙山路213号五楼交易二部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本竞争性谈判文件的解释权归采购单位。</w:t>
            </w:r>
          </w:p>
        </w:tc>
      </w:tr>
    </w:tbl>
    <w:p>
      <w:pPr>
        <w:pStyle w:val="46"/>
        <w:jc w:val="both"/>
        <w:rPr>
          <w:rFonts w:ascii="宋体" w:hAnsi="宋体"/>
          <w:color w:val="000000"/>
        </w:rPr>
      </w:pPr>
      <w:bookmarkStart w:id="46" w:name="_Toc12932"/>
      <w:bookmarkStart w:id="47" w:name="_Toc14999"/>
    </w:p>
    <w:p>
      <w:pPr>
        <w:pStyle w:val="46"/>
        <w:ind w:firstLine="2711" w:firstLineChars="900"/>
        <w:jc w:val="both"/>
        <w:rPr>
          <w:rFonts w:ascii="宋体" w:hAnsi="宋体"/>
          <w:color w:val="000000"/>
        </w:rPr>
      </w:pPr>
      <w:r>
        <w:rPr>
          <w:rFonts w:hint="eastAsia" w:ascii="宋体" w:hAnsi="宋体"/>
          <w:color w:val="000000"/>
        </w:rPr>
        <w:t>第二节  谈判响应人须知</w:t>
      </w:r>
      <w:bookmarkEnd w:id="46"/>
      <w:bookmarkEnd w:id="47"/>
    </w:p>
    <w:p>
      <w:pPr>
        <w:pStyle w:val="6"/>
        <w:ind w:firstLine="472" w:firstLineChars="196"/>
        <w:jc w:val="both"/>
        <w:rPr>
          <w:rFonts w:hAnsi="宋体" w:cs="宋体"/>
          <w:color w:val="000000"/>
        </w:rPr>
      </w:pPr>
      <w:bookmarkStart w:id="48" w:name="_Toc27892"/>
      <w:bookmarkStart w:id="49" w:name="_Toc7034"/>
      <w:r>
        <w:rPr>
          <w:rFonts w:hint="eastAsia" w:hAnsi="宋体" w:cs="宋体"/>
          <w:color w:val="000000"/>
        </w:rPr>
        <w:t>一、总则</w:t>
      </w:r>
      <w:bookmarkEnd w:id="48"/>
      <w:bookmarkEnd w:id="49"/>
    </w:p>
    <w:p>
      <w:pPr>
        <w:spacing w:line="360" w:lineRule="auto"/>
        <w:ind w:firstLine="422" w:firstLineChars="200"/>
        <w:rPr>
          <w:rFonts w:ascii="宋体" w:hAnsi="宋体" w:cs="宋体"/>
          <w:color w:val="000000"/>
          <w:szCs w:val="21"/>
        </w:rPr>
      </w:pPr>
      <w:r>
        <w:rPr>
          <w:rFonts w:hint="eastAsia" w:ascii="宋体" w:hAnsi="宋体" w:cs="宋体"/>
          <w:b/>
          <w:color w:val="000000"/>
          <w:szCs w:val="21"/>
        </w:rPr>
        <w:t>1、</w:t>
      </w:r>
      <w:r>
        <w:rPr>
          <w:rFonts w:hint="eastAsia" w:ascii="宋体" w:hAnsi="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2、定义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2.1、采购单位是指采购人和采购代理机构。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2.2、谈判响应人是指对“谈判响应人须知前附表”序号2所指的项目表现出兴趣，按照</w:t>
      </w:r>
      <w:r>
        <w:rPr>
          <w:rFonts w:hint="eastAsia" w:ascii="宋体" w:hAnsi="宋体" w:cs="宋体"/>
          <w:color w:val="000000"/>
        </w:rPr>
        <w:t>约定</w:t>
      </w:r>
      <w:r>
        <w:rPr>
          <w:rFonts w:hint="eastAsia" w:ascii="宋体" w:hAnsi="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3、谈判响应人资格要求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3.1、参与本项目的谈判响应人必须满足的要求：详见谈判响应人须知前附表。</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color w:val="000000"/>
          <w:szCs w:val="21"/>
        </w:rPr>
        <w:t>谈判</w:t>
      </w:r>
      <w:r>
        <w:rPr>
          <w:rFonts w:hint="eastAsia" w:ascii="Arial" w:hAnsi="Arial" w:cs="Arial"/>
        </w:rPr>
        <w:t>，须取得总公司的相关授权（</w:t>
      </w:r>
      <w:r>
        <w:rPr>
          <w:rFonts w:hint="eastAsia" w:ascii="宋体" w:hAnsi="宋体" w:cs="宋体"/>
          <w:color w:val="000000"/>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color w:val="000000"/>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cs="宋体"/>
          <w:color w:val="000000"/>
          <w:szCs w:val="21"/>
        </w:rPr>
      </w:pPr>
      <w:r>
        <w:rPr>
          <w:rFonts w:hint="eastAsia" w:ascii="宋体" w:hAnsi="宋体" w:cs="宋体"/>
          <w:b/>
          <w:color w:val="000000"/>
        </w:rPr>
        <w:t>4、踏勘现场：</w:t>
      </w:r>
      <w:r>
        <w:rPr>
          <w:rFonts w:hint="eastAsia" w:ascii="宋体" w:hAnsi="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000000"/>
          <w:szCs w:val="21"/>
        </w:rPr>
      </w:pPr>
      <w:r>
        <w:rPr>
          <w:rFonts w:hint="eastAsia" w:ascii="宋体" w:hAnsi="宋体" w:cs="宋体"/>
          <w:b/>
          <w:color w:val="000000"/>
          <w:szCs w:val="21"/>
        </w:rPr>
        <w:t>5、联合体响应</w:t>
      </w:r>
    </w:p>
    <w:p>
      <w:pPr>
        <w:spacing w:line="360" w:lineRule="auto"/>
        <w:rPr>
          <w:rFonts w:ascii="宋体" w:hAnsi="宋体" w:cs="宋体"/>
          <w:color w:val="000000"/>
          <w:szCs w:val="21"/>
        </w:rPr>
      </w:pPr>
      <w:r>
        <w:rPr>
          <w:rFonts w:hint="eastAsia" w:ascii="宋体" w:hAnsi="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6、谈判响应费用：</w:t>
      </w:r>
      <w:r>
        <w:rPr>
          <w:rFonts w:hint="eastAsia" w:ascii="宋体" w:hAnsi="宋体" w:cs="宋体"/>
          <w:b/>
          <w:color w:val="000000"/>
          <w:szCs w:val="21"/>
        </w:rPr>
        <w:t>谈判响应人必须自行承担参加谈判响应的所有费用。</w:t>
      </w:r>
      <w:r>
        <w:rPr>
          <w:rFonts w:hint="eastAsia" w:ascii="宋体" w:hAnsi="宋体" w:cs="宋体"/>
          <w:color w:val="000000"/>
          <w:szCs w:val="21"/>
        </w:rPr>
        <w:t>不论成交与否，采购单位在任何情况下均无义务和责任承担这些费用。</w:t>
      </w:r>
    </w:p>
    <w:p>
      <w:pPr>
        <w:pStyle w:val="6"/>
        <w:ind w:firstLine="472" w:firstLineChars="196"/>
        <w:rPr>
          <w:rFonts w:hAnsi="宋体" w:cs="宋体"/>
          <w:color w:val="000000"/>
        </w:rPr>
      </w:pPr>
      <w:bookmarkStart w:id="50" w:name="_Toc1655"/>
      <w:bookmarkStart w:id="51" w:name="_Toc8536"/>
      <w:r>
        <w:rPr>
          <w:rFonts w:hint="eastAsia" w:hAnsi="宋体" w:cs="宋体"/>
          <w:color w:val="000000"/>
        </w:rPr>
        <w:t>二、竞争性谈判文件</w:t>
      </w:r>
      <w:bookmarkEnd w:id="50"/>
      <w:bookmarkEnd w:id="51"/>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7、竞争性谈判文件的构成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7.1、竞争性谈判文件包括：</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（1）第一章  竞争性谈判公告；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（2）第二章  谈判响应人须知；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（3）第三章  货物需求及技术要求；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（4）第四章  合同主要条款；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（5）第五章  谈判响应文件格式；</w:t>
      </w:r>
    </w:p>
    <w:p>
      <w:pPr>
        <w:spacing w:line="360" w:lineRule="auto"/>
        <w:rPr>
          <w:rFonts w:ascii="宋体" w:hAnsi="宋体" w:cs="宋体"/>
          <w:color w:val="000000"/>
          <w:szCs w:val="21"/>
        </w:rPr>
      </w:pPr>
      <w:r>
        <w:rPr>
          <w:rFonts w:hint="eastAsia" w:ascii="宋体" w:hAnsi="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3050346988@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8、竞争性谈判文件的澄清</w:t>
      </w:r>
    </w:p>
    <w:p>
      <w:pPr>
        <w:spacing w:line="360" w:lineRule="auto"/>
        <w:rPr>
          <w:rFonts w:ascii="宋体" w:hAnsi="宋体" w:cs="宋体"/>
          <w:szCs w:val="21"/>
        </w:rPr>
      </w:pPr>
      <w:r>
        <w:rPr>
          <w:rFonts w:hint="eastAsia" w:ascii="宋体" w:hAnsi="宋体" w:cs="宋体"/>
          <w:color w:val="000000"/>
          <w:szCs w:val="21"/>
        </w:rPr>
        <w:t xml:space="preserve">    </w:t>
      </w: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8.2、谈判响应人对竞争性谈判文件如有质疑，应在提交响应文件截止时间2个工作日前向采购单位提出并将问题发送至邮箱3050346988@qq.com。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000000"/>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9821"/>
      <w:bookmarkStart w:id="53" w:name="_Toc6760"/>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均通过安庆市皖宜项目咨询管理有限公司（http://wyxmzx.com/index.html）、安庆职业技术学院（https://www.aqvtc.edu.cn/）招标采购栏目发布，该修改内容作为谈判文件的组成部分，具有约束作用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hint="eastAsia" w:ascii="宋体" w:hAnsi="宋体" w:cs="宋体"/>
          <w:szCs w:val="21"/>
        </w:rPr>
        <w:t xml:space="preserve"> </w:t>
      </w: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p>
      <w:pPr>
        <w:pStyle w:val="6"/>
        <w:ind w:firstLine="472" w:firstLineChars="196"/>
        <w:rPr>
          <w:rFonts w:hAnsi="宋体" w:cs="宋体"/>
          <w:color w:val="000000"/>
        </w:rPr>
      </w:pPr>
      <w:r>
        <w:rPr>
          <w:rFonts w:hint="eastAsia" w:hAnsi="宋体" w:cs="宋体"/>
          <w:color w:val="000000"/>
        </w:rPr>
        <w:t>三、谈判响应文件的编制</w:t>
      </w:r>
      <w:bookmarkEnd w:id="52"/>
      <w:bookmarkEnd w:id="53"/>
    </w:p>
    <w:p>
      <w:pPr>
        <w:spacing w:line="360" w:lineRule="auto"/>
        <w:rPr>
          <w:rFonts w:ascii="宋体" w:hAnsi="宋体" w:cs="宋体"/>
          <w:b/>
          <w:color w:val="000000"/>
          <w:szCs w:val="21"/>
        </w:rPr>
      </w:pPr>
      <w:r>
        <w:rPr>
          <w:rFonts w:hint="eastAsia" w:ascii="宋体" w:hAnsi="宋体" w:cs="宋体"/>
          <w:b/>
          <w:color w:val="000000"/>
          <w:szCs w:val="21"/>
        </w:rPr>
        <w:t xml:space="preserve">    10、谈判响应的语言及度量衡单位</w:t>
      </w:r>
    </w:p>
    <w:p>
      <w:pPr>
        <w:spacing w:line="360" w:lineRule="auto"/>
        <w:rPr>
          <w:rFonts w:ascii="宋体" w:hAnsi="宋体" w:cs="宋体"/>
          <w:color w:val="000000"/>
          <w:szCs w:val="21"/>
        </w:rPr>
      </w:pPr>
      <w:r>
        <w:rPr>
          <w:rFonts w:hint="eastAsia" w:ascii="宋体" w:hAnsi="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cs="宋体"/>
          <w:color w:val="000000"/>
          <w:szCs w:val="21"/>
        </w:rPr>
      </w:pPr>
      <w:r>
        <w:rPr>
          <w:rFonts w:hint="eastAsia" w:ascii="宋体" w:hAnsi="宋体" w:cs="宋体"/>
          <w:color w:val="000000"/>
          <w:szCs w:val="21"/>
        </w:rPr>
        <w:t xml:space="preserve">    10.2、除竞争性谈判文件中另有</w:t>
      </w:r>
      <w:r>
        <w:rPr>
          <w:rFonts w:hint="eastAsia" w:ascii="宋体" w:hAnsi="宋体" w:cs="宋体"/>
          <w:color w:val="000000"/>
        </w:rPr>
        <w:t>约定</w:t>
      </w:r>
      <w:r>
        <w:rPr>
          <w:rFonts w:hint="eastAsia" w:ascii="宋体" w:hAnsi="宋体" w:cs="宋体"/>
          <w:color w:val="000000"/>
          <w:szCs w:val="21"/>
        </w:rPr>
        <w:t>外，谈判响应文件所使用的度量衡均须采用中华人民共和国法定计量单位。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11、谈判响应文件的构成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11.1、谈判响应文件应该按照“谈判响应文件格式”</w:t>
      </w:r>
      <w:r>
        <w:rPr>
          <w:rFonts w:hint="eastAsia" w:ascii="宋体" w:hAnsi="宋体" w:cs="宋体"/>
          <w:color w:val="000000"/>
        </w:rPr>
        <w:t>约定</w:t>
      </w:r>
      <w:r>
        <w:rPr>
          <w:rFonts w:hint="eastAsia" w:ascii="宋体" w:hAnsi="宋体" w:cs="宋体"/>
          <w:color w:val="000000"/>
          <w:szCs w:val="21"/>
        </w:rPr>
        <w:t>的内容和顺序进行编写。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11.2、谈判响应人应提交“谈判响应人须知前附表”中</w:t>
      </w:r>
      <w:r>
        <w:rPr>
          <w:rFonts w:hint="eastAsia" w:ascii="宋体" w:hAnsi="宋体" w:cs="宋体"/>
          <w:color w:val="000000"/>
        </w:rPr>
        <w:t>约定</w:t>
      </w:r>
      <w:r>
        <w:rPr>
          <w:rFonts w:hint="eastAsia" w:ascii="宋体" w:hAnsi="宋体" w:cs="宋体"/>
          <w:color w:val="000000"/>
          <w:szCs w:val="21"/>
        </w:rPr>
        <w:t>的谈判响应文件。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11.4、谈判响应人提供的产品质量和服务均能满足竞争性谈判文件</w:t>
      </w:r>
      <w:r>
        <w:rPr>
          <w:rFonts w:hint="eastAsia" w:ascii="宋体" w:hAnsi="宋体" w:cs="宋体"/>
          <w:color w:val="000000"/>
        </w:rPr>
        <w:t>约定</w:t>
      </w:r>
      <w:r>
        <w:rPr>
          <w:rFonts w:hint="eastAsia" w:ascii="宋体" w:hAnsi="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12、谈判响应报价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12.1、谈判响应文件的货物报价表(首轮）上应清楚地标明谈判响应人拟提供货物的名称、生产厂家、品牌、型号、单位、数量、单价和总价等内容。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12.3、谈判响应人的报价应包含满足本次采购需求的所有费用（包括但不限于：所投货物、保险、税费、包装、加工及加工损耗、运输、现场落地、安装及安装损耗、调试、检测验收和交付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rPr>
        <w:t>后约定</w:t>
      </w:r>
      <w:r>
        <w:rPr>
          <w:rFonts w:hint="eastAsia" w:ascii="宋体" w:hAnsi="宋体" w:cs="宋体"/>
          <w:color w:val="000000"/>
          <w:szCs w:val="21"/>
        </w:rPr>
        <w:t>期限内维保等）。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5.2 </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5.3 </w:t>
      </w:r>
      <w:r>
        <w:rPr>
          <w:rFonts w:hint="eastAsia" w:ascii="宋体" w:hAnsi="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5.4 </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3"/>
        </w:numPr>
        <w:spacing w:line="360" w:lineRule="auto"/>
        <w:ind w:firstLine="422" w:firstLineChars="200"/>
        <w:rPr>
          <w:rFonts w:ascii="宋体" w:hAnsi="宋体" w:cs="宋体"/>
          <w:color w:val="000000"/>
          <w:szCs w:val="21"/>
        </w:rPr>
      </w:pPr>
      <w:r>
        <w:rPr>
          <w:rFonts w:hint="eastAsia" w:ascii="宋体" w:hAnsi="宋体" w:cs="宋体"/>
          <w:b/>
          <w:color w:val="000000"/>
          <w:szCs w:val="21"/>
        </w:rPr>
        <w:t>谈判响应货币：</w:t>
      </w:r>
      <w:r>
        <w:rPr>
          <w:rFonts w:hint="eastAsia" w:ascii="宋体" w:hAnsi="宋体" w:cs="宋体"/>
          <w:color w:val="000000"/>
          <w:szCs w:val="21"/>
        </w:rPr>
        <w:t>人民币。</w:t>
      </w:r>
    </w:p>
    <w:p>
      <w:pPr>
        <w:numPr>
          <w:ilvl w:val="0"/>
          <w:numId w:val="3"/>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15、谈判响应有效期</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15.1、谈判响应有效期见“谈判响应人须知前附表”的约定。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szCs w:val="21"/>
        </w:rPr>
      </w:pPr>
      <w:bookmarkStart w:id="54" w:name="_Toc25319"/>
      <w:bookmarkStart w:id="55" w:name="_Toc19542"/>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谈判响应文件封面、谈判响应函、货物报价表（首轮）、最终报价表、</w:t>
      </w:r>
      <w:r>
        <w:rPr>
          <w:rFonts w:hint="eastAsia" w:ascii="宋体" w:hAnsi="宋体" w:cs="宋体"/>
          <w:b/>
          <w:color w:val="000000"/>
        </w:rPr>
        <w:t>技术参数响应</w:t>
      </w:r>
      <w:r>
        <w:rPr>
          <w:rFonts w:hint="eastAsia" w:ascii="宋体" w:hAnsi="宋体" w:cs="宋体"/>
          <w:b/>
        </w:rPr>
        <w:t>表均应加盖谈判响应人公章并经法定代表人或委托代理人签字或加盖印章。</w:t>
      </w:r>
      <w:r>
        <w:rPr>
          <w:rFonts w:hint="eastAsia" w:ascii="宋体" w:hAnsi="宋体" w:cs="宋体"/>
          <w:b/>
          <w:spacing w:val="-2"/>
        </w:rPr>
        <w:t>谈判响应文件封面、谈判响应函及货物报价表（首轮）、最终报价表、</w:t>
      </w:r>
      <w:r>
        <w:rPr>
          <w:rFonts w:hint="eastAsia" w:ascii="宋体" w:hAnsi="宋体" w:cs="宋体"/>
          <w:b/>
        </w:rPr>
        <w:t>技术参数响应表的签字或盖章</w:t>
      </w:r>
      <w:r>
        <w:rPr>
          <w:rFonts w:hint="eastAsia" w:ascii="宋体" w:hAnsi="宋体" w:cs="宋体"/>
          <w:b/>
          <w:spacing w:val="-2"/>
        </w:rPr>
        <w:t>不符合谈判文件要求的，谈判小组可要求其法定代表人或其委托的委托代理人补齐签字或承诺在签订合同前按照谈判文件要求加盖印章。</w:t>
      </w:r>
    </w:p>
    <w:p>
      <w:pPr>
        <w:pStyle w:val="6"/>
        <w:numPr>
          <w:ilvl w:val="0"/>
          <w:numId w:val="4"/>
        </w:numPr>
        <w:ind w:firstLine="472" w:firstLineChars="196"/>
        <w:rPr>
          <w:rFonts w:hAnsi="宋体" w:cs="宋体"/>
          <w:color w:val="000000"/>
        </w:rPr>
      </w:pPr>
      <w:r>
        <w:rPr>
          <w:rFonts w:hint="eastAsia" w:hAnsi="宋体" w:cs="宋体"/>
          <w:color w:val="000000"/>
        </w:rPr>
        <w:t>谈判响应文件的提交</w:t>
      </w:r>
      <w:bookmarkEnd w:id="54"/>
      <w:bookmarkEnd w:id="55"/>
    </w:p>
    <w:p>
      <w:pPr>
        <w:spacing w:line="360" w:lineRule="auto"/>
        <w:ind w:firstLine="422" w:firstLineChars="200"/>
        <w:rPr>
          <w:rFonts w:ascii="宋体" w:hAnsi="宋体" w:cs="宋体"/>
          <w:b/>
          <w:bCs/>
          <w:szCs w:val="21"/>
        </w:rPr>
      </w:pPr>
      <w:r>
        <w:rPr>
          <w:rFonts w:hint="eastAsia" w:ascii="宋体" w:hAnsi="宋体" w:cs="宋体"/>
          <w:b/>
          <w:bCs/>
          <w:szCs w:val="21"/>
        </w:rPr>
        <w:t>17、谈判响应文件的的装订、密封和标记</w:t>
      </w:r>
    </w:p>
    <w:p>
      <w:pPr>
        <w:spacing w:line="360" w:lineRule="auto"/>
        <w:ind w:firstLine="420" w:firstLineChars="200"/>
        <w:rPr>
          <w:rFonts w:ascii="宋体" w:hAnsi="宋体" w:cs="宋体"/>
          <w:szCs w:val="21"/>
        </w:rPr>
      </w:pPr>
      <w:r>
        <w:rPr>
          <w:rFonts w:hint="eastAsia" w:ascii="宋体" w:hAnsi="宋体" w:cs="宋体"/>
          <w:szCs w:val="21"/>
        </w:rPr>
        <w:t>17.1、响应文件需装订并编码，不得采用活页装订。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17.2、供应商应将响应文件的正本、副本同时密封于一个文件袋内。包装密封，并在封袋的封口处加盖单位公章。</w:t>
      </w:r>
    </w:p>
    <w:p>
      <w:pPr>
        <w:spacing w:line="360" w:lineRule="auto"/>
        <w:ind w:firstLine="422" w:firstLineChars="200"/>
        <w:rPr>
          <w:rFonts w:ascii="宋体" w:hAnsi="宋体" w:cs="宋体"/>
          <w:b/>
          <w:bCs/>
          <w:szCs w:val="21"/>
        </w:rPr>
      </w:pPr>
      <w:r>
        <w:rPr>
          <w:rFonts w:hint="eastAsia" w:ascii="宋体" w:hAnsi="宋体" w:cs="宋体"/>
          <w:b/>
          <w:bCs/>
          <w:szCs w:val="21"/>
        </w:rPr>
        <w:t>17.3、密封袋上应写明：</w:t>
      </w:r>
    </w:p>
    <w:p>
      <w:pPr>
        <w:spacing w:line="360" w:lineRule="auto"/>
        <w:ind w:firstLine="422" w:firstLineChars="200"/>
        <w:rPr>
          <w:rFonts w:ascii="宋体" w:hAnsi="宋体" w:cs="宋体"/>
          <w:b/>
          <w:bCs/>
          <w:szCs w:val="21"/>
        </w:rPr>
      </w:pPr>
      <w:r>
        <w:rPr>
          <w:rFonts w:hint="eastAsia" w:ascii="宋体" w:hAnsi="宋体" w:cs="宋体"/>
          <w:b/>
          <w:bCs/>
          <w:szCs w:val="21"/>
        </w:rPr>
        <w:t>项目名称：</w:t>
      </w:r>
    </w:p>
    <w:p>
      <w:pPr>
        <w:spacing w:line="360" w:lineRule="auto"/>
        <w:ind w:firstLine="422" w:firstLineChars="200"/>
        <w:rPr>
          <w:rFonts w:ascii="宋体" w:hAnsi="宋体" w:cs="宋体"/>
          <w:b/>
          <w:bCs/>
          <w:szCs w:val="21"/>
        </w:rPr>
      </w:pPr>
      <w:r>
        <w:rPr>
          <w:rFonts w:hint="eastAsia" w:ascii="宋体" w:hAnsi="宋体" w:cs="宋体"/>
          <w:b/>
          <w:bCs/>
          <w:szCs w:val="21"/>
        </w:rPr>
        <w:t>采购人名称：</w:t>
      </w:r>
    </w:p>
    <w:p>
      <w:pPr>
        <w:spacing w:line="360" w:lineRule="auto"/>
        <w:ind w:firstLine="422" w:firstLineChars="200"/>
        <w:rPr>
          <w:rFonts w:ascii="宋体" w:hAnsi="宋体" w:cs="宋体"/>
          <w:b/>
          <w:bCs/>
          <w:szCs w:val="21"/>
        </w:rPr>
      </w:pPr>
      <w:r>
        <w:rPr>
          <w:rFonts w:hint="eastAsia" w:ascii="宋体" w:hAnsi="宋体" w:cs="宋体"/>
          <w:b/>
          <w:bCs/>
          <w:szCs w:val="21"/>
        </w:rPr>
        <w:t>谈判响应人名称（加盖谈判响应人公章）。</w:t>
      </w:r>
    </w:p>
    <w:p>
      <w:pPr>
        <w:spacing w:line="360" w:lineRule="auto"/>
        <w:ind w:firstLine="422" w:firstLineChars="200"/>
        <w:rPr>
          <w:rFonts w:ascii="宋体" w:hAnsi="宋体" w:cs="宋体"/>
          <w:b/>
          <w:bCs/>
          <w:szCs w:val="21"/>
        </w:rPr>
      </w:pPr>
      <w:r>
        <w:rPr>
          <w:rFonts w:hint="eastAsia" w:ascii="宋体" w:hAnsi="宋体" w:cs="宋体"/>
          <w:b/>
          <w:bCs/>
          <w:szCs w:val="21"/>
        </w:rPr>
        <w:t>17.4、未按上述要求装订、密封和标记的响应文件，将不被接受。</w:t>
      </w:r>
    </w:p>
    <w:p>
      <w:pPr>
        <w:spacing w:line="360" w:lineRule="auto"/>
        <w:ind w:firstLine="422" w:firstLineChars="200"/>
        <w:rPr>
          <w:rFonts w:ascii="宋体" w:hAnsi="宋体" w:cs="宋体"/>
          <w:b/>
          <w:szCs w:val="21"/>
        </w:rPr>
      </w:pPr>
      <w:r>
        <w:rPr>
          <w:rFonts w:hint="eastAsia" w:ascii="宋体" w:hAnsi="宋体" w:cs="宋体"/>
          <w:b/>
          <w:szCs w:val="21"/>
        </w:rPr>
        <w:t>18、谈判响应截止时间</w:t>
      </w:r>
    </w:p>
    <w:p>
      <w:pPr>
        <w:widowControl/>
        <w:spacing w:line="500" w:lineRule="exact"/>
        <w:ind w:firstLine="420" w:firstLineChars="200"/>
        <w:jc w:val="left"/>
        <w:rPr>
          <w:rFonts w:ascii="宋体" w:hAnsi="宋体" w:cs="宋体"/>
          <w:szCs w:val="21"/>
        </w:rPr>
      </w:pPr>
      <w:r>
        <w:rPr>
          <w:rFonts w:hint="eastAsia" w:ascii="宋体" w:hAnsi="宋体" w:cs="宋体"/>
          <w:szCs w:val="21"/>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ascii="宋体" w:hAnsi="宋体" w:cs="宋体"/>
          <w:b/>
          <w:szCs w:val="21"/>
        </w:rPr>
      </w:pPr>
      <w:r>
        <w:rPr>
          <w:rFonts w:hint="eastAsia" w:ascii="宋体" w:hAnsi="宋体" w:cs="宋体"/>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19、谈判响应文件的修改与撤回</w:t>
      </w:r>
    </w:p>
    <w:p>
      <w:pPr>
        <w:widowControl/>
        <w:spacing w:line="500" w:lineRule="exact"/>
        <w:ind w:firstLine="420" w:firstLineChars="200"/>
        <w:jc w:val="left"/>
        <w:rPr>
          <w:rFonts w:ascii="宋体" w:hAnsi="宋体" w:cs="宋体"/>
          <w:szCs w:val="21"/>
        </w:rPr>
      </w:pPr>
      <w:bookmarkStart w:id="56" w:name="_Toc23598"/>
      <w:bookmarkStart w:id="57" w:name="_Toc32696"/>
      <w:r>
        <w:rPr>
          <w:rFonts w:hint="eastAsia" w:ascii="宋体" w:hAnsi="宋体" w:cs="宋体"/>
          <w:szCs w:val="21"/>
        </w:rPr>
        <w:t>19.1、供应商在提交响应文件以后，在规定的响应文件截止时间之前，可以以书面形式补充、修改或撤回已提交的响应文件，并以书面形式通知采购人。补充、修改的内容为响应文件的组成部分。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r>
        <w:rPr>
          <w:rFonts w:hint="eastAsia" w:ascii="宋体" w:hAnsi="宋体" w:cs="宋体"/>
          <w:szCs w:val="21"/>
        </w:rPr>
        <w:t>19.2、供应商对投标文件的补充、修改或撤回通知，应按须知17条有关规定密封、标记和提交，并在响应文件密封袋上清楚标明“补充、修改”或“撤回”字样。否则，补充、修改或撤回通知无效。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rPr>
      </w:pPr>
      <w:r>
        <w:rPr>
          <w:rFonts w:hint="eastAsia" w:ascii="宋体" w:hAnsi="宋体" w:cs="宋体"/>
          <w:szCs w:val="21"/>
        </w:rPr>
        <w:t>19.3、在规定的响应文件截止时间之后，供应商不得补充、修改投标文件。</w:t>
      </w:r>
    </w:p>
    <w:p>
      <w:pPr>
        <w:pStyle w:val="6"/>
        <w:ind w:firstLine="472" w:firstLineChars="196"/>
        <w:rPr>
          <w:rFonts w:hAnsi="宋体" w:cs="宋体"/>
          <w:color w:val="000000"/>
        </w:rPr>
      </w:pPr>
      <w:r>
        <w:rPr>
          <w:rFonts w:hint="eastAsia" w:hAnsi="宋体" w:cs="宋体"/>
          <w:color w:val="000000"/>
        </w:rPr>
        <w:t>五、</w:t>
      </w:r>
      <w:bookmarkEnd w:id="56"/>
      <w:r>
        <w:rPr>
          <w:rFonts w:hint="eastAsia" w:hAnsi="宋体" w:cs="宋体"/>
          <w:color w:val="000000"/>
        </w:rPr>
        <w:t>谈判程序</w:t>
      </w:r>
      <w:bookmarkEnd w:id="57"/>
    </w:p>
    <w:p>
      <w:pPr>
        <w:widowControl/>
        <w:spacing w:line="500" w:lineRule="exact"/>
        <w:ind w:firstLine="422" w:firstLineChars="200"/>
        <w:jc w:val="left"/>
        <w:rPr>
          <w:rFonts w:ascii="宋体" w:hAnsi="宋体" w:cs="宋体"/>
          <w:szCs w:val="21"/>
        </w:rPr>
      </w:pPr>
      <w:bookmarkStart w:id="58" w:name="_Toc28310"/>
      <w:bookmarkStart w:id="59" w:name="_Toc4803"/>
      <w:r>
        <w:rPr>
          <w:rFonts w:hint="eastAsia" w:ascii="宋体" w:hAnsi="宋体" w:cs="宋体"/>
          <w:b/>
          <w:bCs/>
          <w:szCs w:val="21"/>
        </w:rPr>
        <w:t>20、谈判时间和地点：</w:t>
      </w:r>
      <w:r>
        <w:rPr>
          <w:rFonts w:hint="eastAsia" w:ascii="宋体" w:hAnsi="宋体" w:cs="宋体"/>
          <w:szCs w:val="21"/>
        </w:rPr>
        <w:t>采购单位将在“谈判响应人须知前附表”约定的时间和地点谈判，并邀请监督人员、所有谈判响应人的法定代表人或委托代理人按时参加。</w:t>
      </w:r>
    </w:p>
    <w:p>
      <w:pPr>
        <w:widowControl/>
        <w:spacing w:line="500" w:lineRule="exact"/>
        <w:ind w:firstLine="422" w:firstLineChars="200"/>
        <w:jc w:val="left"/>
        <w:rPr>
          <w:rFonts w:ascii="宋体" w:hAnsi="宋体" w:cs="宋体"/>
          <w:szCs w:val="21"/>
        </w:rPr>
      </w:pPr>
      <w:r>
        <w:rPr>
          <w:rFonts w:hint="eastAsia" w:ascii="宋体" w:hAnsi="宋体" w:cs="宋体"/>
          <w:b/>
          <w:bCs/>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widowControl/>
        <w:spacing w:line="500" w:lineRule="exact"/>
        <w:ind w:firstLine="420" w:firstLineChars="200"/>
        <w:jc w:val="left"/>
        <w:rPr>
          <w:rFonts w:ascii="宋体" w:hAnsi="宋体" w:cs="宋体"/>
          <w:szCs w:val="21"/>
        </w:rPr>
      </w:pPr>
      <w:r>
        <w:rPr>
          <w:rFonts w:hint="eastAsia" w:ascii="宋体" w:hAnsi="宋体" w:cs="宋体"/>
          <w:szCs w:val="21"/>
        </w:rPr>
        <w:t>21.1.2、宣布开标纪律；</w:t>
      </w:r>
    </w:p>
    <w:p>
      <w:pPr>
        <w:widowControl/>
        <w:spacing w:line="500" w:lineRule="exact"/>
        <w:ind w:firstLine="420" w:firstLineChars="200"/>
        <w:jc w:val="left"/>
        <w:rPr>
          <w:rFonts w:ascii="宋体" w:hAnsi="宋体" w:cs="宋体"/>
          <w:szCs w:val="21"/>
        </w:rPr>
      </w:pPr>
      <w:r>
        <w:rPr>
          <w:rFonts w:hint="eastAsia" w:ascii="宋体" w:hAnsi="宋体" w:cs="宋体"/>
          <w:szCs w:val="21"/>
        </w:rPr>
        <w:t xml:space="preserve">21.1.3、由采购人代表查验谈判响应人相关证件资料并检查谈判响应文件的密封情况； </w:t>
      </w:r>
    </w:p>
    <w:p>
      <w:pPr>
        <w:widowControl/>
        <w:spacing w:line="500" w:lineRule="exact"/>
        <w:ind w:firstLine="420" w:firstLineChars="200"/>
        <w:jc w:val="left"/>
        <w:rPr>
          <w:rFonts w:ascii="宋体" w:hAnsi="宋体" w:cs="宋体"/>
          <w:szCs w:val="21"/>
        </w:rPr>
      </w:pPr>
      <w:r>
        <w:rPr>
          <w:rFonts w:hint="eastAsia" w:ascii="宋体" w:hAnsi="宋体" w:cs="宋体"/>
          <w:szCs w:val="21"/>
        </w:rPr>
        <w:t>21.1.4、现场开启响应文件；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21.1.5、采购人代表、记录人等有关人员在开标记录表上签字确认；</w:t>
      </w:r>
    </w:p>
    <w:p>
      <w:pPr>
        <w:widowControl/>
        <w:spacing w:line="500" w:lineRule="exact"/>
        <w:ind w:firstLine="420" w:firstLineChars="200"/>
        <w:jc w:val="left"/>
        <w:rPr>
          <w:rFonts w:ascii="宋体" w:hAnsi="宋体" w:cs="宋体"/>
          <w:szCs w:val="21"/>
        </w:rPr>
      </w:pPr>
      <w:r>
        <w:rPr>
          <w:rFonts w:hint="eastAsia" w:ascii="宋体" w:hAnsi="宋体" w:cs="宋体"/>
          <w:szCs w:val="21"/>
        </w:rPr>
        <w:t>21.1.6、暂时休会，进入评审阶段；</w:t>
      </w:r>
    </w:p>
    <w:p>
      <w:pPr>
        <w:widowControl/>
        <w:spacing w:line="500" w:lineRule="exact"/>
        <w:ind w:firstLine="420" w:firstLineChars="200"/>
        <w:jc w:val="left"/>
        <w:rPr>
          <w:rFonts w:ascii="宋体" w:hAnsi="宋体" w:cs="宋体"/>
          <w:szCs w:val="21"/>
        </w:rPr>
      </w:pPr>
      <w:r>
        <w:rPr>
          <w:rFonts w:hint="eastAsia" w:ascii="宋体" w:hAnsi="宋体" w:cs="宋体"/>
          <w:szCs w:val="21"/>
        </w:rPr>
        <w:t>21.1.7、谈判小组与各个谈判响应人进行谈判；</w:t>
      </w:r>
    </w:p>
    <w:p>
      <w:pPr>
        <w:widowControl/>
        <w:spacing w:line="500" w:lineRule="exact"/>
        <w:ind w:firstLine="420" w:firstLineChars="200"/>
        <w:jc w:val="left"/>
        <w:rPr>
          <w:rFonts w:ascii="宋体" w:hAnsi="宋体" w:cs="宋体"/>
          <w:szCs w:val="21"/>
        </w:rPr>
      </w:pPr>
      <w:r>
        <w:rPr>
          <w:rFonts w:hint="eastAsia" w:ascii="宋体" w:hAnsi="宋体" w:cs="宋体"/>
          <w:szCs w:val="21"/>
        </w:rPr>
        <w:t>21.1.8、各个谈判响应人进行最终报价；</w:t>
      </w:r>
    </w:p>
    <w:p>
      <w:pPr>
        <w:widowControl/>
        <w:spacing w:line="500" w:lineRule="exact"/>
        <w:ind w:firstLine="420" w:firstLineChars="200"/>
        <w:jc w:val="left"/>
        <w:rPr>
          <w:rFonts w:ascii="宋体" w:hAnsi="宋体" w:cs="宋体"/>
          <w:szCs w:val="21"/>
        </w:rPr>
      </w:pPr>
      <w:r>
        <w:rPr>
          <w:rFonts w:hint="eastAsia" w:ascii="宋体" w:hAnsi="宋体" w:cs="宋体"/>
          <w:szCs w:val="21"/>
        </w:rPr>
        <w:t>21.1.9、复会，宣布评审结果。</w:t>
      </w:r>
    </w:p>
    <w:p>
      <w:pPr>
        <w:widowControl/>
        <w:spacing w:line="500" w:lineRule="exact"/>
        <w:ind w:firstLine="422" w:firstLineChars="200"/>
        <w:jc w:val="left"/>
        <w:rPr>
          <w:rFonts w:ascii="宋体" w:hAnsi="宋体" w:cs="宋体"/>
          <w:b/>
          <w:bCs/>
          <w:szCs w:val="21"/>
        </w:rPr>
      </w:pPr>
      <w:r>
        <w:rPr>
          <w:rFonts w:hint="eastAsia" w:ascii="宋体" w:hAnsi="宋体" w:cs="宋体"/>
          <w:b/>
          <w:bCs/>
          <w:szCs w:val="21"/>
        </w:rPr>
        <w:t>21.2、查验证件</w:t>
      </w:r>
    </w:p>
    <w:p>
      <w:pPr>
        <w:widowControl/>
        <w:spacing w:line="500" w:lineRule="exact"/>
        <w:ind w:firstLine="420" w:firstLineChars="200"/>
        <w:jc w:val="left"/>
        <w:rPr>
          <w:rFonts w:ascii="宋体" w:hAnsi="宋体" w:cs="宋体"/>
          <w:szCs w:val="21"/>
        </w:rPr>
      </w:pPr>
      <w:r>
        <w:rPr>
          <w:rFonts w:hint="eastAsia" w:ascii="宋体" w:hAnsi="宋体" w:cs="宋体"/>
          <w:szCs w:val="21"/>
        </w:rPr>
        <w:t>21.2.1、采购人审查谈判响应人以下证件，</w:t>
      </w:r>
      <w:r>
        <w:rPr>
          <w:rFonts w:hint="eastAsia" w:ascii="宋体" w:hAnsi="宋体"/>
          <w:szCs w:val="21"/>
        </w:rPr>
        <w:t>若证件不全或不符合要求，则查验不合格,由谈判小组认定其谈判响应无效。</w:t>
      </w:r>
    </w:p>
    <w:p>
      <w:pPr>
        <w:widowControl/>
        <w:spacing w:line="500" w:lineRule="exact"/>
        <w:ind w:firstLine="422" w:firstLineChars="200"/>
        <w:jc w:val="left"/>
        <w:rPr>
          <w:rFonts w:ascii="宋体" w:hAnsi="宋体"/>
          <w:b/>
          <w:szCs w:val="21"/>
        </w:rPr>
      </w:pPr>
      <w:r>
        <w:rPr>
          <w:rFonts w:hint="eastAsia" w:ascii="宋体" w:hAnsi="宋体"/>
          <w:b/>
          <w:szCs w:val="21"/>
        </w:rPr>
        <w:t xml:space="preserve">法定代表人应出示有效二代居民身份证、营业执照复印件或委托代理人应出示授权书；（授权书格式见附件）  </w:t>
      </w:r>
    </w:p>
    <w:p>
      <w:pPr>
        <w:widowControl/>
        <w:spacing w:line="500" w:lineRule="exact"/>
        <w:ind w:firstLine="420" w:firstLineChars="200"/>
        <w:jc w:val="left"/>
        <w:rPr>
          <w:rFonts w:ascii="宋体" w:hAnsi="宋体" w:cs="宋体"/>
          <w:szCs w:val="21"/>
        </w:rPr>
      </w:pPr>
      <w:r>
        <w:rPr>
          <w:rFonts w:hint="eastAsia" w:ascii="宋体" w:hAnsi="宋体" w:cs="宋体"/>
          <w:szCs w:val="21"/>
        </w:rPr>
        <w:t>21.2、谈判响应人必须对其谈判响应文件中所有资料的真实性负责。若发现谈判响应人有弄虚作假行为的，由相关管理部门按照竞争性谈判文件相应条款对其做相应处罚。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（1）逾期送达的或者未送达至指定地点的； </w:t>
      </w:r>
    </w:p>
    <w:p>
      <w:pPr>
        <w:widowControl/>
        <w:spacing w:line="360" w:lineRule="auto"/>
        <w:ind w:firstLine="420" w:firstLineChars="200"/>
        <w:jc w:val="left"/>
        <w:rPr>
          <w:rFonts w:ascii="宋体" w:hAnsi="宋体" w:cs="宋体"/>
          <w:szCs w:val="21"/>
        </w:rPr>
      </w:pPr>
      <w:r>
        <w:rPr>
          <w:rFonts w:hint="eastAsia" w:ascii="宋体" w:hAnsi="宋体" w:cs="宋体"/>
          <w:szCs w:val="21"/>
        </w:rPr>
        <w:t>（2）未按竞争性谈判文件要求包装、密封的。</w:t>
      </w:r>
    </w:p>
    <w:p>
      <w:pPr>
        <w:widowControl/>
        <w:spacing w:line="360" w:lineRule="auto"/>
        <w:ind w:firstLine="420" w:firstLineChars="200"/>
        <w:jc w:val="left"/>
        <w:rPr>
          <w:rFonts w:ascii="宋体" w:hAnsi="宋体" w:cs="宋体"/>
          <w:szCs w:val="21"/>
        </w:rPr>
      </w:pPr>
      <w:r>
        <w:rPr>
          <w:rFonts w:hint="eastAsia" w:ascii="宋体" w:hAnsi="宋体" w:cs="宋体"/>
          <w:szCs w:val="21"/>
        </w:rPr>
        <w:t>22.2、开标过程中发现有下列情况的，由谈判小组评审后，认定为谈判响应无效：</w:t>
      </w:r>
    </w:p>
    <w:p>
      <w:pPr>
        <w:widowControl/>
        <w:spacing w:line="360" w:lineRule="auto"/>
        <w:ind w:firstLine="420" w:firstLineChars="200"/>
        <w:jc w:val="left"/>
        <w:rPr>
          <w:rFonts w:ascii="宋体" w:hAnsi="宋体" w:cs="宋体"/>
          <w:szCs w:val="21"/>
        </w:rPr>
      </w:pPr>
      <w:r>
        <w:rPr>
          <w:rFonts w:hint="eastAsia" w:ascii="宋体" w:hAnsi="宋体" w:cs="宋体"/>
          <w:szCs w:val="21"/>
        </w:rPr>
        <w:t>22.2.1、谈判响应人未按要求参加开标会、未按要求出示材料供现场查验或经查验不合格的；</w:t>
      </w:r>
    </w:p>
    <w:p>
      <w:pPr>
        <w:spacing w:line="360" w:lineRule="auto"/>
        <w:ind w:firstLine="420" w:firstLineChars="200"/>
        <w:rPr>
          <w:rFonts w:ascii="宋体" w:hAnsi="宋体" w:cs="宋体"/>
          <w:szCs w:val="21"/>
        </w:rPr>
      </w:pPr>
      <w:r>
        <w:rPr>
          <w:rFonts w:hint="eastAsia" w:ascii="宋体" w:hAnsi="宋体" w:cs="宋体"/>
          <w:szCs w:val="21"/>
        </w:rPr>
        <w:t>22.2.2、</w:t>
      </w:r>
      <w:r>
        <w:rPr>
          <w:rFonts w:hint="eastAsia" w:ascii="宋体" w:hAnsi="宋体" w:cs="宋体"/>
        </w:rPr>
        <w:t>谈判响应文件封面、谈判响应函、货物报价表（首轮）、最终报价表、技术参数响应表</w:t>
      </w:r>
      <w:r>
        <w:rPr>
          <w:rFonts w:hint="eastAsia" w:ascii="宋体" w:hAnsi="宋体" w:cs="宋体"/>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szCs w:val="21"/>
        </w:rPr>
      </w:pPr>
      <w:r>
        <w:rPr>
          <w:rFonts w:hint="eastAsia" w:ascii="宋体" w:hAnsi="宋体" w:cs="宋体"/>
          <w:szCs w:val="21"/>
        </w:rPr>
        <w:t>22.2.3、谈判响应报价高于谈判最高限价的；</w:t>
      </w:r>
    </w:p>
    <w:p>
      <w:pPr>
        <w:widowControl/>
        <w:spacing w:line="360" w:lineRule="auto"/>
        <w:ind w:firstLine="420" w:firstLineChars="200"/>
        <w:jc w:val="left"/>
        <w:rPr>
          <w:rFonts w:ascii="宋体" w:hAnsi="宋体" w:cs="宋体"/>
          <w:szCs w:val="21"/>
        </w:rPr>
      </w:pPr>
      <w:r>
        <w:rPr>
          <w:rFonts w:hint="eastAsia" w:ascii="宋体" w:hAnsi="宋体" w:cs="宋体"/>
          <w:szCs w:val="21"/>
        </w:rPr>
        <w:t>22.2.4、法律、法规及竞争性谈判文件约定的其它情形。</w:t>
      </w:r>
    </w:p>
    <w:p>
      <w:pPr>
        <w:widowControl/>
        <w:spacing w:line="360" w:lineRule="auto"/>
        <w:ind w:firstLine="420" w:firstLineChars="200"/>
        <w:jc w:val="left"/>
        <w:rPr>
          <w:rFonts w:ascii="宋体" w:hAnsi="宋体" w:cs="宋体"/>
          <w:szCs w:val="21"/>
        </w:rPr>
      </w:pPr>
      <w:r>
        <w:rPr>
          <w:rFonts w:hint="eastAsia" w:ascii="宋体" w:hAnsi="宋体" w:cs="宋体"/>
          <w:szCs w:val="21"/>
        </w:rPr>
        <w:t>22.3、谈判响应人存在下列情形之一，经谈判小组评审后，认定为谈判响应无效：</w:t>
      </w:r>
    </w:p>
    <w:p>
      <w:pPr>
        <w:widowControl/>
        <w:spacing w:line="360" w:lineRule="auto"/>
        <w:jc w:val="left"/>
        <w:rPr>
          <w:rFonts w:ascii="宋体" w:hAnsi="宋体" w:cs="宋体"/>
          <w:szCs w:val="21"/>
        </w:rPr>
      </w:pPr>
      <w:r>
        <w:rPr>
          <w:rFonts w:hint="eastAsia" w:ascii="宋体" w:hAnsi="宋体" w:cs="宋体"/>
          <w:szCs w:val="21"/>
        </w:rPr>
        <w:t xml:space="preserve">    (1)被责令停业且处于有效期内的；</w:t>
      </w:r>
    </w:p>
    <w:p>
      <w:pPr>
        <w:widowControl/>
        <w:spacing w:line="360" w:lineRule="auto"/>
        <w:jc w:val="left"/>
        <w:rPr>
          <w:rFonts w:ascii="宋体" w:hAnsi="宋体" w:cs="宋体"/>
          <w:szCs w:val="21"/>
        </w:rPr>
      </w:pPr>
      <w:r>
        <w:rPr>
          <w:rFonts w:hint="eastAsia" w:ascii="宋体" w:hAnsi="宋体" w:cs="宋体"/>
          <w:szCs w:val="21"/>
        </w:rPr>
        <w:t xml:space="preserve">    (2)被安庆市行政区域内公共资源交易监管部门限制投标资格且处于有效期内；</w:t>
      </w:r>
    </w:p>
    <w:p>
      <w:pPr>
        <w:widowControl/>
        <w:spacing w:line="360" w:lineRule="auto"/>
        <w:jc w:val="left"/>
        <w:rPr>
          <w:rFonts w:ascii="宋体" w:hAnsi="宋体" w:cs="宋体"/>
          <w:szCs w:val="21"/>
        </w:rPr>
      </w:pPr>
      <w:r>
        <w:rPr>
          <w:rFonts w:hint="eastAsia" w:ascii="宋体" w:hAnsi="宋体" w:cs="宋体"/>
          <w:szCs w:val="21"/>
        </w:rPr>
        <w:t xml:space="preserve">    (3)财产被接管或冻结可能影响本项目正常实施的；</w:t>
      </w:r>
    </w:p>
    <w:p>
      <w:pPr>
        <w:widowControl/>
        <w:spacing w:line="360" w:lineRule="auto"/>
        <w:ind w:firstLine="420"/>
        <w:jc w:val="left"/>
        <w:rPr>
          <w:rFonts w:ascii="宋体" w:hAnsi="宋体" w:cs="宋体"/>
          <w:szCs w:val="21"/>
        </w:rPr>
      </w:pPr>
      <w:r>
        <w:rPr>
          <w:rFonts w:hint="eastAsia" w:ascii="宋体" w:hAnsi="宋体" w:cs="宋体"/>
          <w:szCs w:val="21"/>
        </w:rPr>
        <w:t>(4)法律、法规规定及竞争性谈判文件约定的其他情形。</w:t>
      </w:r>
    </w:p>
    <w:p>
      <w:pPr>
        <w:widowControl/>
        <w:spacing w:line="500" w:lineRule="exact"/>
        <w:ind w:firstLine="420"/>
        <w:jc w:val="left"/>
        <w:rPr>
          <w:rFonts w:ascii="宋体" w:hAnsi="宋体" w:cs="宋体"/>
          <w:szCs w:val="21"/>
        </w:rPr>
      </w:pPr>
      <w:r>
        <w:rPr>
          <w:rFonts w:ascii="宋体" w:hAnsi="宋体"/>
          <w:szCs w:val="21"/>
        </w:rPr>
        <w:t>22.4</w:t>
      </w:r>
      <w:r>
        <w:rPr>
          <w:rFonts w:hint="eastAsia" w:ascii="宋体" w:hAnsi="宋体"/>
          <w:szCs w:val="21"/>
        </w:rPr>
        <w:t>、</w:t>
      </w:r>
      <w:r>
        <w:rPr>
          <w:rFonts w:ascii="宋体" w:hAnsi="宋体"/>
          <w:szCs w:val="21"/>
        </w:rPr>
        <w:t>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，其谈判响应无效。</w:t>
      </w:r>
    </w:p>
    <w:p>
      <w:pPr>
        <w:pStyle w:val="6"/>
        <w:spacing w:line="360" w:lineRule="auto"/>
        <w:ind w:firstLine="472" w:firstLineChars="196"/>
        <w:rPr>
          <w:rFonts w:hAnsi="宋体" w:cs="宋体"/>
          <w:color w:val="000000"/>
        </w:rPr>
      </w:pPr>
      <w:r>
        <w:rPr>
          <w:rFonts w:hint="eastAsia" w:hAnsi="宋体" w:cs="宋体"/>
          <w:color w:val="000000"/>
        </w:rPr>
        <w:t>六、</w:t>
      </w:r>
      <w:bookmarkEnd w:id="58"/>
      <w:r>
        <w:rPr>
          <w:rFonts w:hint="eastAsia" w:hAnsi="宋体" w:cs="宋体"/>
          <w:color w:val="000000"/>
        </w:rPr>
        <w:t>谈判</w:t>
      </w:r>
      <w:bookmarkEnd w:id="59"/>
    </w:p>
    <w:p>
      <w:pPr>
        <w:widowControl/>
        <w:spacing w:line="360" w:lineRule="auto"/>
        <w:jc w:val="left"/>
        <w:rPr>
          <w:rFonts w:ascii="宋体" w:hAnsi="宋体" w:cs="宋体"/>
          <w:color w:val="000000"/>
          <w:szCs w:val="21"/>
        </w:rPr>
      </w:pPr>
      <w:r>
        <w:rPr>
          <w:rFonts w:hint="eastAsia" w:ascii="宋体" w:hAnsi="宋体" w:cs="宋体"/>
          <w:b/>
          <w:bCs/>
          <w:color w:val="000000"/>
          <w:szCs w:val="21"/>
        </w:rPr>
        <w:t xml:space="preserve">    23、谈判小组</w:t>
      </w:r>
      <w:r>
        <w:rPr>
          <w:rFonts w:hint="eastAsia" w:ascii="宋体" w:hAnsi="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24、评审方法：</w:t>
      </w:r>
      <w:r>
        <w:rPr>
          <w:rFonts w:hint="eastAsia" w:ascii="宋体" w:hAnsi="宋体" w:cs="宋体"/>
          <w:color w:val="000000"/>
          <w:szCs w:val="21"/>
        </w:rPr>
        <w:t>本次谈判采用符合性评审的有效最低价评审方法。</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25、评审程序</w:t>
      </w:r>
      <w:r>
        <w:rPr>
          <w:rFonts w:hint="eastAsia" w:ascii="宋体" w:hAnsi="宋体" w:cs="宋体"/>
          <w:color w:val="000000"/>
          <w:szCs w:val="21"/>
        </w:rPr>
        <w:t>：评审按照谈判响应文件符合性审查、报价评审、澄清有关问题、失信核查和确定成交候选人排序进行评审。</w:t>
      </w:r>
      <w:r>
        <w:rPr>
          <w:rFonts w:hint="eastAsia" w:ascii="宋体" w:hAnsi="宋体" w:cs="宋体"/>
          <w:b/>
          <w:bCs/>
          <w:color w:val="000000"/>
          <w:szCs w:val="21"/>
        </w:rPr>
        <w:t>如有任一项未通过的则不进入下一项评审。</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25.1、谈判响应文件符合性审查，包括但不限于以下内容：</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（1）谈判响应人提供的营业执照、</w:t>
      </w:r>
      <w:r>
        <w:rPr>
          <w:rFonts w:hint="eastAsia" w:ascii="宋体" w:hAnsi="宋体"/>
          <w:szCs w:val="21"/>
        </w:rPr>
        <w:t>税务登记证</w:t>
      </w:r>
      <w:r>
        <w:rPr>
          <w:rFonts w:hint="eastAsia" w:ascii="宋体" w:hAnsi="宋体" w:cs="宋体"/>
          <w:color w:val="000000"/>
          <w:szCs w:val="21"/>
        </w:rPr>
        <w:t>扫描件合法有效（</w:t>
      </w:r>
      <w:r>
        <w:rPr>
          <w:rFonts w:hint="eastAsia" w:ascii="宋体" w:hAnsi="宋体"/>
          <w:szCs w:val="21"/>
        </w:rPr>
        <w:t>已办理“三证合一”登记的，只需提供营业执照扫描件</w:t>
      </w:r>
      <w:r>
        <w:rPr>
          <w:rFonts w:hint="eastAsia" w:ascii="宋体" w:hAnsi="宋体" w:cs="宋体"/>
          <w:color w:val="000000"/>
          <w:szCs w:val="21"/>
        </w:rPr>
        <w:t>）；</w:t>
      </w:r>
      <w:r>
        <w:rPr>
          <w:rFonts w:ascii="宋体" w:hAnsi="宋体" w:cs="宋体"/>
          <w:color w:val="000000"/>
          <w:szCs w:val="21"/>
        </w:rPr>
        <w:t xml:space="preserve">     </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（2）供应商声明函符合规定格式；</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）竞争性谈判文件要求提交的各种证明文件是否真实、完整、合法、有效；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（5）所提供的货物是否有缺少；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（9）联合体谈判响应是否提交联合体谈判响应协议书，且联合体协议书中是否明确牵头单位；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（10）谈判响应文件是否附有采购人不能接受的条件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（11）</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color w:val="000000"/>
          <w:szCs w:val="21"/>
        </w:rPr>
      </w:pPr>
      <w:r>
        <w:rPr>
          <w:rFonts w:hint="eastAsia" w:ascii="宋体" w:hAnsi="宋体" w:cs="宋体"/>
          <w:szCs w:val="21"/>
        </w:rPr>
        <w:t>（12）谈判响应文件是否符合竞争性谈判文件的要求；</w:t>
      </w:r>
    </w:p>
    <w:p>
      <w:pPr>
        <w:widowControl/>
        <w:spacing w:line="500" w:lineRule="exact"/>
        <w:ind w:firstLine="420" w:firstLineChars="200"/>
        <w:jc w:val="left"/>
        <w:rPr>
          <w:rFonts w:ascii="宋体" w:hAnsi="宋体" w:cs="宋体"/>
          <w:b/>
          <w:szCs w:val="21"/>
        </w:rPr>
      </w:pPr>
      <w:bookmarkStart w:id="60" w:name="_Toc418517858"/>
      <w:bookmarkStart w:id="61" w:name="_Toc15032"/>
      <w:bookmarkStart w:id="62" w:name="_Toc417655921"/>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rPr>
      </w:pPr>
      <w:r>
        <w:rPr>
          <w:rFonts w:hint="eastAsia" w:ascii="宋体" w:hAnsi="宋体"/>
          <w:b/>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谈判响应人根据谈判小组要求进行最终报价，且最终报价不得高于首轮报价，最终报价表由各谈判响应单位谈判现场递交纸质最终报价表。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8"/>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8"/>
          <w:rFonts w:hint="eastAsia"/>
          <w:color w:val="auto"/>
          <w:szCs w:val="21"/>
          <w:u w:val="none"/>
        </w:rPr>
        <w:t>不得将其推荐为成交候选人，依序递补，并再次对递补的谈判响应人进行核查。</w:t>
      </w:r>
      <w:r>
        <w:rPr>
          <w:rStyle w:val="28"/>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rPr>
          <w:rFonts w:hint="eastAsia"/>
        </w:rPr>
        <w:fldChar w:fldCharType="begin"/>
      </w:r>
      <w: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ascii="宋体" w:hAnsi="宋体" w:cs="宋体"/>
          <w:szCs w:val="21"/>
        </w:rPr>
      </w:pPr>
      <w:r>
        <w:rPr>
          <w:rFonts w:hint="eastAsia" w:ascii="宋体" w:hAnsi="宋体" w:cs="宋体"/>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szCs w:val="21"/>
        </w:rPr>
      </w:pPr>
      <w:r>
        <w:rPr>
          <w:rFonts w:hint="eastAsia" w:ascii="宋体" w:hAnsi="宋体" w:cs="宋体"/>
          <w:szCs w:val="21"/>
        </w:rPr>
        <w:t xml:space="preserve">    (2)</w:t>
      </w:r>
      <w:r>
        <w:rPr>
          <w:rFonts w:hint="eastAsia" w:ascii="宋体" w:hAnsi="宋体" w:cs="宋体"/>
          <w:szCs w:val="21"/>
        </w:rPr>
        <w:tab/>
      </w:r>
      <w:r>
        <w:rPr>
          <w:rFonts w:hint="eastAsia" w:ascii="宋体" w:hAnsi="宋体" w:cs="宋体"/>
          <w:szCs w:val="21"/>
        </w:rPr>
        <w:t>出现影响采购公正的违法、违规行为的；</w:t>
      </w:r>
    </w:p>
    <w:p>
      <w:pPr>
        <w:widowControl/>
        <w:spacing w:line="500" w:lineRule="exact"/>
        <w:jc w:val="left"/>
        <w:rPr>
          <w:rFonts w:ascii="宋体" w:hAnsi="宋体" w:cs="宋体"/>
          <w:szCs w:val="21"/>
        </w:rPr>
      </w:pPr>
      <w:r>
        <w:rPr>
          <w:rFonts w:hint="eastAsia" w:ascii="宋体" w:hAnsi="宋体" w:cs="宋体"/>
          <w:szCs w:val="21"/>
        </w:rPr>
        <w:t xml:space="preserve">    (3)</w:t>
      </w:r>
      <w:r>
        <w:rPr>
          <w:rFonts w:hint="eastAsia" w:ascii="宋体" w:hAnsi="宋体" w:cs="宋体"/>
          <w:szCs w:val="21"/>
        </w:rPr>
        <w:tab/>
      </w:r>
      <w:r>
        <w:rPr>
          <w:rFonts w:hint="eastAsia" w:ascii="宋体" w:hAnsi="宋体" w:cs="宋体"/>
          <w:szCs w:val="21"/>
        </w:rPr>
        <w:t>谈判响应人的总报价均超过了谈判最高限价，采购人不能支付的；</w:t>
      </w:r>
    </w:p>
    <w:p>
      <w:pPr>
        <w:widowControl/>
        <w:spacing w:line="5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360" w:lineRule="auto"/>
        <w:jc w:val="left"/>
        <w:rPr>
          <w:rFonts w:ascii="宋体" w:hAnsi="宋体" w:cs="宋体"/>
          <w:szCs w:val="21"/>
        </w:rPr>
      </w:pPr>
      <w:r>
        <w:rPr>
          <w:rFonts w:hint="eastAsia" w:ascii="宋体" w:hAnsi="宋体" w:cs="宋体"/>
          <w:szCs w:val="21"/>
        </w:rPr>
        <w:t xml:space="preserve">    27.4、服务费</w:t>
      </w:r>
    </w:p>
    <w:p>
      <w:pPr>
        <w:widowControl/>
        <w:spacing w:line="500" w:lineRule="exact"/>
        <w:jc w:val="left"/>
        <w:rPr>
          <w:rFonts w:ascii="宋体" w:hAnsi="宋体" w:cs="宋体"/>
          <w:szCs w:val="21"/>
        </w:rPr>
      </w:pPr>
      <w:r>
        <w:rPr>
          <w:rFonts w:hint="eastAsia" w:ascii="宋体" w:hAnsi="宋体" w:cs="宋体"/>
          <w:szCs w:val="21"/>
        </w:rPr>
        <w:t xml:space="preserve">    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ascii="宋体" w:hAnsi="宋体" w:cs="宋体"/>
          <w:szCs w:val="21"/>
        </w:rPr>
      </w:pPr>
      <w:r>
        <w:rPr>
          <w:rFonts w:hint="eastAsia" w:ascii="宋体" w:hAnsi="宋体" w:cs="宋体"/>
          <w:szCs w:val="21"/>
        </w:rPr>
        <w:t>27.4.2、服务费按差额定率累进法计算。以成交价计算基数，按下表约定的</w:t>
      </w:r>
      <w:r>
        <w:rPr>
          <w:rFonts w:hint="eastAsia" w:ascii="宋体" w:hAnsi="宋体" w:cs="宋体"/>
          <w:b/>
          <w:bCs/>
          <w:szCs w:val="21"/>
        </w:rPr>
        <w:t>货物</w:t>
      </w:r>
      <w:r>
        <w:rPr>
          <w:rFonts w:hint="eastAsia" w:ascii="宋体" w:hAnsi="宋体" w:cs="宋体"/>
          <w:szCs w:val="21"/>
        </w:rPr>
        <w:t>标准的80%收取。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9tp71wAAAAgB&#10;AAAPAAAAAAAAAAEAIAAAACIAAABkcnMvZG93bnJldi54bWxQSwECFAAUAAAACACHTuJAaPYOweMB&#10;AADs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pStyle w:val="15"/>
        <w:ind w:firstLine="420"/>
        <w:rPr>
          <w:rFonts w:ascii="宋体" w:hAnsi="宋体" w:cs="宋体"/>
          <w:b/>
          <w:bCs/>
          <w:sz w:val="21"/>
          <w:szCs w:val="20"/>
        </w:rPr>
      </w:pPr>
      <w:r>
        <w:rPr>
          <w:rFonts w:hint="eastAsia" w:ascii="宋体" w:hAnsi="宋体" w:cs="宋体"/>
          <w:b/>
          <w:bCs/>
          <w:sz w:val="21"/>
          <w:szCs w:val="20"/>
        </w:rPr>
        <w:t>注：按上述收费标准计算不足1500元的，按1500元计费。</w:t>
      </w:r>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 xml:space="preserve">    </w:t>
      </w:r>
      <w:r>
        <w:rPr>
          <w:rFonts w:hint="eastAsia" w:ascii="宋体" w:hAnsi="宋体" w:cs="宋体"/>
          <w:color w:val="000000"/>
          <w:szCs w:val="21"/>
        </w:rPr>
        <w:t>27.5、成交通知书</w:t>
      </w:r>
      <w:bookmarkEnd w:id="60"/>
      <w:bookmarkEnd w:id="61"/>
      <w:bookmarkEnd w:id="62"/>
    </w:p>
    <w:p>
      <w:pPr>
        <w:pStyle w:val="19"/>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63" w:name="_Toc23509"/>
      <w:r>
        <w:rPr>
          <w:rFonts w:hint="eastAsia" w:ascii="宋体" w:hAnsi="宋体" w:eastAsia="宋体" w:cs="宋体"/>
          <w:kern w:val="2"/>
          <w:sz w:val="21"/>
          <w:szCs w:val="20"/>
        </w:rPr>
        <w:t>采购人在评审报告推荐的成交候选人中按顺序确定成交人。采购人将向成交人发出成交通</w:t>
      </w:r>
      <w:r>
        <w:rPr>
          <w:rFonts w:hint="eastAsia" w:ascii="宋体" w:hAnsi="宋体" w:eastAsia="宋体" w:cs="Times New Roman"/>
          <w:kern w:val="2"/>
          <w:sz w:val="21"/>
          <w:szCs w:val="21"/>
        </w:rPr>
        <w:t>知书，同时在安庆市皖宜项目咨询管理有限公司（http://wyxmzx.com/index.html）、安庆职业技术学院（https://www.aqvtc.edu.cn/）招标采购栏目上公告成交结果。供应商如有质疑、投诉，必须在成交公告约定的质疑、投诉期内以书面形式向有关机构提出。</w:t>
      </w:r>
    </w:p>
    <w:p>
      <w:pPr>
        <w:spacing w:line="360" w:lineRule="auto"/>
        <w:ind w:firstLine="420"/>
        <w:jc w:val="left"/>
        <w:rPr>
          <w:rFonts w:ascii="宋体"/>
          <w:szCs w:val="21"/>
        </w:rPr>
      </w:pPr>
      <w:r>
        <w:rPr>
          <w:rFonts w:hint="eastAsia" w:ascii="宋体" w:hAnsi="宋体"/>
          <w:szCs w:val="21"/>
        </w:rPr>
        <w:t>27</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r>
        <w:rPr>
          <w:rFonts w:hint="eastAsia" w:ascii="宋体" w:hAnsi="宋体" w:cs="宋体"/>
          <w:b/>
          <w:bCs/>
          <w:color w:val="000000"/>
          <w:szCs w:val="21"/>
        </w:rPr>
        <w:t xml:space="preserve">    </w:t>
      </w:r>
      <w:bookmarkEnd w:id="63"/>
      <w:r>
        <w:rPr>
          <w:rFonts w:hint="eastAsia" w:ascii="宋体" w:hAnsi="宋体" w:cs="宋体"/>
          <w:b/>
          <w:bCs/>
          <w:szCs w:val="21"/>
        </w:rPr>
        <w:t xml:space="preserve">    </w:t>
      </w:r>
      <w:bookmarkStart w:id="64" w:name="_Toc54939197"/>
      <w:r>
        <w:rPr>
          <w:rFonts w:hint="eastAsia" w:ascii="宋体" w:hAnsi="宋体" w:cs="宋体"/>
          <w:b/>
          <w:bCs/>
          <w:szCs w:val="21"/>
        </w:rPr>
        <w:t>七、合同授予</w:t>
      </w:r>
      <w:bookmarkEnd w:id="64"/>
    </w:p>
    <w:p>
      <w:pPr>
        <w:widowControl/>
        <w:spacing w:line="500" w:lineRule="exact"/>
        <w:jc w:val="left"/>
        <w:rPr>
          <w:rFonts w:ascii="宋体" w:hAnsi="宋体" w:cs="宋体"/>
          <w:szCs w:val="21"/>
        </w:rPr>
      </w:pPr>
      <w:r>
        <w:rPr>
          <w:rFonts w:hint="eastAsia" w:ascii="宋体" w:hAnsi="宋体" w:cs="宋体"/>
          <w:szCs w:val="21"/>
        </w:rPr>
        <w:t xml:space="preserve">    28、</w:t>
      </w:r>
      <w:bookmarkStart w:id="65" w:name="_Toc418517860"/>
      <w:bookmarkStart w:id="66" w:name="_Toc21358"/>
      <w:bookmarkStart w:id="67" w:name="_Toc417655923"/>
      <w:r>
        <w:rPr>
          <w:rFonts w:hint="eastAsia" w:ascii="宋体" w:hAnsi="宋体" w:cs="宋体"/>
          <w:szCs w:val="21"/>
        </w:rPr>
        <w:t>签订合同</w:t>
      </w:r>
      <w:bookmarkEnd w:id="65"/>
      <w:bookmarkEnd w:id="66"/>
      <w:bookmarkEnd w:id="67"/>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 xml:space="preserve">28.2、成交人在收到成交通知书起7工作日内，与采购人签订合同。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hint="eastAsia" w:ascii="宋体" w:hAnsi="宋体" w:cs="宋体"/>
          <w:szCs w:val="21"/>
        </w:rPr>
      </w:pPr>
      <w:r>
        <w:rPr>
          <w:rFonts w:hint="eastAsia" w:ascii="宋体" w:hAnsi="宋体" w:cs="宋体"/>
          <w:szCs w:val="21"/>
        </w:rPr>
        <w:t xml:space="preserve">   29.2、</w:t>
      </w:r>
      <w:bookmarkStart w:id="95" w:name="_GoBack"/>
      <w:r>
        <w:rPr>
          <w:rFonts w:hint="eastAsia" w:ascii="宋体" w:hAnsi="宋体" w:cs="宋体"/>
          <w:szCs w:val="21"/>
        </w:rPr>
        <w:t>履约保证金转账信息：</w:t>
      </w:r>
    </w:p>
    <w:p>
      <w:pPr>
        <w:widowControl/>
        <w:spacing w:line="500" w:lineRule="exact"/>
        <w:ind w:firstLine="422" w:firstLineChars="200"/>
        <w:jc w:val="left"/>
        <w:rPr>
          <w:rFonts w:hint="eastAsia" w:ascii="宋体" w:hAnsi="宋体" w:cs="宋体"/>
          <w:b/>
          <w:bCs/>
          <w:szCs w:val="21"/>
        </w:rPr>
      </w:pPr>
      <w:r>
        <w:rPr>
          <w:rFonts w:hint="eastAsia" w:ascii="宋体" w:hAnsi="宋体" w:cs="宋体"/>
          <w:b/>
          <w:bCs/>
          <w:szCs w:val="21"/>
        </w:rPr>
        <w:t>收款人：安庆市财政局特设专户</w:t>
      </w:r>
    </w:p>
    <w:p>
      <w:pPr>
        <w:widowControl/>
        <w:spacing w:line="500" w:lineRule="exact"/>
        <w:ind w:firstLine="422" w:firstLineChars="200"/>
        <w:jc w:val="left"/>
        <w:rPr>
          <w:rFonts w:hint="eastAsia" w:ascii="宋体" w:hAnsi="宋体" w:cs="宋体"/>
          <w:b/>
          <w:bCs/>
          <w:szCs w:val="21"/>
        </w:rPr>
      </w:pPr>
      <w:r>
        <w:rPr>
          <w:rFonts w:hint="eastAsia" w:ascii="宋体" w:hAnsi="宋体" w:cs="宋体"/>
          <w:b/>
          <w:bCs/>
          <w:szCs w:val="21"/>
        </w:rPr>
        <w:t>账号：348711000018010008441-312001</w:t>
      </w:r>
    </w:p>
    <w:p>
      <w:pPr>
        <w:widowControl/>
        <w:spacing w:line="500" w:lineRule="exact"/>
        <w:ind w:firstLine="422" w:firstLineChars="200"/>
        <w:jc w:val="left"/>
        <w:rPr>
          <w:rFonts w:hint="eastAsia" w:ascii="宋体" w:hAnsi="宋体" w:cs="宋体"/>
          <w:b/>
          <w:bCs/>
          <w:szCs w:val="21"/>
        </w:rPr>
      </w:pPr>
      <w:r>
        <w:rPr>
          <w:rFonts w:hint="eastAsia" w:ascii="宋体" w:hAnsi="宋体" w:cs="宋体"/>
          <w:b/>
          <w:bCs/>
          <w:szCs w:val="21"/>
        </w:rPr>
        <w:t>开户行：交通银行安庆开发区支行</w:t>
      </w:r>
    </w:p>
    <w:p>
      <w:pPr>
        <w:widowControl/>
        <w:spacing w:line="500" w:lineRule="exact"/>
        <w:ind w:firstLine="422" w:firstLineChars="200"/>
        <w:jc w:val="left"/>
        <w:rPr>
          <w:rFonts w:hint="eastAsia" w:ascii="宋体" w:hAnsi="宋体" w:cs="宋体"/>
          <w:szCs w:val="21"/>
        </w:rPr>
      </w:pPr>
      <w:r>
        <w:rPr>
          <w:rFonts w:hint="eastAsia" w:ascii="宋体" w:hAnsi="宋体" w:cs="宋体"/>
          <w:b/>
          <w:bCs/>
          <w:szCs w:val="21"/>
        </w:rPr>
        <w:t>务必备注：数控车间智能化升级改造项目履约保证金。转账成功后3-7个工作日到学校财务处换取财政发票</w:t>
      </w:r>
      <w:r>
        <w:rPr>
          <w:rFonts w:hint="eastAsia" w:ascii="宋体" w:hAnsi="宋体" w:cs="宋体"/>
          <w:szCs w:val="21"/>
        </w:rPr>
        <w:t>。</w:t>
      </w:r>
    </w:p>
    <w:bookmarkEnd w:id="95"/>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szCs w:val="21"/>
        </w:rPr>
      </w:pPr>
      <w:r>
        <w:rPr>
          <w:rFonts w:hint="eastAsia" w:ascii="宋体" w:hAnsi="宋体" w:cs="宋体"/>
          <w:szCs w:val="21"/>
        </w:rPr>
        <w:t>29.3、若成交人不能按谈判响应人须知前附表执行，采购人可在无须征得成交人同意的情况下，不与其签订合同。给采购单位造成的损失的，还应当予以赔偿。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w:t>
      </w:r>
      <w:r>
        <w:rPr>
          <w:rFonts w:hint="eastAsia" w:ascii="宋体" w:hAnsi="宋体" w:cs="宋体"/>
          <w:szCs w:val="21"/>
          <w:lang w:val="en-US" w:eastAsia="zh-CN"/>
        </w:rPr>
        <w:t>4</w:t>
      </w:r>
      <w:r>
        <w:rPr>
          <w:rFonts w:hint="eastAsia" w:ascii="宋体" w:hAnsi="宋体" w:cs="宋体"/>
          <w:szCs w:val="21"/>
        </w:rPr>
        <w:t>、履约保证金按合同条款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widowControl/>
        <w:jc w:val="left"/>
        <w:rPr>
          <w:rFonts w:ascii="宋体" w:hAnsi="宋体" w:cs="宋体"/>
          <w:color w:val="000000"/>
          <w:szCs w:val="21"/>
        </w:rPr>
      </w:pPr>
    </w:p>
    <w:p>
      <w:pPr>
        <w:pStyle w:val="3"/>
        <w:rPr>
          <w:rFonts w:ascii="宋体" w:hAnsi="宋体" w:cs="宋体"/>
          <w:color w:val="000000"/>
        </w:rPr>
      </w:pPr>
      <w:bookmarkStart w:id="68" w:name="_Toc15203"/>
      <w:bookmarkStart w:id="69" w:name="_Toc28823"/>
      <w:bookmarkStart w:id="70" w:name="_Toc18076"/>
      <w:r>
        <w:rPr>
          <w:rFonts w:hint="eastAsia" w:ascii="宋体" w:hAnsi="宋体" w:cs="宋体"/>
          <w:color w:val="000000"/>
        </w:rPr>
        <w:t>第三章 项目需求及服务要求</w:t>
      </w:r>
      <w:bookmarkEnd w:id="68"/>
      <w:bookmarkEnd w:id="69"/>
      <w:bookmarkEnd w:id="70"/>
    </w:p>
    <w:p>
      <w:pPr>
        <w:widowControl/>
        <w:spacing w:line="500" w:lineRule="exact"/>
        <w:ind w:firstLine="430"/>
        <w:jc w:val="left"/>
        <w:rPr>
          <w:rFonts w:ascii="宋体" w:hAnsi="宋体" w:cs="宋体"/>
          <w:b/>
          <w:bCs/>
          <w:color w:val="000000"/>
          <w:szCs w:val="21"/>
        </w:rPr>
      </w:pPr>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bookmarkStart w:id="71" w:name="_Toc24273"/>
    </w:p>
    <w:p>
      <w:pPr>
        <w:widowControl/>
        <w:spacing w:line="500" w:lineRule="exact"/>
        <w:ind w:firstLine="405"/>
        <w:jc w:val="left"/>
        <w:rPr>
          <w:rFonts w:ascii="宋体" w:hAnsi="宋体"/>
          <w:b/>
          <w:bCs/>
          <w:szCs w:val="21"/>
        </w:rPr>
      </w:pPr>
      <w:bookmarkStart w:id="72" w:name="_Toc28001"/>
      <w:r>
        <w:rPr>
          <w:rFonts w:hint="eastAsia" w:ascii="宋体" w:hAnsi="宋体"/>
          <w:b/>
          <w:bCs/>
          <w:szCs w:val="21"/>
        </w:rPr>
        <w:t>1、在采购活动开始前没有获准采购进口产品而开展采购活动的，视同为拒绝采购进口产品。</w:t>
      </w:r>
    </w:p>
    <w:p>
      <w:pPr>
        <w:widowControl/>
        <w:spacing w:line="500" w:lineRule="exact"/>
        <w:ind w:firstLine="405"/>
        <w:jc w:val="left"/>
        <w:rPr>
          <w:rFonts w:ascii="宋体" w:hAnsi="宋体"/>
          <w:b/>
          <w:bCs/>
          <w:szCs w:val="21"/>
        </w:rPr>
      </w:pPr>
      <w:r>
        <w:rPr>
          <w:rFonts w:hint="eastAsia" w:ascii="宋体" w:hAnsi="宋体"/>
          <w:b/>
          <w:bCs/>
          <w:szCs w:val="21"/>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widowControl/>
        <w:spacing w:line="500" w:lineRule="exact"/>
        <w:ind w:firstLine="405"/>
        <w:jc w:val="left"/>
        <w:rPr>
          <w:rFonts w:ascii="宋体" w:hAnsi="宋体"/>
          <w:b/>
          <w:bCs/>
          <w:szCs w:val="21"/>
        </w:rPr>
      </w:pPr>
      <w:r>
        <w:rPr>
          <w:rFonts w:hint="eastAsia" w:ascii="宋体" w:hAnsi="宋体"/>
          <w:b/>
          <w:bCs/>
          <w:szCs w:val="21"/>
        </w:rPr>
        <w:t>3、中标人提供的货物为进口产品的，供货时须向采购人提供所投进口产品的海关报关单等证明材料。</w:t>
      </w:r>
    </w:p>
    <w:p>
      <w:pPr>
        <w:ind w:firstLine="640" w:firstLineChars="200"/>
        <w:rPr>
          <w:rFonts w:ascii="宋体" w:hAnsi="宋体" w:eastAsia="宋体"/>
          <w:sz w:val="32"/>
          <w:szCs w:val="32"/>
        </w:rPr>
      </w:pPr>
      <w:r>
        <w:rPr>
          <w:rFonts w:hint="eastAsia" w:ascii="宋体" w:hAnsi="宋体" w:eastAsia="宋体"/>
          <w:sz w:val="32"/>
          <w:szCs w:val="32"/>
        </w:rPr>
        <w:t>根据安庆职业技术学院机电工程学院“十四五”规划，以及智能制造工程协同研发中心项目规划，结合校企合作横向项目《</w:t>
      </w:r>
      <w:r>
        <w:rPr>
          <w:rFonts w:ascii="宋体" w:hAnsi="宋体" w:eastAsia="宋体"/>
          <w:sz w:val="32"/>
          <w:szCs w:val="32"/>
        </w:rPr>
        <w:t>IMT立式车铣加工中心（型号：VTL 120C）的应用：以L27型气缸盖产品为例》，机电工程学院将数控车间进行智能化升级改造及数字孪生系统建设。</w:t>
      </w:r>
    </w:p>
    <w:p>
      <w:pPr>
        <w:pStyle w:val="2"/>
        <w:rPr>
          <w:b/>
          <w:bCs/>
          <w:szCs w:val="21"/>
        </w:rPr>
      </w:pPr>
    </w:p>
    <w:bookmarkEnd w:id="71"/>
    <w:bookmarkEnd w:id="72"/>
    <w:p>
      <w:pPr>
        <w:pStyle w:val="6"/>
        <w:numPr>
          <w:ilvl w:val="0"/>
          <w:numId w:val="5"/>
        </w:numPr>
        <w:rPr>
          <w:rFonts w:ascii="宋体" w:hAnsi="宋体" w:eastAsia="宋体"/>
          <w:sz w:val="32"/>
          <w:szCs w:val="32"/>
        </w:rPr>
      </w:pPr>
      <w:r>
        <w:rPr>
          <w:rFonts w:hint="eastAsia" w:ascii="宋体" w:hAnsi="宋体" w:eastAsia="宋体"/>
          <w:sz w:val="32"/>
          <w:szCs w:val="32"/>
        </w:rPr>
        <w:t>项目要求：</w:t>
      </w:r>
    </w:p>
    <w:p>
      <w:pPr>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数控车间一台三轴数控铣床改造为智能化四轴加工中心，改造后设备增加一个旋转轴，实现二维、三维曲面加工，实现四轴联动，伺服电机及驱动系统根据设备的基本参数进行选择设计，要求性能可靠稳定，对现有设备进行电气控制系统设计，对电气柜进行配盘、安装、接线等，编写</w:t>
      </w:r>
      <w:r>
        <w:rPr>
          <w:rFonts w:ascii="宋体" w:hAnsi="宋体" w:eastAsia="宋体"/>
          <w:sz w:val="32"/>
          <w:szCs w:val="32"/>
        </w:rPr>
        <w:t>PLC程序，完成机床参数、功能及辅助逻辑动作的调试，完成机床联调及加工测试工作</w:t>
      </w:r>
      <w:r>
        <w:rPr>
          <w:rFonts w:hint="eastAsia" w:ascii="宋体" w:hAnsi="宋体" w:eastAsia="宋体"/>
          <w:sz w:val="32"/>
          <w:szCs w:val="32"/>
        </w:rPr>
        <w:t>，并补充四轴桥板夹具以及五轴专用定位夹具。约8</w:t>
      </w:r>
      <w:r>
        <w:rPr>
          <w:rFonts w:ascii="宋体" w:hAnsi="宋体" w:eastAsia="宋体"/>
          <w:sz w:val="32"/>
          <w:szCs w:val="32"/>
        </w:rPr>
        <w:t>.5</w:t>
      </w:r>
      <w:r>
        <w:rPr>
          <w:rFonts w:hint="eastAsia" w:ascii="宋体" w:hAnsi="宋体" w:eastAsia="宋体"/>
          <w:sz w:val="32"/>
          <w:szCs w:val="32"/>
        </w:rPr>
        <w:t>万元。</w:t>
      </w:r>
    </w:p>
    <w:p>
      <w:pPr>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w:t>
      </w:r>
      <w:r>
        <w:rPr>
          <w:rFonts w:ascii="宋体" w:hAnsi="宋体" w:eastAsia="宋体"/>
          <w:sz w:val="32"/>
          <w:szCs w:val="32"/>
        </w:rPr>
        <w:t>数控车间</w:t>
      </w:r>
      <w:r>
        <w:rPr>
          <w:rFonts w:hint="eastAsia" w:ascii="宋体" w:hAnsi="宋体" w:eastAsia="宋体"/>
          <w:sz w:val="32"/>
          <w:szCs w:val="32"/>
        </w:rPr>
        <w:t>现有机床（两台数控铣床、一台斜床身数控车床、两台前置刀架平床身数控车床）的</w:t>
      </w:r>
      <w:r>
        <w:rPr>
          <w:rFonts w:ascii="宋体" w:hAnsi="宋体" w:eastAsia="宋体"/>
          <w:sz w:val="32"/>
          <w:szCs w:val="32"/>
        </w:rPr>
        <w:t>电路、气路、油路等附件升级改造更换。</w:t>
      </w:r>
      <w:r>
        <w:rPr>
          <w:rFonts w:hint="eastAsia" w:ascii="宋体" w:hAnsi="宋体" w:eastAsia="宋体"/>
          <w:sz w:val="32"/>
          <w:szCs w:val="32"/>
        </w:rPr>
        <w:t>约</w:t>
      </w:r>
      <w:r>
        <w:rPr>
          <w:rFonts w:ascii="宋体" w:hAnsi="宋体" w:eastAsia="宋体"/>
          <w:sz w:val="32"/>
          <w:szCs w:val="32"/>
        </w:rPr>
        <w:t>2.1万元。</w:t>
      </w:r>
    </w:p>
    <w:p>
      <w:pPr>
        <w:ind w:firstLine="640" w:firstLineChars="200"/>
        <w:rPr>
          <w:rFonts w:ascii="宋体" w:hAnsi="宋体" w:eastAsia="宋体"/>
          <w:sz w:val="32"/>
          <w:szCs w:val="32"/>
        </w:rPr>
      </w:pPr>
      <w:r>
        <w:rPr>
          <w:rFonts w:hint="eastAsia" w:ascii="宋体" w:hAnsi="宋体" w:eastAsia="宋体"/>
          <w:sz w:val="32"/>
          <w:szCs w:val="32"/>
        </w:rPr>
        <w:t>3、</w:t>
      </w:r>
      <w:r>
        <w:rPr>
          <w:rFonts w:ascii="宋体" w:hAnsi="宋体" w:eastAsia="宋体"/>
          <w:sz w:val="32"/>
          <w:szCs w:val="32"/>
        </w:rPr>
        <w:t>CNC精密虎钳（2台）、CNC精密卡盘（2台）。</w:t>
      </w:r>
      <w:r>
        <w:rPr>
          <w:rFonts w:hint="eastAsia" w:ascii="宋体" w:hAnsi="宋体" w:eastAsia="宋体"/>
          <w:sz w:val="32"/>
          <w:szCs w:val="32"/>
        </w:rPr>
        <w:t>约2</w:t>
      </w:r>
      <w:r>
        <w:rPr>
          <w:rFonts w:ascii="宋体" w:hAnsi="宋体" w:eastAsia="宋体"/>
          <w:sz w:val="32"/>
          <w:szCs w:val="32"/>
        </w:rPr>
        <w:t>万元。</w:t>
      </w:r>
    </w:p>
    <w:p>
      <w:pPr>
        <w:ind w:firstLine="640" w:firstLineChars="200"/>
        <w:rPr>
          <w:rFonts w:ascii="宋体" w:hAnsi="宋体" w:eastAsia="宋体"/>
          <w:sz w:val="32"/>
          <w:szCs w:val="32"/>
        </w:rPr>
      </w:pPr>
      <w:r>
        <w:rPr>
          <w:rFonts w:hint="eastAsia" w:ascii="宋体" w:hAnsi="宋体" w:eastAsia="宋体"/>
          <w:sz w:val="32"/>
          <w:szCs w:val="32"/>
        </w:rPr>
        <w:t>具体升级改造项目如下表：</w:t>
      </w:r>
    </w:p>
    <w:tbl>
      <w:tblPr>
        <w:tblStyle w:val="2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6413"/>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532" w:type="dxa"/>
            <w:vAlign w:val="center"/>
          </w:tcPr>
          <w:p>
            <w:pPr>
              <w:jc w:val="center"/>
              <w:rPr>
                <w:rFonts w:ascii="宋体" w:hAnsi="宋体" w:eastAsia="宋体"/>
                <w:sz w:val="28"/>
                <w:szCs w:val="28"/>
              </w:rPr>
            </w:pPr>
            <w:r>
              <w:rPr>
                <w:rFonts w:hint="eastAsia" w:ascii="宋体" w:hAnsi="宋体" w:eastAsia="宋体"/>
                <w:sz w:val="28"/>
                <w:szCs w:val="28"/>
              </w:rPr>
              <w:t>改造升级项目名称</w:t>
            </w:r>
          </w:p>
        </w:tc>
        <w:tc>
          <w:tcPr>
            <w:tcW w:w="6413" w:type="dxa"/>
            <w:vAlign w:val="center"/>
          </w:tcPr>
          <w:p>
            <w:pPr>
              <w:jc w:val="center"/>
              <w:rPr>
                <w:rFonts w:ascii="宋体" w:hAnsi="宋体" w:eastAsia="宋体"/>
                <w:sz w:val="28"/>
                <w:szCs w:val="28"/>
              </w:rPr>
            </w:pPr>
            <w:r>
              <w:rPr>
                <w:rFonts w:hint="eastAsia" w:ascii="宋体" w:hAnsi="宋体" w:eastAsia="宋体"/>
                <w:sz w:val="28"/>
                <w:szCs w:val="28"/>
              </w:rPr>
              <w:t>方案概述</w:t>
            </w:r>
          </w:p>
        </w:tc>
        <w:tc>
          <w:tcPr>
            <w:tcW w:w="1341" w:type="dxa"/>
            <w:vAlign w:val="center"/>
          </w:tcPr>
          <w:p>
            <w:pPr>
              <w:jc w:val="center"/>
              <w:rPr>
                <w:rFonts w:ascii="宋体" w:hAnsi="宋体" w:eastAsia="宋体"/>
                <w:sz w:val="28"/>
                <w:szCs w:val="28"/>
              </w:rPr>
            </w:pPr>
            <w:r>
              <w:rPr>
                <w:rFonts w:hint="eastAsia" w:ascii="宋体" w:hAnsi="宋体"/>
                <w:sz w:val="28"/>
                <w:szCs w:val="28"/>
                <w:lang w:val="en-US" w:eastAsia="zh-CN"/>
              </w:rPr>
              <w:t>分项</w:t>
            </w:r>
            <w:r>
              <w:rPr>
                <w:rFonts w:hint="eastAsia" w:ascii="宋体" w:hAnsi="宋体" w:eastAsia="宋体"/>
                <w:sz w:val="28"/>
                <w:szCs w:val="28"/>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532" w:type="dxa"/>
            <w:vAlign w:val="center"/>
          </w:tcPr>
          <w:p>
            <w:pPr>
              <w:jc w:val="center"/>
              <w:rPr>
                <w:rFonts w:ascii="宋体" w:hAnsi="宋体" w:eastAsia="宋体"/>
                <w:sz w:val="28"/>
                <w:szCs w:val="28"/>
              </w:rPr>
            </w:pPr>
            <w:r>
              <w:rPr>
                <w:rFonts w:hint="eastAsia" w:ascii="宋体" w:hAnsi="宋体" w:eastAsia="宋体"/>
                <w:sz w:val="28"/>
                <w:szCs w:val="28"/>
              </w:rPr>
              <w:t>将数控车间其中一台三轴数控铣床改造为智能化四轴加工中心</w:t>
            </w:r>
          </w:p>
        </w:tc>
        <w:tc>
          <w:tcPr>
            <w:tcW w:w="6413" w:type="dxa"/>
            <w:vAlign w:val="center"/>
          </w:tcPr>
          <w:p>
            <w:pPr>
              <w:jc w:val="center"/>
              <w:rPr>
                <w:rFonts w:ascii="宋体" w:hAnsi="宋体" w:eastAsia="宋体"/>
                <w:sz w:val="28"/>
                <w:szCs w:val="28"/>
              </w:rPr>
            </w:pPr>
            <w:r>
              <w:rPr>
                <w:rFonts w:ascii="宋体" w:hAnsi="宋体" w:eastAsia="宋体"/>
                <w:sz w:val="28"/>
                <w:szCs w:val="28"/>
              </w:rPr>
              <w:t>1.增加转台，尾架，</w:t>
            </w:r>
            <w:r>
              <w:rPr>
                <w:rFonts w:hint="eastAsia" w:ascii="宋体" w:hAnsi="宋体" w:eastAsia="宋体"/>
                <w:sz w:val="28"/>
                <w:szCs w:val="28"/>
              </w:rPr>
              <w:t>保证高精度</w:t>
            </w:r>
          </w:p>
          <w:p>
            <w:pPr>
              <w:jc w:val="center"/>
              <w:rPr>
                <w:rFonts w:ascii="宋体" w:hAnsi="宋体" w:eastAsia="宋体"/>
                <w:sz w:val="28"/>
                <w:szCs w:val="28"/>
              </w:rPr>
            </w:pPr>
            <w:r>
              <w:rPr>
                <w:rFonts w:ascii="宋体" w:hAnsi="宋体" w:eastAsia="宋体"/>
                <w:sz w:val="28"/>
                <w:szCs w:val="28"/>
              </w:rPr>
              <w:t>2.开通</w:t>
            </w:r>
            <w:r>
              <w:rPr>
                <w:rFonts w:hint="eastAsia" w:ascii="宋体" w:hAnsi="宋体" w:eastAsia="宋体"/>
                <w:sz w:val="28"/>
                <w:szCs w:val="28"/>
              </w:rPr>
              <w:t>F</w:t>
            </w:r>
            <w:r>
              <w:rPr>
                <w:rFonts w:ascii="宋体" w:hAnsi="宋体" w:eastAsia="宋体"/>
                <w:sz w:val="28"/>
                <w:szCs w:val="28"/>
              </w:rPr>
              <w:t>ANUC第四轴功能</w:t>
            </w:r>
          </w:p>
          <w:p>
            <w:pPr>
              <w:jc w:val="center"/>
              <w:rPr>
                <w:rFonts w:ascii="宋体" w:hAnsi="宋体" w:eastAsia="宋体"/>
                <w:sz w:val="28"/>
                <w:szCs w:val="28"/>
              </w:rPr>
            </w:pPr>
            <w:r>
              <w:rPr>
                <w:rFonts w:ascii="宋体" w:hAnsi="宋体" w:eastAsia="宋体"/>
                <w:sz w:val="28"/>
                <w:szCs w:val="28"/>
              </w:rPr>
              <w:t>3.增加</w:t>
            </w:r>
            <w:r>
              <w:rPr>
                <w:rFonts w:hint="eastAsia" w:ascii="宋体" w:hAnsi="宋体" w:eastAsia="宋体"/>
                <w:sz w:val="28"/>
                <w:szCs w:val="28"/>
              </w:rPr>
              <w:t>手动卡盘</w:t>
            </w:r>
          </w:p>
          <w:p>
            <w:pPr>
              <w:jc w:val="center"/>
              <w:rPr>
                <w:rFonts w:ascii="宋体" w:hAnsi="宋体" w:eastAsia="宋体"/>
                <w:sz w:val="28"/>
                <w:szCs w:val="28"/>
              </w:rPr>
            </w:pPr>
            <w:r>
              <w:rPr>
                <w:rFonts w:ascii="宋体" w:hAnsi="宋体" w:eastAsia="宋体"/>
                <w:sz w:val="28"/>
                <w:szCs w:val="28"/>
              </w:rPr>
              <w:t>4.增加FANUC放大器，</w:t>
            </w:r>
            <w:r>
              <w:rPr>
                <w:rFonts w:hint="eastAsia" w:ascii="宋体" w:hAnsi="宋体" w:eastAsia="宋体"/>
                <w:sz w:val="28"/>
                <w:szCs w:val="28"/>
              </w:rPr>
              <w:t>F</w:t>
            </w:r>
            <w:r>
              <w:rPr>
                <w:rFonts w:ascii="宋体" w:hAnsi="宋体" w:eastAsia="宋体"/>
                <w:sz w:val="28"/>
                <w:szCs w:val="28"/>
              </w:rPr>
              <w:t>ANUC电机</w:t>
            </w:r>
            <w:r>
              <w:rPr>
                <w:rFonts w:hint="eastAsia" w:ascii="宋体" w:hAnsi="宋体" w:eastAsia="宋体"/>
                <w:sz w:val="28"/>
                <w:szCs w:val="28"/>
              </w:rPr>
              <w:t>，体现数控加工智能化</w:t>
            </w:r>
            <w:r>
              <w:rPr>
                <w:rFonts w:ascii="宋体" w:hAnsi="宋体" w:eastAsia="宋体"/>
                <w:sz w:val="28"/>
                <w:szCs w:val="28"/>
              </w:rPr>
              <w:t>。</w:t>
            </w:r>
          </w:p>
          <w:p>
            <w:pPr>
              <w:jc w:val="center"/>
              <w:rPr>
                <w:rFonts w:ascii="宋体" w:hAnsi="宋体" w:eastAsia="宋体"/>
                <w:sz w:val="28"/>
                <w:szCs w:val="28"/>
              </w:rPr>
            </w:pPr>
            <w:r>
              <w:rPr>
                <w:rFonts w:hint="eastAsia" w:ascii="宋体" w:hAnsi="宋体" w:eastAsia="宋体"/>
                <w:sz w:val="28"/>
                <w:szCs w:val="28"/>
              </w:rPr>
              <w:t>5、设计制造四轴桥板专用夹具。能够夹持小型精密虎钳。</w:t>
            </w:r>
          </w:p>
          <w:p>
            <w:pPr>
              <w:jc w:val="center"/>
              <w:rPr>
                <w:rFonts w:ascii="宋体" w:hAnsi="宋体" w:eastAsia="宋体"/>
                <w:sz w:val="28"/>
                <w:szCs w:val="28"/>
              </w:rPr>
            </w:pPr>
            <w:r>
              <w:rPr>
                <w:rFonts w:hint="eastAsia" w:ascii="宋体" w:hAnsi="宋体" w:eastAsia="宋体"/>
                <w:sz w:val="28"/>
                <w:szCs w:val="28"/>
              </w:rPr>
              <w:t>6、设计制造五轴专用夹具。能够快速装夹精密虎钳及卡盘。</w:t>
            </w:r>
          </w:p>
          <w:p>
            <w:pPr>
              <w:jc w:val="center"/>
              <w:rPr>
                <w:rFonts w:ascii="宋体" w:hAnsi="宋体" w:eastAsia="宋体"/>
                <w:sz w:val="28"/>
                <w:szCs w:val="28"/>
              </w:rPr>
            </w:pPr>
            <w:r>
              <w:rPr>
                <w:rFonts w:hint="eastAsia" w:ascii="宋体" w:hAnsi="宋体" w:eastAsia="宋体"/>
                <w:sz w:val="28"/>
                <w:szCs w:val="28"/>
              </w:rPr>
              <w:t>其具体采购需求如下：</w:t>
            </w:r>
          </w:p>
          <w:p>
            <w:pPr>
              <w:jc w:val="center"/>
              <w:rPr>
                <w:rFonts w:ascii="宋体" w:hAnsi="宋体" w:eastAsia="宋体"/>
                <w:sz w:val="28"/>
                <w:szCs w:val="28"/>
              </w:rPr>
            </w:pPr>
            <w:r>
              <w:rPr>
                <w:rFonts w:ascii="宋体" w:hAnsi="宋体" w:eastAsia="宋体"/>
                <w:sz w:val="28"/>
                <w:szCs w:val="28"/>
              </w:rPr>
              <w:t>1.立式四轴转台参数：</w:t>
            </w:r>
          </w:p>
          <w:p>
            <w:pPr>
              <w:jc w:val="center"/>
              <w:rPr>
                <w:rFonts w:ascii="宋体" w:hAnsi="宋体" w:eastAsia="宋体"/>
                <w:sz w:val="28"/>
                <w:szCs w:val="28"/>
              </w:rPr>
            </w:pPr>
            <w:r>
              <w:rPr>
                <w:rFonts w:hint="eastAsia" w:ascii="宋体" w:hAnsi="宋体" w:eastAsia="宋体"/>
                <w:sz w:val="28"/>
                <w:szCs w:val="28"/>
              </w:rPr>
              <w:t>气压</w:t>
            </w:r>
            <w:r>
              <w:rPr>
                <w:rFonts w:ascii="宋体" w:hAnsi="宋体" w:eastAsia="宋体"/>
                <w:sz w:val="28"/>
                <w:szCs w:val="28"/>
              </w:rPr>
              <w:t>/油压CNC数控分度盘；</w:t>
            </w:r>
          </w:p>
          <w:p>
            <w:pPr>
              <w:jc w:val="center"/>
              <w:rPr>
                <w:rFonts w:ascii="宋体" w:hAnsi="宋体" w:eastAsia="宋体"/>
                <w:sz w:val="28"/>
                <w:szCs w:val="28"/>
              </w:rPr>
            </w:pPr>
            <w:r>
              <w:rPr>
                <w:rFonts w:hint="eastAsia" w:ascii="宋体" w:hAnsi="宋体" w:eastAsia="宋体"/>
                <w:sz w:val="28"/>
                <w:szCs w:val="28"/>
              </w:rPr>
              <w:t>高精度、高刚性、耐重切削；</w:t>
            </w:r>
          </w:p>
          <w:p>
            <w:pPr>
              <w:jc w:val="center"/>
              <w:rPr>
                <w:rFonts w:ascii="宋体" w:hAnsi="宋体" w:eastAsia="宋体"/>
                <w:sz w:val="28"/>
                <w:szCs w:val="28"/>
              </w:rPr>
            </w:pPr>
            <w:r>
              <w:rPr>
                <w:rFonts w:hint="eastAsia" w:ascii="宋体" w:hAnsi="宋体" w:eastAsia="宋体"/>
                <w:sz w:val="28"/>
                <w:szCs w:val="28"/>
              </w:rPr>
              <w:t>中心高</w:t>
            </w:r>
            <w:r>
              <w:rPr>
                <w:rFonts w:ascii="宋体" w:hAnsi="宋体" w:eastAsia="宋体"/>
                <w:sz w:val="28"/>
                <w:szCs w:val="28"/>
              </w:rPr>
              <w:t>210mm；</w:t>
            </w:r>
          </w:p>
          <w:p>
            <w:pPr>
              <w:jc w:val="center"/>
              <w:rPr>
                <w:rFonts w:ascii="宋体" w:hAnsi="宋体" w:eastAsia="宋体"/>
                <w:sz w:val="28"/>
                <w:szCs w:val="28"/>
              </w:rPr>
            </w:pPr>
            <w:r>
              <w:rPr>
                <w:rFonts w:hint="eastAsia" w:ascii="宋体" w:hAnsi="宋体" w:eastAsia="宋体"/>
                <w:sz w:val="28"/>
                <w:szCs w:val="28"/>
              </w:rPr>
              <w:t>分度盘分辨率</w:t>
            </w:r>
            <w:r>
              <w:rPr>
                <w:rFonts w:ascii="宋体" w:hAnsi="宋体" w:eastAsia="宋体"/>
                <w:sz w:val="28"/>
                <w:szCs w:val="28"/>
              </w:rPr>
              <w:t>0.001度</w:t>
            </w:r>
          </w:p>
          <w:p>
            <w:pPr>
              <w:jc w:val="center"/>
              <w:rPr>
                <w:rFonts w:ascii="宋体" w:hAnsi="宋体" w:eastAsia="宋体"/>
                <w:sz w:val="28"/>
                <w:szCs w:val="28"/>
              </w:rPr>
            </w:pPr>
            <w:r>
              <w:rPr>
                <w:rFonts w:hint="eastAsia" w:ascii="宋体" w:hAnsi="宋体" w:eastAsia="宋体"/>
                <w:sz w:val="28"/>
                <w:szCs w:val="28"/>
              </w:rPr>
              <w:t>盘面直径Φ</w:t>
            </w:r>
            <w:r>
              <w:rPr>
                <w:rFonts w:ascii="宋体" w:hAnsi="宋体" w:eastAsia="宋体"/>
                <w:sz w:val="28"/>
                <w:szCs w:val="28"/>
              </w:rPr>
              <w:t>210mm</w:t>
            </w:r>
          </w:p>
          <w:p>
            <w:pPr>
              <w:jc w:val="center"/>
              <w:rPr>
                <w:rFonts w:ascii="宋体" w:hAnsi="宋体" w:eastAsia="宋体"/>
                <w:sz w:val="28"/>
                <w:szCs w:val="28"/>
              </w:rPr>
            </w:pPr>
            <w:r>
              <w:rPr>
                <w:rFonts w:hint="eastAsia" w:ascii="宋体" w:hAnsi="宋体" w:eastAsia="宋体"/>
                <w:sz w:val="28"/>
                <w:szCs w:val="28"/>
              </w:rPr>
              <w:t>盘面中心孔直径Φ</w:t>
            </w:r>
            <w:r>
              <w:rPr>
                <w:rFonts w:ascii="宋体" w:hAnsi="宋体" w:eastAsia="宋体"/>
                <w:sz w:val="28"/>
                <w:szCs w:val="28"/>
              </w:rPr>
              <w:t>40H7；</w:t>
            </w:r>
          </w:p>
          <w:p>
            <w:pPr>
              <w:jc w:val="center"/>
              <w:rPr>
                <w:rFonts w:ascii="宋体" w:hAnsi="宋体" w:eastAsia="宋体"/>
                <w:sz w:val="28"/>
                <w:szCs w:val="28"/>
              </w:rPr>
            </w:pPr>
            <w:r>
              <w:rPr>
                <w:rFonts w:hint="eastAsia" w:ascii="宋体" w:hAnsi="宋体" w:eastAsia="宋体"/>
                <w:sz w:val="28"/>
                <w:szCs w:val="28"/>
              </w:rPr>
              <w:t>盘面梯形槽宽度</w:t>
            </w:r>
            <w:r>
              <w:rPr>
                <w:rFonts w:ascii="宋体" w:hAnsi="宋体" w:eastAsia="宋体"/>
                <w:sz w:val="28"/>
                <w:szCs w:val="28"/>
              </w:rPr>
              <w:t>12H7；</w:t>
            </w:r>
          </w:p>
          <w:p>
            <w:pPr>
              <w:jc w:val="center"/>
              <w:rPr>
                <w:rFonts w:ascii="宋体" w:hAnsi="宋体" w:eastAsia="宋体"/>
                <w:sz w:val="28"/>
                <w:szCs w:val="28"/>
              </w:rPr>
            </w:pPr>
            <w:r>
              <w:rPr>
                <w:rFonts w:hint="eastAsia" w:ascii="宋体" w:hAnsi="宋体" w:eastAsia="宋体"/>
                <w:sz w:val="28"/>
                <w:szCs w:val="28"/>
              </w:rPr>
              <w:t>锁紧扭矩气压</w:t>
            </w:r>
            <w:r>
              <w:rPr>
                <w:rFonts w:ascii="宋体" w:hAnsi="宋体" w:eastAsia="宋体"/>
                <w:sz w:val="28"/>
                <w:szCs w:val="28"/>
              </w:rPr>
              <w:t>0.5—0.7MPa；</w:t>
            </w:r>
          </w:p>
          <w:p>
            <w:pPr>
              <w:jc w:val="center"/>
              <w:rPr>
                <w:rFonts w:ascii="宋体" w:hAnsi="宋体" w:eastAsia="宋体"/>
                <w:sz w:val="28"/>
                <w:szCs w:val="28"/>
              </w:rPr>
            </w:pPr>
            <w:r>
              <w:rPr>
                <w:rFonts w:hint="eastAsia" w:ascii="宋体" w:hAnsi="宋体" w:eastAsia="宋体"/>
                <w:sz w:val="28"/>
                <w:szCs w:val="28"/>
              </w:rPr>
              <w:t>私服马达型号：</w:t>
            </w:r>
            <w:r>
              <w:rPr>
                <w:rFonts w:ascii="宋体" w:hAnsi="宋体" w:eastAsia="宋体"/>
                <w:sz w:val="28"/>
                <w:szCs w:val="28"/>
              </w:rPr>
              <w:t>FANUC α4i；</w:t>
            </w:r>
          </w:p>
          <w:p>
            <w:pPr>
              <w:jc w:val="center"/>
              <w:rPr>
                <w:rFonts w:ascii="宋体" w:hAnsi="宋体" w:eastAsia="宋体"/>
                <w:sz w:val="28"/>
                <w:szCs w:val="28"/>
              </w:rPr>
            </w:pPr>
            <w:r>
              <w:rPr>
                <w:rFonts w:hint="eastAsia" w:ascii="宋体" w:hAnsi="宋体" w:eastAsia="宋体"/>
                <w:sz w:val="28"/>
                <w:szCs w:val="28"/>
              </w:rPr>
              <w:t>齿数比</w:t>
            </w:r>
            <w:r>
              <w:rPr>
                <w:rFonts w:ascii="宋体" w:hAnsi="宋体" w:eastAsia="宋体"/>
                <w:sz w:val="28"/>
                <w:szCs w:val="28"/>
              </w:rPr>
              <w:t>1:90；</w:t>
            </w:r>
          </w:p>
          <w:p>
            <w:pPr>
              <w:jc w:val="center"/>
              <w:rPr>
                <w:rFonts w:ascii="宋体" w:hAnsi="宋体" w:eastAsia="宋体"/>
                <w:sz w:val="28"/>
                <w:szCs w:val="28"/>
              </w:rPr>
            </w:pPr>
            <w:r>
              <w:rPr>
                <w:rFonts w:hint="eastAsia" w:ascii="宋体" w:hAnsi="宋体" w:eastAsia="宋体"/>
                <w:sz w:val="28"/>
                <w:szCs w:val="28"/>
              </w:rPr>
              <w:t>最高转速（马达：</w:t>
            </w:r>
            <w:r>
              <w:rPr>
                <w:rFonts w:ascii="宋体" w:hAnsi="宋体" w:eastAsia="宋体"/>
                <w:sz w:val="28"/>
                <w:szCs w:val="28"/>
              </w:rPr>
              <w:t>4000rpm），转台44.4rpm；</w:t>
            </w:r>
          </w:p>
          <w:p>
            <w:pPr>
              <w:jc w:val="center"/>
              <w:rPr>
                <w:rFonts w:ascii="宋体" w:hAnsi="宋体" w:eastAsia="宋体"/>
                <w:sz w:val="28"/>
                <w:szCs w:val="28"/>
              </w:rPr>
            </w:pPr>
            <w:r>
              <w:rPr>
                <w:rFonts w:hint="eastAsia" w:ascii="宋体" w:hAnsi="宋体" w:eastAsia="宋体"/>
                <w:sz w:val="28"/>
                <w:szCs w:val="28"/>
              </w:rPr>
              <w:t>容许负载容量</w:t>
            </w:r>
            <w:r>
              <w:rPr>
                <w:rFonts w:ascii="宋体" w:hAnsi="宋体" w:eastAsia="宋体"/>
                <w:sz w:val="28"/>
                <w:szCs w:val="28"/>
              </w:rPr>
              <w:t>85kg（使用尾座160kg）；</w:t>
            </w:r>
          </w:p>
          <w:p>
            <w:pPr>
              <w:jc w:val="center"/>
              <w:rPr>
                <w:rFonts w:ascii="宋体" w:hAnsi="宋体" w:eastAsia="宋体"/>
                <w:sz w:val="28"/>
                <w:szCs w:val="28"/>
              </w:rPr>
            </w:pPr>
            <w:r>
              <w:rPr>
                <w:rFonts w:hint="eastAsia" w:ascii="宋体" w:hAnsi="宋体" w:eastAsia="宋体"/>
                <w:sz w:val="28"/>
                <w:szCs w:val="28"/>
              </w:rPr>
              <w:t>容许切削力（锁紧状态）</w:t>
            </w:r>
            <w:r>
              <w:rPr>
                <w:rFonts w:ascii="宋体" w:hAnsi="宋体" w:eastAsia="宋体"/>
                <w:sz w:val="28"/>
                <w:szCs w:val="28"/>
              </w:rPr>
              <w:t>1020Nm；</w:t>
            </w:r>
          </w:p>
          <w:p>
            <w:pPr>
              <w:jc w:val="center"/>
              <w:rPr>
                <w:rFonts w:ascii="宋体" w:hAnsi="宋体" w:eastAsia="宋体"/>
                <w:sz w:val="28"/>
                <w:szCs w:val="28"/>
              </w:rPr>
            </w:pPr>
            <w:r>
              <w:rPr>
                <w:rFonts w:hint="eastAsia" w:ascii="宋体" w:hAnsi="宋体" w:eastAsia="宋体"/>
                <w:sz w:val="28"/>
                <w:szCs w:val="28"/>
              </w:rPr>
              <w:t>涡轮容许扭矩</w:t>
            </w:r>
            <w:r>
              <w:rPr>
                <w:rFonts w:ascii="宋体" w:hAnsi="宋体" w:eastAsia="宋体"/>
                <w:sz w:val="28"/>
                <w:szCs w:val="28"/>
              </w:rPr>
              <w:t>260Nm；</w:t>
            </w:r>
          </w:p>
          <w:p>
            <w:pPr>
              <w:jc w:val="center"/>
              <w:rPr>
                <w:rFonts w:ascii="宋体" w:hAnsi="宋体" w:eastAsia="宋体"/>
                <w:sz w:val="28"/>
                <w:szCs w:val="28"/>
              </w:rPr>
            </w:pPr>
            <w:r>
              <w:rPr>
                <w:rFonts w:hint="eastAsia" w:ascii="宋体" w:hAnsi="宋体" w:eastAsia="宋体"/>
                <w:sz w:val="28"/>
                <w:szCs w:val="28"/>
              </w:rPr>
              <w:t>转台重量（不含马达</w:t>
            </w:r>
            <w:r>
              <w:rPr>
                <w:rFonts w:ascii="宋体" w:hAnsi="宋体" w:eastAsia="宋体"/>
                <w:sz w:val="28"/>
                <w:szCs w:val="28"/>
              </w:rPr>
              <w:t>50kg）；</w:t>
            </w:r>
          </w:p>
          <w:p>
            <w:pPr>
              <w:jc w:val="center"/>
              <w:rPr>
                <w:rFonts w:ascii="宋体" w:hAnsi="宋体" w:eastAsia="宋体"/>
                <w:sz w:val="28"/>
                <w:szCs w:val="28"/>
              </w:rPr>
            </w:pPr>
            <w:r>
              <w:rPr>
                <w:rFonts w:ascii="宋体" w:hAnsi="宋体" w:eastAsia="宋体"/>
                <w:sz w:val="28"/>
                <w:szCs w:val="28"/>
              </w:rPr>
              <w:t>2、尾座：</w:t>
            </w:r>
          </w:p>
          <w:p>
            <w:pPr>
              <w:jc w:val="center"/>
              <w:rPr>
                <w:rFonts w:ascii="宋体" w:hAnsi="宋体" w:eastAsia="宋体"/>
                <w:sz w:val="28"/>
                <w:szCs w:val="28"/>
              </w:rPr>
            </w:pPr>
            <w:r>
              <w:rPr>
                <w:rFonts w:hint="eastAsia" w:ascii="宋体" w:hAnsi="宋体" w:eastAsia="宋体"/>
                <w:sz w:val="28"/>
                <w:szCs w:val="28"/>
              </w:rPr>
              <w:t>与立式四轴转台匹配；</w:t>
            </w:r>
          </w:p>
          <w:p>
            <w:pPr>
              <w:jc w:val="center"/>
              <w:rPr>
                <w:rFonts w:ascii="宋体" w:hAnsi="宋体" w:eastAsia="宋体"/>
                <w:sz w:val="28"/>
                <w:szCs w:val="28"/>
              </w:rPr>
            </w:pPr>
            <w:r>
              <w:rPr>
                <w:rFonts w:ascii="宋体" w:hAnsi="宋体" w:eastAsia="宋体"/>
                <w:sz w:val="28"/>
                <w:szCs w:val="28"/>
              </w:rPr>
              <w:t>3、手动卡盘：</w:t>
            </w:r>
          </w:p>
          <w:p>
            <w:pPr>
              <w:jc w:val="center"/>
              <w:rPr>
                <w:rFonts w:ascii="宋体" w:hAnsi="宋体" w:eastAsia="宋体"/>
                <w:sz w:val="28"/>
                <w:szCs w:val="28"/>
              </w:rPr>
            </w:pPr>
            <w:r>
              <w:rPr>
                <w:rFonts w:ascii="宋体" w:hAnsi="宋体" w:eastAsia="宋体"/>
                <w:sz w:val="28"/>
                <w:szCs w:val="28"/>
              </w:rPr>
              <w:t>8寸，三爪自定心；</w:t>
            </w:r>
          </w:p>
          <w:p>
            <w:pPr>
              <w:jc w:val="center"/>
              <w:rPr>
                <w:rFonts w:ascii="宋体" w:hAnsi="宋体" w:eastAsia="宋体"/>
                <w:sz w:val="28"/>
                <w:szCs w:val="28"/>
              </w:rPr>
            </w:pPr>
            <w:r>
              <w:rPr>
                <w:rFonts w:hint="eastAsia" w:ascii="宋体" w:hAnsi="宋体" w:eastAsia="宋体"/>
                <w:sz w:val="28"/>
                <w:szCs w:val="28"/>
              </w:rPr>
              <w:t>整体尺寸与四轴转台匹配；</w:t>
            </w:r>
          </w:p>
          <w:p>
            <w:pPr>
              <w:jc w:val="center"/>
              <w:rPr>
                <w:rFonts w:ascii="宋体" w:hAnsi="宋体" w:eastAsia="宋体"/>
                <w:sz w:val="28"/>
                <w:szCs w:val="28"/>
              </w:rPr>
            </w:pPr>
            <w:r>
              <w:rPr>
                <w:rFonts w:ascii="宋体" w:hAnsi="宋体" w:eastAsia="宋体"/>
                <w:sz w:val="28"/>
                <w:szCs w:val="28"/>
              </w:rPr>
              <w:t>4、四轴桥板：</w:t>
            </w:r>
          </w:p>
          <w:p>
            <w:pPr>
              <w:jc w:val="center"/>
              <w:rPr>
                <w:rFonts w:ascii="宋体" w:hAnsi="宋体" w:eastAsia="宋体"/>
                <w:sz w:val="28"/>
                <w:szCs w:val="28"/>
              </w:rPr>
            </w:pPr>
            <w:r>
              <w:rPr>
                <w:rFonts w:hint="eastAsia" w:ascii="宋体" w:hAnsi="宋体" w:eastAsia="宋体"/>
                <w:sz w:val="28"/>
                <w:szCs w:val="28"/>
              </w:rPr>
              <w:t>四轴</w:t>
            </w:r>
            <w:r>
              <w:rPr>
                <w:rFonts w:ascii="宋体" w:hAnsi="宋体" w:eastAsia="宋体"/>
                <w:sz w:val="28"/>
                <w:szCs w:val="28"/>
              </w:rPr>
              <w:t>L块链接板：圆直径200mm；长253mm；宽156mm；</w:t>
            </w:r>
          </w:p>
          <w:p>
            <w:pPr>
              <w:jc w:val="center"/>
              <w:rPr>
                <w:rFonts w:ascii="宋体" w:hAnsi="宋体" w:eastAsia="宋体"/>
                <w:sz w:val="28"/>
                <w:szCs w:val="28"/>
              </w:rPr>
            </w:pPr>
            <w:r>
              <w:rPr>
                <w:rFonts w:hint="eastAsia" w:ascii="宋体" w:hAnsi="宋体" w:eastAsia="宋体"/>
                <w:sz w:val="28"/>
                <w:szCs w:val="28"/>
              </w:rPr>
              <w:t>背面中心孔：圆直径</w:t>
            </w:r>
            <w:r>
              <w:rPr>
                <w:rFonts w:ascii="宋体" w:hAnsi="宋体" w:eastAsia="宋体"/>
                <w:sz w:val="28"/>
                <w:szCs w:val="28"/>
              </w:rPr>
              <w:t>55；深度13mm；</w:t>
            </w:r>
          </w:p>
          <w:p>
            <w:pPr>
              <w:jc w:val="center"/>
              <w:rPr>
                <w:rFonts w:ascii="宋体" w:hAnsi="宋体" w:eastAsia="宋体"/>
                <w:sz w:val="28"/>
                <w:szCs w:val="28"/>
              </w:rPr>
            </w:pPr>
            <w:r>
              <w:rPr>
                <w:rFonts w:hint="eastAsia" w:ascii="宋体" w:hAnsi="宋体" w:eastAsia="宋体"/>
                <w:sz w:val="28"/>
                <w:szCs w:val="28"/>
              </w:rPr>
              <w:t>搭配</w:t>
            </w:r>
            <w:r>
              <w:rPr>
                <w:rFonts w:ascii="宋体" w:hAnsi="宋体" w:eastAsia="宋体"/>
                <w:sz w:val="28"/>
                <w:szCs w:val="28"/>
              </w:rPr>
              <w:t>KH125-250虎钳；</w:t>
            </w:r>
          </w:p>
          <w:p>
            <w:pPr>
              <w:jc w:val="center"/>
              <w:rPr>
                <w:rFonts w:ascii="宋体" w:hAnsi="宋体" w:eastAsia="宋体"/>
                <w:sz w:val="28"/>
                <w:szCs w:val="28"/>
              </w:rPr>
            </w:pPr>
            <w:r>
              <w:rPr>
                <w:rFonts w:ascii="宋体" w:hAnsi="宋体" w:eastAsia="宋体"/>
                <w:sz w:val="28"/>
                <w:szCs w:val="28"/>
              </w:rPr>
              <w:t>5、KH125-250虎钳：</w:t>
            </w:r>
          </w:p>
          <w:p>
            <w:pPr>
              <w:jc w:val="center"/>
              <w:rPr>
                <w:rFonts w:ascii="宋体" w:hAnsi="宋体" w:eastAsia="宋体"/>
                <w:sz w:val="28"/>
                <w:szCs w:val="28"/>
              </w:rPr>
            </w:pPr>
            <w:r>
              <w:rPr>
                <w:rFonts w:hint="eastAsia" w:ascii="宋体" w:hAnsi="宋体" w:eastAsia="宋体"/>
                <w:sz w:val="28"/>
                <w:szCs w:val="28"/>
              </w:rPr>
              <w:t>自定心、同心同动虎钳，夹持范围</w:t>
            </w:r>
            <w:r>
              <w:rPr>
                <w:rFonts w:ascii="宋体" w:hAnsi="宋体" w:eastAsia="宋体"/>
                <w:sz w:val="28"/>
                <w:szCs w:val="28"/>
              </w:rPr>
              <w:t>0-205mm；</w:t>
            </w:r>
          </w:p>
          <w:p>
            <w:pPr>
              <w:jc w:val="center"/>
              <w:rPr>
                <w:rFonts w:ascii="宋体" w:hAnsi="宋体" w:eastAsia="宋体"/>
                <w:sz w:val="28"/>
                <w:szCs w:val="28"/>
              </w:rPr>
            </w:pPr>
            <w:r>
              <w:rPr>
                <w:rFonts w:ascii="宋体" w:hAnsi="宋体" w:eastAsia="宋体"/>
                <w:sz w:val="28"/>
                <w:szCs w:val="28"/>
              </w:rPr>
              <w:t>6、五轴专用夹具：</w:t>
            </w:r>
          </w:p>
          <w:p>
            <w:pPr>
              <w:jc w:val="center"/>
              <w:rPr>
                <w:rFonts w:ascii="宋体" w:hAnsi="宋体" w:eastAsia="宋体"/>
                <w:sz w:val="28"/>
                <w:szCs w:val="28"/>
              </w:rPr>
            </w:pPr>
            <w:r>
              <w:rPr>
                <w:rFonts w:hint="eastAsia" w:ascii="宋体" w:hAnsi="宋体" w:eastAsia="宋体"/>
                <w:sz w:val="28"/>
                <w:szCs w:val="28"/>
              </w:rPr>
              <w:t>五轴虎钳底座，定制。尺寸匹配车间现有五轴机床转台盘面尺寸；</w:t>
            </w:r>
          </w:p>
          <w:p>
            <w:pPr>
              <w:jc w:val="center"/>
              <w:rPr>
                <w:rFonts w:hint="eastAsia" w:ascii="宋体" w:hAnsi="宋体" w:eastAsia="宋体"/>
                <w:sz w:val="28"/>
                <w:szCs w:val="28"/>
              </w:rPr>
            </w:pPr>
            <w:r>
              <w:rPr>
                <w:rFonts w:hint="eastAsia" w:ascii="宋体" w:hAnsi="宋体" w:eastAsia="宋体"/>
                <w:sz w:val="28"/>
                <w:szCs w:val="28"/>
              </w:rPr>
              <w:t>底座实现快速换装卡盘、虎钳功能。</w:t>
            </w:r>
          </w:p>
        </w:tc>
        <w:tc>
          <w:tcPr>
            <w:tcW w:w="1341" w:type="dxa"/>
            <w:vAlign w:val="center"/>
          </w:tcPr>
          <w:p>
            <w:pPr>
              <w:jc w:val="center"/>
              <w:rPr>
                <w:rFonts w:ascii="宋体" w:hAnsi="宋体" w:eastAsia="宋体"/>
                <w:sz w:val="28"/>
                <w:szCs w:val="28"/>
              </w:rPr>
            </w:pPr>
            <w:r>
              <w:rPr>
                <w:rFonts w:hint="eastAsia" w:ascii="宋体" w:hAnsi="宋体" w:eastAsia="宋体"/>
                <w:sz w:val="28"/>
                <w:szCs w:val="28"/>
              </w:rPr>
              <w:t>8</w:t>
            </w:r>
            <w:r>
              <w:rPr>
                <w:rFonts w:ascii="宋体" w:hAnsi="宋体" w:eastAsia="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532" w:type="dxa"/>
            <w:vAlign w:val="center"/>
          </w:tcPr>
          <w:p>
            <w:pPr>
              <w:jc w:val="center"/>
              <w:rPr>
                <w:rFonts w:ascii="宋体" w:hAnsi="宋体" w:eastAsia="宋体"/>
                <w:sz w:val="28"/>
                <w:szCs w:val="28"/>
              </w:rPr>
            </w:pPr>
            <w:r>
              <w:rPr>
                <w:rFonts w:hint="eastAsia" w:ascii="宋体" w:hAnsi="宋体" w:eastAsia="宋体"/>
                <w:sz w:val="28"/>
                <w:szCs w:val="28"/>
              </w:rPr>
              <w:t>数控车间现有机床（两台数控铣床、一台斜床身数控车床、两台前置刀架平床身数控车床）的电路、气路、油路等附件升级改造更换。</w:t>
            </w:r>
          </w:p>
        </w:tc>
        <w:tc>
          <w:tcPr>
            <w:tcW w:w="6413" w:type="dxa"/>
            <w:vAlign w:val="center"/>
          </w:tcPr>
          <w:p>
            <w:pPr>
              <w:jc w:val="center"/>
              <w:rPr>
                <w:rFonts w:ascii="宋体" w:hAnsi="宋体" w:eastAsia="宋体"/>
                <w:sz w:val="28"/>
                <w:szCs w:val="28"/>
              </w:rPr>
            </w:pPr>
            <w:r>
              <w:rPr>
                <w:rFonts w:hint="eastAsia" w:ascii="宋体" w:hAnsi="宋体" w:eastAsia="宋体"/>
                <w:sz w:val="28"/>
                <w:szCs w:val="28"/>
              </w:rPr>
              <w:t>1、数控车间现有机床零配件保养、维护及更换。</w:t>
            </w:r>
          </w:p>
          <w:p>
            <w:pPr>
              <w:jc w:val="center"/>
              <w:rPr>
                <w:rFonts w:ascii="宋体" w:hAnsi="宋体" w:eastAsia="宋体"/>
                <w:sz w:val="28"/>
                <w:szCs w:val="28"/>
              </w:rPr>
            </w:pPr>
            <w:r>
              <w:rPr>
                <w:rFonts w:hint="eastAsia" w:ascii="宋体" w:hAnsi="宋体" w:eastAsia="宋体"/>
                <w:sz w:val="28"/>
                <w:szCs w:val="28"/>
              </w:rPr>
              <w:t>2、数控车间空压机的维护、保养。</w:t>
            </w:r>
          </w:p>
          <w:p>
            <w:pPr>
              <w:jc w:val="center"/>
              <w:rPr>
                <w:rFonts w:ascii="宋体" w:hAnsi="宋体" w:eastAsia="宋体"/>
                <w:sz w:val="28"/>
                <w:szCs w:val="28"/>
              </w:rPr>
            </w:pPr>
            <w:r>
              <w:rPr>
                <w:rFonts w:hint="eastAsia" w:ascii="宋体" w:hAnsi="宋体" w:eastAsia="宋体"/>
                <w:sz w:val="28"/>
                <w:szCs w:val="28"/>
              </w:rPr>
              <w:t>3、数控车间气路维护、保养及更换。</w:t>
            </w:r>
          </w:p>
          <w:p>
            <w:pPr>
              <w:jc w:val="center"/>
              <w:rPr>
                <w:rFonts w:ascii="宋体" w:hAnsi="宋体" w:eastAsia="宋体"/>
                <w:sz w:val="28"/>
                <w:szCs w:val="28"/>
              </w:rPr>
            </w:pPr>
            <w:r>
              <w:rPr>
                <w:rFonts w:hint="eastAsia" w:ascii="宋体" w:hAnsi="宋体" w:eastAsia="宋体"/>
                <w:sz w:val="28"/>
                <w:szCs w:val="28"/>
              </w:rPr>
              <w:t>4、C</w:t>
            </w:r>
            <w:r>
              <w:rPr>
                <w:rFonts w:ascii="宋体" w:hAnsi="宋体" w:eastAsia="宋体"/>
                <w:sz w:val="28"/>
                <w:szCs w:val="28"/>
              </w:rPr>
              <w:t>AD/CAM</w:t>
            </w:r>
            <w:r>
              <w:rPr>
                <w:rFonts w:hint="eastAsia" w:ascii="宋体" w:hAnsi="宋体" w:eastAsia="宋体"/>
                <w:sz w:val="28"/>
                <w:szCs w:val="28"/>
              </w:rPr>
              <w:t>数字化设计中心数字孪生系统升级改造。</w:t>
            </w:r>
          </w:p>
          <w:p>
            <w:pPr>
              <w:jc w:val="center"/>
              <w:rPr>
                <w:rFonts w:ascii="宋体" w:hAnsi="宋体" w:eastAsia="宋体"/>
                <w:sz w:val="28"/>
                <w:szCs w:val="28"/>
              </w:rPr>
            </w:pPr>
            <w:r>
              <w:rPr>
                <w:rFonts w:hint="eastAsia" w:ascii="宋体" w:hAnsi="宋体" w:eastAsia="宋体"/>
                <w:sz w:val="28"/>
                <w:szCs w:val="28"/>
              </w:rPr>
              <w:t>服务要求：</w:t>
            </w:r>
          </w:p>
          <w:p>
            <w:pPr>
              <w:jc w:val="center"/>
              <w:rPr>
                <w:rFonts w:ascii="宋体" w:hAnsi="宋体" w:eastAsia="宋体"/>
                <w:sz w:val="28"/>
                <w:szCs w:val="28"/>
              </w:rPr>
            </w:pPr>
            <w:r>
              <w:rPr>
                <w:rFonts w:hint="eastAsia" w:ascii="宋体" w:hAnsi="宋体" w:eastAsia="宋体"/>
                <w:sz w:val="28"/>
                <w:szCs w:val="28"/>
              </w:rPr>
              <w:t>检查车间现有机床内部零部件，跟换受损轴承、传送皮带、气管、油管等；保证气路、油路畅通，无漏气、漏油故障；</w:t>
            </w:r>
          </w:p>
          <w:p>
            <w:pPr>
              <w:jc w:val="center"/>
              <w:rPr>
                <w:rFonts w:ascii="宋体" w:hAnsi="宋体" w:eastAsia="宋体"/>
                <w:sz w:val="28"/>
                <w:szCs w:val="28"/>
              </w:rPr>
            </w:pPr>
            <w:r>
              <w:rPr>
                <w:rFonts w:hint="eastAsia" w:ascii="宋体" w:hAnsi="宋体" w:eastAsia="宋体"/>
                <w:sz w:val="28"/>
                <w:szCs w:val="28"/>
              </w:rPr>
              <w:t>更换车间空气压力设备相关零部件，受损阀门更换，空气滤芯更换，机油更换等。确保空气压缩设备正常运行；</w:t>
            </w:r>
          </w:p>
          <w:p>
            <w:pPr>
              <w:jc w:val="center"/>
              <w:rPr>
                <w:rFonts w:hint="eastAsia" w:ascii="宋体" w:hAnsi="宋体" w:eastAsia="宋体"/>
                <w:sz w:val="28"/>
                <w:szCs w:val="28"/>
              </w:rPr>
            </w:pPr>
            <w:r>
              <w:rPr>
                <w:rFonts w:hint="eastAsia" w:ascii="宋体" w:hAnsi="宋体" w:eastAsia="宋体"/>
                <w:sz w:val="28"/>
                <w:szCs w:val="28"/>
              </w:rPr>
              <w:t>更换C</w:t>
            </w:r>
            <w:r>
              <w:rPr>
                <w:rFonts w:ascii="宋体" w:hAnsi="宋体" w:eastAsia="宋体"/>
                <w:sz w:val="28"/>
                <w:szCs w:val="28"/>
              </w:rPr>
              <w:t>AD/CAM</w:t>
            </w:r>
            <w:r>
              <w:rPr>
                <w:rFonts w:hint="eastAsia" w:ascii="宋体" w:hAnsi="宋体" w:eastAsia="宋体"/>
                <w:sz w:val="28"/>
                <w:szCs w:val="28"/>
              </w:rPr>
              <w:t>中心电脑相关受损零配件，确保中心电脑网络正常运行；</w:t>
            </w:r>
          </w:p>
        </w:tc>
        <w:tc>
          <w:tcPr>
            <w:tcW w:w="1341" w:type="dxa"/>
            <w:vAlign w:val="center"/>
          </w:tcPr>
          <w:p>
            <w:pPr>
              <w:jc w:val="center"/>
              <w:rPr>
                <w:rFonts w:ascii="宋体" w:hAnsi="宋体" w:eastAsia="宋体"/>
                <w:sz w:val="28"/>
                <w:szCs w:val="28"/>
              </w:rPr>
            </w:pPr>
            <w:r>
              <w:rPr>
                <w:rFonts w:ascii="宋体" w:hAnsi="宋体" w:eastAsia="宋体"/>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532" w:type="dxa"/>
            <w:vAlign w:val="center"/>
          </w:tcPr>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both"/>
              <w:rPr>
                <w:rFonts w:ascii="宋体" w:hAnsi="宋体" w:eastAsia="宋体"/>
                <w:sz w:val="28"/>
                <w:szCs w:val="28"/>
              </w:rPr>
            </w:pPr>
            <w:r>
              <w:rPr>
                <w:rFonts w:ascii="宋体" w:hAnsi="宋体" w:eastAsia="宋体"/>
                <w:sz w:val="28"/>
                <w:szCs w:val="28"/>
              </w:rPr>
              <w:t>CNC精密虎钳（2台）、CNC精密卡盘（2台）。</w:t>
            </w:r>
          </w:p>
        </w:tc>
        <w:tc>
          <w:tcPr>
            <w:tcW w:w="6413" w:type="dxa"/>
            <w:vAlign w:val="center"/>
          </w:tcPr>
          <w:p>
            <w:pPr>
              <w:jc w:val="center"/>
              <w:rPr>
                <w:rFonts w:ascii="宋体" w:hAnsi="宋体" w:eastAsia="宋体"/>
                <w:sz w:val="28"/>
                <w:szCs w:val="28"/>
              </w:rPr>
            </w:pPr>
            <w:r>
              <w:rPr>
                <w:rFonts w:hint="eastAsia" w:ascii="宋体" w:hAnsi="宋体" w:eastAsia="宋体"/>
                <w:sz w:val="28"/>
                <w:szCs w:val="28"/>
              </w:rPr>
              <w:t>1、C</w:t>
            </w:r>
            <w:r>
              <w:rPr>
                <w:rFonts w:ascii="宋体" w:hAnsi="宋体" w:eastAsia="宋体"/>
                <w:sz w:val="28"/>
                <w:szCs w:val="28"/>
              </w:rPr>
              <w:t>NC</w:t>
            </w:r>
            <w:r>
              <w:rPr>
                <w:rFonts w:hint="eastAsia" w:ascii="宋体" w:hAnsi="宋体" w:eastAsia="宋体"/>
                <w:sz w:val="28"/>
                <w:szCs w:val="28"/>
              </w:rPr>
              <w:t>气动油压精密虎钳，6寸，最大夹持2</w:t>
            </w:r>
            <w:r>
              <w:rPr>
                <w:rFonts w:ascii="宋体" w:hAnsi="宋体" w:eastAsia="宋体"/>
                <w:sz w:val="28"/>
                <w:szCs w:val="28"/>
              </w:rPr>
              <w:t>50</w:t>
            </w:r>
            <w:r>
              <w:rPr>
                <w:rFonts w:hint="eastAsia" w:ascii="宋体" w:hAnsi="宋体" w:eastAsia="宋体"/>
                <w:sz w:val="28"/>
                <w:szCs w:val="28"/>
              </w:rPr>
              <w:t>mm。总体长度匹配车间现有机床。（2台）</w:t>
            </w:r>
          </w:p>
          <w:p>
            <w:pPr>
              <w:jc w:val="center"/>
              <w:rPr>
                <w:rFonts w:ascii="宋体" w:hAnsi="宋体" w:eastAsia="宋体"/>
                <w:sz w:val="28"/>
                <w:szCs w:val="28"/>
              </w:rPr>
            </w:pPr>
            <w:r>
              <w:rPr>
                <w:rFonts w:hint="eastAsia" w:ascii="宋体" w:hAnsi="宋体" w:eastAsia="宋体"/>
                <w:sz w:val="28"/>
                <w:szCs w:val="28"/>
              </w:rPr>
              <w:t>总长度6</w:t>
            </w:r>
            <w:r>
              <w:rPr>
                <w:rFonts w:ascii="宋体" w:hAnsi="宋体" w:eastAsia="宋体"/>
                <w:sz w:val="28"/>
                <w:szCs w:val="28"/>
              </w:rPr>
              <w:t>64</w:t>
            </w:r>
            <w:r>
              <w:rPr>
                <w:rFonts w:hint="eastAsia" w:ascii="宋体" w:hAnsi="宋体" w:eastAsia="宋体"/>
                <w:sz w:val="28"/>
                <w:szCs w:val="28"/>
              </w:rPr>
              <w:t>mm；</w:t>
            </w:r>
          </w:p>
          <w:p>
            <w:pPr>
              <w:jc w:val="center"/>
              <w:rPr>
                <w:rFonts w:ascii="宋体" w:hAnsi="宋体" w:eastAsia="宋体"/>
                <w:sz w:val="28"/>
                <w:szCs w:val="28"/>
              </w:rPr>
            </w:pPr>
            <w:r>
              <w:rPr>
                <w:rFonts w:hint="eastAsia" w:ascii="宋体" w:hAnsi="宋体" w:eastAsia="宋体"/>
                <w:sz w:val="28"/>
                <w:szCs w:val="28"/>
              </w:rPr>
              <w:t>钳体长度5</w:t>
            </w:r>
            <w:r>
              <w:rPr>
                <w:rFonts w:ascii="宋体" w:hAnsi="宋体" w:eastAsia="宋体"/>
                <w:sz w:val="28"/>
                <w:szCs w:val="28"/>
              </w:rPr>
              <w:t>40</w:t>
            </w:r>
            <w:r>
              <w:rPr>
                <w:rFonts w:hint="eastAsia" w:ascii="宋体" w:hAnsi="宋体" w:eastAsia="宋体"/>
                <w:sz w:val="28"/>
                <w:szCs w:val="28"/>
              </w:rPr>
              <w:t>mm；</w:t>
            </w:r>
          </w:p>
          <w:p>
            <w:pPr>
              <w:jc w:val="center"/>
              <w:rPr>
                <w:rFonts w:ascii="宋体" w:hAnsi="宋体" w:eastAsia="宋体"/>
                <w:sz w:val="28"/>
                <w:szCs w:val="28"/>
              </w:rPr>
            </w:pPr>
            <w:r>
              <w:rPr>
                <w:rFonts w:hint="eastAsia" w:ascii="宋体" w:hAnsi="宋体" w:eastAsia="宋体"/>
                <w:sz w:val="28"/>
                <w:szCs w:val="28"/>
              </w:rPr>
              <w:t>总宽度1</w:t>
            </w:r>
            <w:r>
              <w:rPr>
                <w:rFonts w:ascii="宋体" w:hAnsi="宋体" w:eastAsia="宋体"/>
                <w:sz w:val="28"/>
                <w:szCs w:val="28"/>
              </w:rPr>
              <w:t>60</w:t>
            </w:r>
            <w:r>
              <w:rPr>
                <w:rFonts w:hint="eastAsia" w:ascii="宋体" w:hAnsi="宋体" w:eastAsia="宋体"/>
                <w:sz w:val="28"/>
                <w:szCs w:val="28"/>
              </w:rPr>
              <w:t>mm；</w:t>
            </w:r>
          </w:p>
          <w:p>
            <w:pPr>
              <w:jc w:val="center"/>
              <w:rPr>
                <w:rFonts w:ascii="宋体" w:hAnsi="宋体" w:eastAsia="宋体"/>
                <w:sz w:val="28"/>
                <w:szCs w:val="28"/>
              </w:rPr>
            </w:pPr>
            <w:r>
              <w:rPr>
                <w:rFonts w:hint="eastAsia" w:ascii="宋体" w:hAnsi="宋体" w:eastAsia="宋体"/>
                <w:sz w:val="28"/>
                <w:szCs w:val="28"/>
              </w:rPr>
              <w:t>总高度1</w:t>
            </w:r>
            <w:r>
              <w:rPr>
                <w:rFonts w:ascii="宋体" w:hAnsi="宋体" w:eastAsia="宋体"/>
                <w:sz w:val="28"/>
                <w:szCs w:val="28"/>
              </w:rPr>
              <w:t>60</w:t>
            </w:r>
            <w:r>
              <w:rPr>
                <w:rFonts w:hint="eastAsia" w:ascii="宋体" w:hAnsi="宋体" w:eastAsia="宋体"/>
                <w:sz w:val="28"/>
                <w:szCs w:val="28"/>
              </w:rPr>
              <w:t>mm；</w:t>
            </w:r>
          </w:p>
          <w:p>
            <w:pPr>
              <w:jc w:val="center"/>
              <w:rPr>
                <w:rFonts w:hint="eastAsia" w:ascii="宋体" w:hAnsi="宋体" w:eastAsia="宋体"/>
                <w:sz w:val="28"/>
                <w:szCs w:val="28"/>
              </w:rPr>
            </w:pPr>
            <w:r>
              <w:rPr>
                <w:rFonts w:hint="eastAsia" w:ascii="宋体" w:hAnsi="宋体" w:eastAsia="宋体"/>
                <w:sz w:val="28"/>
                <w:szCs w:val="28"/>
              </w:rPr>
              <w:t>最大开口3</w:t>
            </w:r>
            <w:r>
              <w:rPr>
                <w:rFonts w:ascii="宋体" w:hAnsi="宋体" w:eastAsia="宋体"/>
                <w:sz w:val="28"/>
                <w:szCs w:val="28"/>
              </w:rPr>
              <w:t>00</w:t>
            </w:r>
            <w:r>
              <w:rPr>
                <w:rFonts w:hint="eastAsia" w:ascii="宋体" w:hAnsi="宋体" w:eastAsia="宋体"/>
                <w:sz w:val="28"/>
                <w:szCs w:val="28"/>
              </w:rPr>
              <w:t>mm；</w:t>
            </w:r>
          </w:p>
          <w:p>
            <w:pPr>
              <w:jc w:val="center"/>
              <w:rPr>
                <w:rFonts w:ascii="宋体" w:hAnsi="宋体" w:eastAsia="宋体"/>
                <w:sz w:val="28"/>
                <w:szCs w:val="28"/>
              </w:rPr>
            </w:pPr>
            <w:r>
              <w:rPr>
                <w:rFonts w:hint="eastAsia" w:ascii="宋体" w:hAnsi="宋体" w:eastAsia="宋体"/>
                <w:sz w:val="28"/>
                <w:szCs w:val="28"/>
              </w:rPr>
              <w:t>2、C</w:t>
            </w:r>
            <w:r>
              <w:rPr>
                <w:rFonts w:ascii="宋体" w:hAnsi="宋体" w:eastAsia="宋体"/>
                <w:sz w:val="28"/>
                <w:szCs w:val="28"/>
              </w:rPr>
              <w:t>NC</w:t>
            </w:r>
            <w:r>
              <w:rPr>
                <w:rFonts w:hint="eastAsia" w:ascii="宋体" w:hAnsi="宋体" w:eastAsia="宋体"/>
                <w:sz w:val="28"/>
                <w:szCs w:val="28"/>
              </w:rPr>
              <w:t>超薄强力三爪手动卡盘，8寸，尺寸匹配车间现有机床。（2台）</w:t>
            </w:r>
          </w:p>
          <w:p>
            <w:pPr>
              <w:jc w:val="center"/>
              <w:rPr>
                <w:rFonts w:ascii="宋体" w:hAnsi="宋体" w:eastAsia="宋体"/>
                <w:sz w:val="28"/>
                <w:szCs w:val="28"/>
              </w:rPr>
            </w:pPr>
            <w:r>
              <w:rPr>
                <w:rFonts w:hint="eastAsia" w:ascii="宋体" w:hAnsi="宋体" w:eastAsia="宋体"/>
                <w:sz w:val="28"/>
                <w:szCs w:val="28"/>
              </w:rPr>
              <w:t>把手与盘面成3</w:t>
            </w:r>
            <w:r>
              <w:rPr>
                <w:rFonts w:ascii="宋体" w:hAnsi="宋体" w:eastAsia="宋体"/>
                <w:sz w:val="28"/>
                <w:szCs w:val="28"/>
              </w:rPr>
              <w:t>0</w:t>
            </w:r>
            <w:r>
              <w:rPr>
                <w:rFonts w:hint="eastAsia" w:ascii="宋体" w:hAnsi="宋体" w:eastAsia="宋体"/>
                <w:sz w:val="28"/>
                <w:szCs w:val="28"/>
              </w:rPr>
              <w:t>度角；</w:t>
            </w:r>
          </w:p>
          <w:p>
            <w:pPr>
              <w:jc w:val="center"/>
              <w:rPr>
                <w:rFonts w:ascii="宋体" w:hAnsi="宋体" w:eastAsia="宋体"/>
                <w:sz w:val="28"/>
                <w:szCs w:val="28"/>
              </w:rPr>
            </w:pPr>
            <w:r>
              <w:rPr>
                <w:rFonts w:hint="eastAsia" w:ascii="宋体" w:hAnsi="宋体" w:eastAsia="宋体"/>
                <w:sz w:val="28"/>
                <w:szCs w:val="28"/>
              </w:rPr>
              <w:t>薄型设计；</w:t>
            </w:r>
          </w:p>
          <w:p>
            <w:pPr>
              <w:jc w:val="center"/>
              <w:rPr>
                <w:rFonts w:ascii="宋体" w:hAnsi="宋体" w:eastAsia="宋体"/>
                <w:sz w:val="28"/>
                <w:szCs w:val="28"/>
              </w:rPr>
            </w:pPr>
            <w:r>
              <w:rPr>
                <w:rFonts w:hint="eastAsia" w:ascii="宋体" w:hAnsi="宋体" w:eastAsia="宋体"/>
                <w:sz w:val="28"/>
                <w:szCs w:val="28"/>
              </w:rPr>
              <w:t>外径成凸缘设计；</w:t>
            </w:r>
          </w:p>
          <w:p>
            <w:pPr>
              <w:jc w:val="center"/>
              <w:rPr>
                <w:rFonts w:hint="eastAsia" w:ascii="宋体" w:hAnsi="宋体" w:eastAsia="宋体"/>
                <w:sz w:val="28"/>
                <w:szCs w:val="28"/>
              </w:rPr>
            </w:pPr>
            <w:r>
              <w:rPr>
                <w:rFonts w:hint="eastAsia" w:ascii="宋体" w:hAnsi="宋体" w:eastAsia="宋体"/>
                <w:sz w:val="28"/>
                <w:szCs w:val="28"/>
              </w:rPr>
              <w:t>N</w:t>
            </w:r>
            <w:r>
              <w:rPr>
                <w:rFonts w:ascii="宋体" w:hAnsi="宋体" w:eastAsia="宋体"/>
                <w:sz w:val="28"/>
                <w:szCs w:val="28"/>
              </w:rPr>
              <w:t>BK-8</w:t>
            </w:r>
            <w:r>
              <w:rPr>
                <w:rFonts w:hint="eastAsia" w:ascii="宋体" w:hAnsi="宋体" w:eastAsia="宋体"/>
                <w:sz w:val="28"/>
                <w:szCs w:val="28"/>
              </w:rPr>
              <w:t>型；</w:t>
            </w:r>
          </w:p>
        </w:tc>
        <w:tc>
          <w:tcPr>
            <w:tcW w:w="1341" w:type="dxa"/>
            <w:vAlign w:val="center"/>
          </w:tcPr>
          <w:p>
            <w:pPr>
              <w:jc w:val="center"/>
              <w:rPr>
                <w:rFonts w:hint="eastAsia" w:ascii="宋体" w:hAnsi="宋体" w:eastAsia="宋体"/>
                <w:sz w:val="28"/>
                <w:szCs w:val="28"/>
              </w:rPr>
            </w:pPr>
          </w:p>
          <w:p>
            <w:pPr>
              <w:jc w:val="center"/>
              <w:rPr>
                <w:rFonts w:hint="eastAsia" w:ascii="宋体" w:hAnsi="宋体" w:eastAsia="宋体"/>
                <w:sz w:val="28"/>
                <w:szCs w:val="28"/>
              </w:rPr>
            </w:pPr>
          </w:p>
          <w:p>
            <w:pPr>
              <w:jc w:val="center"/>
              <w:rPr>
                <w:rFonts w:hint="eastAsia" w:ascii="宋体" w:hAnsi="宋体" w:eastAsia="宋体"/>
                <w:sz w:val="28"/>
                <w:szCs w:val="28"/>
              </w:rPr>
            </w:pPr>
          </w:p>
          <w:p>
            <w:pPr>
              <w:jc w:val="center"/>
              <w:rPr>
                <w:rFonts w:hint="eastAsia" w:ascii="宋体" w:hAnsi="宋体" w:eastAsia="宋体"/>
                <w:sz w:val="28"/>
                <w:szCs w:val="28"/>
              </w:rPr>
            </w:pPr>
          </w:p>
          <w:p>
            <w:pPr>
              <w:jc w:val="center"/>
              <w:rPr>
                <w:rFonts w:hint="eastAsia"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2</w:t>
            </w:r>
          </w:p>
        </w:tc>
      </w:tr>
    </w:tbl>
    <w:p>
      <w:pPr>
        <w:ind w:firstLine="640" w:firstLineChars="200"/>
        <w:rPr>
          <w:rFonts w:ascii="宋体" w:hAnsi="宋体" w:eastAsia="宋体"/>
          <w:sz w:val="32"/>
          <w:szCs w:val="32"/>
        </w:rPr>
      </w:pPr>
      <w:r>
        <w:rPr>
          <w:rFonts w:hint="eastAsia" w:ascii="宋体" w:hAnsi="宋体" w:eastAsia="宋体"/>
          <w:sz w:val="32"/>
          <w:szCs w:val="32"/>
        </w:rPr>
        <w:t>特别说明：</w:t>
      </w:r>
    </w:p>
    <w:p>
      <w:pPr>
        <w:pStyle w:val="5"/>
        <w:numPr>
          <w:ilvl w:val="0"/>
          <w:numId w:val="0"/>
        </w:numPr>
        <w:rPr>
          <w:rFonts w:hint="eastAsia" w:eastAsia="宋体"/>
          <w:strike w:val="0"/>
          <w:highlight w:val="yellow"/>
          <w:lang w:val="en-US" w:eastAsia="zh-CN"/>
        </w:rPr>
      </w:pPr>
      <w:r>
        <w:rPr>
          <w:rFonts w:hint="eastAsia" w:ascii="宋体" w:hAnsi="宋体" w:eastAsia="宋体"/>
          <w:sz w:val="32"/>
          <w:szCs w:val="32"/>
        </w:rPr>
        <w:t>该项目属于智能化升级改造项目，技术难度较大。为了更好的保证项目质量，</w:t>
      </w:r>
      <w:r>
        <w:rPr>
          <w:rFonts w:hint="eastAsia" w:ascii="宋体" w:hAnsi="宋体" w:eastAsia="宋体"/>
          <w:strike w:val="0"/>
          <w:dstrike w:val="0"/>
          <w:sz w:val="32"/>
          <w:szCs w:val="32"/>
        </w:rPr>
        <w:t>实施方</w:t>
      </w:r>
      <w:r>
        <w:rPr>
          <w:rFonts w:hint="eastAsia" w:ascii="宋体" w:hAnsi="宋体" w:eastAsia="宋体"/>
          <w:sz w:val="32"/>
          <w:szCs w:val="32"/>
        </w:rPr>
        <w:t>必须对于我校数控车间相关设备的技术细节和特点均有详细了解</w:t>
      </w:r>
      <w:r>
        <w:rPr>
          <w:rFonts w:hint="eastAsia" w:hAnsi="宋体"/>
          <w:sz w:val="32"/>
          <w:szCs w:val="32"/>
          <w:lang w:eastAsia="zh-CN"/>
        </w:rPr>
        <w:t>。</w:t>
      </w: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3"/>
        <w:rPr>
          <w:rFonts w:ascii="宋体" w:hAnsi="宋体" w:cs="宋体"/>
          <w:color w:val="000000"/>
        </w:rPr>
      </w:pPr>
      <w:bookmarkStart w:id="73" w:name="_Toc7241"/>
      <w:bookmarkStart w:id="74" w:name="_Toc21671"/>
      <w:bookmarkStart w:id="75" w:name="_Toc20302"/>
      <w:r>
        <w:rPr>
          <w:rFonts w:hint="eastAsia" w:ascii="宋体" w:hAnsi="宋体" w:cs="宋体"/>
          <w:color w:val="000000"/>
        </w:rPr>
        <w:t>第四章  合同主要条款</w:t>
      </w:r>
      <w:bookmarkEnd w:id="73"/>
      <w:bookmarkEnd w:id="74"/>
      <w:bookmarkEnd w:id="75"/>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总价：</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：依据商品的保修条款、售后服务条款，竞争性谈判文件另有要求的从其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2、竞争性谈判文件；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3"/>
        <w:rPr>
          <w:rFonts w:ascii="宋体" w:hAnsi="宋体" w:cs="宋体"/>
          <w:color w:val="000000"/>
        </w:rPr>
      </w:pPr>
      <w:bookmarkStart w:id="76" w:name="_Toc26873"/>
      <w:bookmarkStart w:id="77" w:name="_Toc19036"/>
      <w:bookmarkStart w:id="78" w:name="_Toc2526"/>
      <w:r>
        <w:rPr>
          <w:rFonts w:hint="eastAsia" w:ascii="宋体" w:hAnsi="宋体" w:cs="宋体"/>
          <w:color w:val="000000"/>
        </w:rPr>
        <w:t>第五章   谈判响应文件格式</w:t>
      </w:r>
      <w:bookmarkEnd w:id="76"/>
      <w:bookmarkEnd w:id="77"/>
      <w:bookmarkEnd w:id="78"/>
    </w:p>
    <w:p>
      <w:pPr>
        <w:spacing w:line="360" w:lineRule="auto"/>
        <w:jc w:val="right"/>
        <w:rPr>
          <w:rFonts w:ascii="宋体" w:hAnsi="宋体" w:cs="宋体"/>
          <w:b/>
          <w:color w:val="000000"/>
          <w:spacing w:val="20"/>
          <w:sz w:val="36"/>
          <w:szCs w:val="36"/>
          <w:u w:val="single"/>
        </w:rPr>
      </w:pPr>
      <w:r>
        <w:rPr>
          <w:rFonts w:hint="eastAsia" w:ascii="仿宋_GB2312" w:hAnsi="宋体" w:eastAsia="仿宋_GB2312"/>
          <w:b/>
          <w:color w:val="000000"/>
          <w:sz w:val="28"/>
          <w:szCs w:val="28"/>
          <w:bdr w:val="single" w:color="auto" w:sz="4" w:space="0"/>
        </w:rPr>
        <w:t>正本或副本</w:t>
      </w: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cs="宋体"/>
          <w:b/>
          <w:color w:val="000000"/>
          <w:sz w:val="30"/>
          <w:szCs w:val="30"/>
        </w:rPr>
      </w:pPr>
      <w:r>
        <w:rPr>
          <w:rFonts w:hint="eastAsia" w:ascii="宋体" w:hAnsi="宋体" w:cs="宋体"/>
          <w:b/>
          <w:color w:val="000000"/>
          <w:sz w:val="30"/>
          <w:szCs w:val="30"/>
        </w:rPr>
        <w:t>目 录</w:t>
      </w:r>
    </w:p>
    <w:p>
      <w:pPr>
        <w:spacing w:line="480" w:lineRule="auto"/>
        <w:ind w:firstLine="480" w:firstLineChars="200"/>
        <w:rPr>
          <w:rFonts w:ascii="宋体" w:hAnsi="宋体" w:cs="宋体"/>
          <w:color w:val="000000"/>
          <w:sz w:val="24"/>
        </w:rPr>
      </w:pPr>
      <w:r>
        <w:rPr>
          <w:rFonts w:hint="eastAsia" w:ascii="宋体" w:hAnsi="宋体" w:cs="宋体"/>
          <w:color w:val="000000"/>
          <w:sz w:val="24"/>
        </w:rPr>
        <w:t>一、谈判响应函</w:t>
      </w:r>
    </w:p>
    <w:p>
      <w:pPr>
        <w:spacing w:line="480" w:lineRule="auto"/>
        <w:ind w:firstLine="480" w:firstLineChars="200"/>
        <w:rPr>
          <w:rFonts w:ascii="宋体" w:hAnsi="宋体" w:cs="宋体"/>
          <w:color w:val="000000"/>
          <w:sz w:val="24"/>
        </w:rPr>
      </w:pPr>
      <w:r>
        <w:rPr>
          <w:rFonts w:hint="eastAsia" w:ascii="宋体" w:hAnsi="宋体" w:cs="宋体"/>
          <w:color w:val="000000"/>
          <w:sz w:val="24"/>
        </w:rPr>
        <w:t>二、货物报价表（首轮）、最终报价表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三、技术参数响应表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四、供货及谈判响应技术方案</w:t>
      </w:r>
    </w:p>
    <w:p>
      <w:pPr>
        <w:spacing w:line="480" w:lineRule="auto"/>
        <w:ind w:firstLine="480" w:firstLineChars="200"/>
        <w:rPr>
          <w:rFonts w:ascii="宋体" w:hAnsi="宋体" w:cs="宋体"/>
          <w:color w:val="000000"/>
          <w:sz w:val="24"/>
        </w:rPr>
      </w:pPr>
      <w:r>
        <w:rPr>
          <w:rFonts w:hint="eastAsia" w:ascii="宋体" w:hAnsi="宋体" w:cs="宋体"/>
          <w:color w:val="000000"/>
          <w:sz w:val="24"/>
        </w:rPr>
        <w:t>五、诚信谈判响应承诺书</w:t>
      </w:r>
    </w:p>
    <w:p>
      <w:pPr>
        <w:spacing w:line="480" w:lineRule="auto"/>
        <w:ind w:firstLine="480" w:firstLineChars="200"/>
        <w:rPr>
          <w:rFonts w:ascii="宋体" w:hAnsi="宋体" w:cs="宋体"/>
          <w:color w:val="000000"/>
          <w:sz w:val="24"/>
        </w:rPr>
      </w:pPr>
      <w:r>
        <w:rPr>
          <w:rFonts w:hint="eastAsia" w:ascii="宋体" w:hAnsi="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15"/>
        <w:rPr>
          <w:rFonts w:ascii="宋体" w:hAnsi="宋体" w:cs="宋体"/>
          <w:color w:val="000000"/>
          <w:sz w:val="24"/>
        </w:rPr>
      </w:pPr>
    </w:p>
    <w:p>
      <w:pPr>
        <w:pStyle w:val="15"/>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6"/>
        <w:jc w:val="center"/>
        <w:rPr>
          <w:rFonts w:hAnsi="宋体" w:cs="宋体"/>
          <w:color w:val="000000"/>
        </w:rPr>
      </w:pPr>
      <w:bookmarkStart w:id="79" w:name="_Toc13905"/>
      <w:bookmarkStart w:id="80" w:name="_Toc31388"/>
      <w:r>
        <w:rPr>
          <w:rFonts w:hint="eastAsia" w:hAnsi="宋体" w:cs="宋体"/>
          <w:color w:val="000000"/>
        </w:rPr>
        <w:t>一、谈判响应函</w:t>
      </w:r>
      <w:bookmarkEnd w:id="79"/>
      <w:bookmarkEnd w:id="80"/>
    </w:p>
    <w:p>
      <w:pPr>
        <w:tabs>
          <w:tab w:val="left" w:pos="5580"/>
        </w:tabs>
        <w:spacing w:before="120" w:line="360" w:lineRule="auto"/>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（采购人名称）</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1、根据贵方</w:t>
      </w:r>
      <w:r>
        <w:rPr>
          <w:rFonts w:hint="eastAsia" w:hAnsi="宋体" w:cs="宋体"/>
          <w:color w:val="000000"/>
          <w:szCs w:val="21"/>
          <w:u w:val="single"/>
        </w:rPr>
        <w:t xml:space="preserve">           </w:t>
      </w:r>
      <w:r>
        <w:rPr>
          <w:rFonts w:hint="eastAsia" w:hAnsi="宋体" w:cs="宋体"/>
          <w:color w:val="000000"/>
          <w:szCs w:val="21"/>
        </w:rPr>
        <w:t>号竞争性谈判公告，我方决定参加贵方组织的</w:t>
      </w:r>
      <w:r>
        <w:rPr>
          <w:rFonts w:hint="eastAsia" w:hAnsi="宋体" w:cs="宋体"/>
          <w:color w:val="000000"/>
          <w:szCs w:val="21"/>
          <w:u w:val="single"/>
        </w:rPr>
        <w:t xml:space="preserve">             </w:t>
      </w:r>
      <w:r>
        <w:rPr>
          <w:rFonts w:hint="eastAsia" w:hAnsi="宋体" w:cs="宋体"/>
          <w:color w:val="000000"/>
          <w:szCs w:val="21"/>
        </w:rPr>
        <w:t>项目的采购活动。我方授权</w:t>
      </w:r>
      <w:r>
        <w:rPr>
          <w:rFonts w:hint="eastAsia" w:hAnsi="宋体" w:cs="宋体"/>
          <w:color w:val="000000"/>
          <w:szCs w:val="21"/>
          <w:u w:val="single"/>
        </w:rPr>
        <w:t xml:space="preserve">        </w:t>
      </w:r>
      <w:r>
        <w:rPr>
          <w:rFonts w:hint="eastAsia" w:hAnsi="宋体" w:cs="宋体"/>
          <w:color w:val="000000"/>
          <w:szCs w:val="21"/>
        </w:rPr>
        <w:t>(姓名和职务)代表我方</w:t>
      </w:r>
      <w:r>
        <w:rPr>
          <w:rFonts w:hint="eastAsia" w:hAnsi="宋体" w:cs="宋体"/>
          <w:color w:val="000000"/>
          <w:szCs w:val="21"/>
          <w:u w:val="single"/>
        </w:rPr>
        <w:t xml:space="preserve">                    </w:t>
      </w:r>
      <w:r>
        <w:rPr>
          <w:rFonts w:hint="eastAsia" w:hAnsi="宋体" w:cs="宋体"/>
          <w:color w:val="000000"/>
          <w:szCs w:val="21"/>
        </w:rPr>
        <w:t>（谈判响应人的名称）全权处理本项目谈判响应的有关事宜。</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2、我方愿意按照竞争性谈判文件约定的各项要求，向采购人提供所需的货物与服务，报价为人民币（大写）</w:t>
      </w:r>
      <w:r>
        <w:rPr>
          <w:rFonts w:hint="eastAsia" w:hAnsi="宋体" w:cs="宋体"/>
          <w:color w:val="000000"/>
          <w:szCs w:val="21"/>
          <w:u w:val="single"/>
        </w:rPr>
        <w:t xml:space="preserve">                     </w:t>
      </w:r>
      <w:r>
        <w:rPr>
          <w:rFonts w:hint="eastAsia" w:hAnsi="宋体" w:cs="宋体"/>
          <w:color w:val="000000"/>
          <w:szCs w:val="21"/>
        </w:rPr>
        <w:t>(小写)</w:t>
      </w:r>
      <w:r>
        <w:rPr>
          <w:rFonts w:hint="eastAsia" w:hAnsi="宋体" w:cs="宋体"/>
          <w:color w:val="000000"/>
          <w:szCs w:val="21"/>
          <w:u w:val="single"/>
        </w:rPr>
        <w:t xml:space="preserve">                  元</w:t>
      </w:r>
      <w:r>
        <w:rPr>
          <w:rFonts w:hint="eastAsia" w:hAnsi="宋体" w:cs="宋体"/>
          <w:color w:val="000000"/>
          <w:szCs w:val="21"/>
        </w:rPr>
        <w:t>。</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3、一旦我方成交，我方将严格履行合同约定的责任和义务，保证于合同签订生效后</w:t>
      </w:r>
      <w:r>
        <w:rPr>
          <w:rFonts w:hint="eastAsia" w:hAnsi="宋体" w:cs="宋体"/>
          <w:b/>
          <w:bCs/>
          <w:color w:val="000000"/>
          <w:szCs w:val="21"/>
          <w:u w:val="single"/>
        </w:rPr>
        <w:t xml:space="preserve">   个日历天内</w:t>
      </w:r>
      <w:r>
        <w:rPr>
          <w:rFonts w:hint="eastAsia" w:hAnsi="宋体" w:cs="宋体"/>
          <w:b/>
          <w:bCs/>
          <w:color w:val="000000"/>
          <w:szCs w:val="21"/>
        </w:rPr>
        <w:t>完成</w:t>
      </w:r>
      <w:r>
        <w:rPr>
          <w:rFonts w:hint="eastAsia" w:hAnsi="宋体" w:cs="宋体"/>
          <w:color w:val="000000"/>
          <w:szCs w:val="21"/>
        </w:rPr>
        <w:t>的交货、安装、调试，并交付采购人验收、使用。</w:t>
      </w:r>
    </w:p>
    <w:p>
      <w:pPr>
        <w:pStyle w:val="11"/>
        <w:tabs>
          <w:tab w:val="left" w:pos="5580"/>
        </w:tabs>
        <w:spacing w:line="360" w:lineRule="auto"/>
        <w:ind w:firstLine="394" w:firstLineChars="199"/>
        <w:rPr>
          <w:rFonts w:hAnsi="宋体" w:cs="宋体"/>
          <w:szCs w:val="21"/>
        </w:rPr>
      </w:pPr>
      <w:r>
        <w:rPr>
          <w:rFonts w:hint="eastAsia" w:hAnsi="宋体" w:cs="宋体"/>
          <w:spacing w:val="-6"/>
          <w:szCs w:val="21"/>
        </w:rPr>
        <w:t>4、</w:t>
      </w:r>
      <w:r>
        <w:rPr>
          <w:rFonts w:hint="eastAsia" w:hAnsi="宋体" w:cs="宋体"/>
          <w:szCs w:val="21"/>
        </w:rPr>
        <w:t>我方保证按照本项目竞争性谈判文件要求提交谈判响应文件。</w:t>
      </w:r>
    </w:p>
    <w:p>
      <w:pPr>
        <w:pStyle w:val="11"/>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szCs w:val="21"/>
        </w:rPr>
      </w:pPr>
      <w:r>
        <w:rPr>
          <w:rFonts w:hint="eastAsia" w:hAnsi="宋体" w:cs="宋体"/>
          <w:szCs w:val="21"/>
        </w:rPr>
        <w:t>6、我方承诺，如我方未在规定时间内提交最终报价的，以我方的谈判响应函首轮报价作为最终报价。</w:t>
      </w:r>
    </w:p>
    <w:p>
      <w:pPr>
        <w:pStyle w:val="11"/>
        <w:tabs>
          <w:tab w:val="left" w:pos="5580"/>
        </w:tabs>
        <w:spacing w:line="360" w:lineRule="auto"/>
        <w:ind w:firstLine="417" w:firstLineChars="199"/>
        <w:rPr>
          <w:rFonts w:hAnsi="宋体" w:cs="宋体"/>
          <w:szCs w:val="21"/>
        </w:rPr>
      </w:pPr>
      <w:r>
        <w:rPr>
          <w:rFonts w:hint="eastAsia" w:hAnsi="宋体" w:cs="宋体"/>
          <w:szCs w:val="21"/>
        </w:rPr>
        <w:t>7、我方完全理解贵方不一定将合同授予最低报价的谈判响应人。</w:t>
      </w: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jc w:val="right"/>
        <w:rPr>
          <w:rFonts w:hAnsi="宋体" w:cs="宋体"/>
          <w:szCs w:val="21"/>
          <w:u w:val="single"/>
        </w:rPr>
      </w:pPr>
      <w:r>
        <w:rPr>
          <w:rFonts w:hint="eastAsia" w:hAnsi="宋体" w:cs="宋体"/>
          <w:szCs w:val="21"/>
        </w:rPr>
        <w:t>谈判响应人：</w:t>
      </w:r>
      <w:r>
        <w:rPr>
          <w:rFonts w:hint="eastAsia" w:hAnsi="宋体" w:cs="宋体"/>
          <w:szCs w:val="21"/>
          <w:u w:val="single"/>
        </w:rPr>
        <w:t xml:space="preserve">                           （盖章）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center"/>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 xml:space="preserve">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right"/>
        <w:rPr>
          <w:rFonts w:hAnsi="宋体" w:cs="宋体"/>
          <w:szCs w:val="21"/>
          <w:u w:val="single"/>
        </w:rPr>
      </w:pPr>
      <w:r>
        <w:rPr>
          <w:rFonts w:hint="eastAsia" w:hAnsi="宋体" w:cs="宋体"/>
          <w:szCs w:val="21"/>
        </w:rPr>
        <w:t xml:space="preserve"> 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cs="宋体"/>
          <w:szCs w:val="21"/>
          <w:u w:val="single"/>
        </w:rPr>
      </w:pPr>
    </w:p>
    <w:p>
      <w:pPr>
        <w:pStyle w:val="11"/>
        <w:tabs>
          <w:tab w:val="left" w:pos="5580"/>
        </w:tabs>
        <w:spacing w:line="360" w:lineRule="auto"/>
        <w:ind w:firstLine="3780" w:firstLineChars="18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6"/>
        <w:jc w:val="center"/>
        <w:rPr>
          <w:rFonts w:hAnsi="宋体" w:cs="宋体"/>
        </w:rPr>
      </w:pPr>
      <w:bookmarkStart w:id="81" w:name="_Toc12161"/>
      <w:bookmarkStart w:id="82" w:name="_Toc7098"/>
      <w:bookmarkStart w:id="83" w:name="_Toc54939202"/>
      <w:r>
        <w:rPr>
          <w:rFonts w:hint="eastAsia" w:hAnsi="宋体" w:cs="宋体"/>
        </w:rPr>
        <w:t>二、</w:t>
      </w:r>
      <w:bookmarkEnd w:id="81"/>
      <w:r>
        <w:rPr>
          <w:rFonts w:hint="eastAsia" w:hAnsi="宋体" w:cs="宋体"/>
        </w:rPr>
        <w:t>货物报价表(首轮)</w:t>
      </w:r>
      <w:bookmarkEnd w:id="82"/>
      <w:bookmarkEnd w:id="83"/>
    </w:p>
    <w:p>
      <w:pPr>
        <w:spacing w:line="360" w:lineRule="auto"/>
        <w:rPr>
          <w:rFonts w:ascii="宋体" w:hAnsi="宋体" w:cs="宋体"/>
          <w:sz w:val="24"/>
        </w:rPr>
      </w:pPr>
      <w:r>
        <w:rPr>
          <w:rFonts w:hint="eastAsia" w:ascii="宋体" w:hAnsi="宋体" w:cs="宋体"/>
          <w:szCs w:val="21"/>
        </w:rPr>
        <w:t xml:space="preserve">项目名称： </w:t>
      </w:r>
    </w:p>
    <w:p>
      <w:pPr>
        <w:spacing w:line="360" w:lineRule="auto"/>
        <w:rPr>
          <w:rFonts w:ascii="宋体" w:hAnsi="宋体" w:cs="宋体"/>
          <w:szCs w:val="21"/>
        </w:rPr>
      </w:pPr>
      <w:r>
        <w:rPr>
          <w:rFonts w:hint="eastAsia" w:ascii="宋体" w:hAnsi="宋体" w:cs="宋体"/>
          <w:szCs w:val="21"/>
        </w:rPr>
        <w:t xml:space="preserve">项目编号：                                                   </w:t>
      </w: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87"/>
        <w:gridCol w:w="2950"/>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18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生产厂家、品牌、型号（若所投的货物或服务无生产厂家、品牌、型号，则此列无需填写）</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小写：           元</w:t>
            </w:r>
          </w:p>
        </w:tc>
      </w:tr>
    </w:tbl>
    <w:p>
      <w:pPr>
        <w:spacing w:line="360" w:lineRule="auto"/>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pStyle w:val="6"/>
        <w:jc w:val="center"/>
        <w:rPr>
          <w:rFonts w:hAnsi="宋体" w:cs="宋体"/>
          <w:u w:val="single"/>
        </w:rPr>
      </w:pPr>
      <w:bookmarkStart w:id="84" w:name="_Toc15489"/>
      <w:bookmarkStart w:id="85" w:name="_Toc54939203"/>
      <w:bookmarkStart w:id="86" w:name="_Toc10635"/>
      <w:r>
        <w:rPr>
          <w:rFonts w:hint="eastAsia" w:hAnsi="宋体" w:cs="宋体"/>
        </w:rPr>
        <w:t>最终报价表</w:t>
      </w:r>
      <w:bookmarkEnd w:id="84"/>
      <w:bookmarkEnd w:id="85"/>
      <w:bookmarkEnd w:id="86"/>
    </w:p>
    <w:p>
      <w:pPr>
        <w:spacing w:line="360" w:lineRule="auto"/>
        <w:rPr>
          <w:rFonts w:ascii="宋体" w:hAnsi="宋体" w:cs="宋体"/>
          <w:kern w:val="0"/>
          <w:szCs w:val="21"/>
        </w:rPr>
      </w:pPr>
      <w:r>
        <w:rPr>
          <w:rFonts w:hint="eastAsia" w:ascii="宋体" w:hAnsi="宋体" w:cs="宋体"/>
          <w:szCs w:val="21"/>
        </w:rPr>
        <w:t xml:space="preserve">项目名称： </w:t>
      </w:r>
    </w:p>
    <w:p>
      <w:pPr>
        <w:spacing w:line="360" w:lineRule="auto"/>
        <w:rPr>
          <w:rFonts w:ascii="宋体" w:hAnsi="宋体" w:cs="宋体"/>
          <w:kern w:val="0"/>
          <w:sz w:val="24"/>
          <w:lang w:val="zh-CN"/>
        </w:rPr>
      </w:pPr>
      <w:r>
        <w:rPr>
          <w:rFonts w:hint="eastAsia" w:ascii="宋体" w:hAnsi="宋体" w:cs="宋体"/>
          <w:szCs w:val="21"/>
        </w:rPr>
        <w:t xml:space="preserve">项目编号：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sz w:val="24"/>
              </w:rPr>
            </w:pPr>
            <w:r>
              <w:rPr>
                <w:rFonts w:hint="eastAsia" w:ascii="宋体" w:hAnsi="宋体" w:cs="宋体"/>
                <w:color w:val="000000"/>
                <w:sz w:val="24"/>
              </w:rPr>
              <w:t>交货、安装、调试</w:t>
            </w:r>
          </w:p>
        </w:tc>
        <w:tc>
          <w:tcPr>
            <w:tcW w:w="7507" w:type="dxa"/>
            <w:vAlign w:val="center"/>
          </w:tcPr>
          <w:p>
            <w:pPr>
              <w:spacing w:line="400" w:lineRule="exact"/>
              <w:rPr>
                <w:rFonts w:ascii="宋体" w:hAnsi="宋体" w:cs="宋体"/>
                <w:sz w:val="24"/>
              </w:rPr>
            </w:pPr>
            <w:r>
              <w:rPr>
                <w:rFonts w:hint="eastAsia" w:hAnsi="宋体" w:cs="宋体"/>
                <w:color w:val="000000"/>
                <w:szCs w:val="21"/>
              </w:rPr>
              <w:t>合同签订后</w:t>
            </w:r>
            <w:r>
              <w:rPr>
                <w:rFonts w:hint="eastAsia" w:hAnsi="宋体" w:cs="宋体"/>
                <w:color w:val="000000"/>
                <w:szCs w:val="21"/>
                <w:u w:val="single"/>
              </w:rPr>
              <w:t xml:space="preserve">   </w:t>
            </w:r>
            <w:r>
              <w:rPr>
                <w:rFonts w:hint="eastAsia" w:hAnsi="宋体" w:cs="宋体"/>
                <w:color w:val="000000"/>
                <w:szCs w:val="21"/>
                <w:u w:val="single"/>
                <w:lang w:val="en-US" w:eastAsia="zh-CN"/>
              </w:rPr>
              <w:t xml:space="preserve">    </w:t>
            </w:r>
            <w:r>
              <w:rPr>
                <w:rFonts w:hint="eastAsia" w:hAnsi="宋体" w:cs="宋体"/>
                <w:color w:val="000000"/>
                <w:szCs w:val="21"/>
              </w:rPr>
              <w:t>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注：此表请各谈判响应人多准备几份，并加盖谈判响应人公章及法定代表人或委托代理人签字或盖章，以便在谈判最终报价时使用。（此表由谈判响应人谈判现场递交）</w:t>
      </w:r>
    </w:p>
    <w:p>
      <w:pPr>
        <w:spacing w:line="360" w:lineRule="auto"/>
        <w:ind w:firstLine="3465" w:firstLineChars="1650"/>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2"/>
      </w:pPr>
    </w:p>
    <w:p>
      <w:pPr>
        <w:pStyle w:val="6"/>
        <w:jc w:val="center"/>
        <w:rPr>
          <w:rFonts w:hAnsi="宋体" w:cs="宋体"/>
        </w:rPr>
      </w:pPr>
      <w:bookmarkStart w:id="87" w:name="_Toc28153"/>
      <w:bookmarkStart w:id="88" w:name="_Toc54939204"/>
      <w:r>
        <w:rPr>
          <w:rFonts w:hint="eastAsia" w:hAnsi="宋体" w:cs="宋体"/>
        </w:rPr>
        <w:t>三、</w:t>
      </w:r>
      <w:bookmarkEnd w:id="87"/>
      <w:bookmarkEnd w:id="88"/>
      <w:r>
        <w:rPr>
          <w:rFonts w:hint="eastAsia" w:hAnsi="宋体" w:cs="宋体"/>
        </w:rPr>
        <w:t>技术参数响应表</w:t>
      </w:r>
    </w:p>
    <w:p>
      <w:pPr>
        <w:spacing w:line="360" w:lineRule="auto"/>
        <w:rPr>
          <w:rFonts w:ascii="宋体" w:hAnsi="宋体" w:cs="宋体"/>
          <w:szCs w:val="21"/>
        </w:rPr>
      </w:pPr>
      <w:r>
        <w:rPr>
          <w:rFonts w:hint="eastAsia" w:ascii="宋体" w:hAnsi="宋体" w:cs="宋体"/>
          <w:szCs w:val="21"/>
        </w:rPr>
        <w:t xml:space="preserve">项目名称：  </w:t>
      </w:r>
    </w:p>
    <w:p>
      <w:pPr>
        <w:spacing w:line="360" w:lineRule="auto"/>
        <w:rPr>
          <w:rFonts w:ascii="宋体" w:hAnsi="宋体" w:cs="宋体"/>
          <w:b/>
          <w:szCs w:val="21"/>
        </w:rPr>
      </w:pPr>
      <w:r>
        <w:rPr>
          <w:rFonts w:hint="eastAsia" w:ascii="宋体" w:hAnsi="宋体" w:cs="宋体"/>
          <w:szCs w:val="21"/>
        </w:rPr>
        <w:t>项目编号：</w:t>
      </w:r>
    </w:p>
    <w:tbl>
      <w:tblPr>
        <w:tblStyle w:val="2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66"/>
        <w:gridCol w:w="2943"/>
        <w:gridCol w:w="20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26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4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生产厂家、品牌、型号（若所投的货物或服务无生产厂家、品牌、型号，则此列无需填写）</w:t>
            </w:r>
          </w:p>
        </w:tc>
        <w:tc>
          <w:tcPr>
            <w:tcW w:w="204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谈判响应技术参数</w:t>
            </w:r>
          </w:p>
        </w:tc>
        <w:tc>
          <w:tcPr>
            <w:tcW w:w="21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bl>
    <w:p>
      <w:pPr>
        <w:tabs>
          <w:tab w:val="left" w:pos="1815"/>
        </w:tabs>
        <w:spacing w:line="360" w:lineRule="auto"/>
        <w:rPr>
          <w:rFonts w:ascii="宋体" w:hAnsi="宋体" w:cs="宋体"/>
          <w:b/>
          <w:color w:val="000000"/>
          <w:szCs w:val="21"/>
        </w:rPr>
      </w:pPr>
      <w:r>
        <w:rPr>
          <w:rFonts w:hint="eastAsia" w:ascii="宋体" w:hAnsi="宋体" w:cs="宋体"/>
          <w:b/>
          <w:color w:val="000000"/>
          <w:szCs w:val="21"/>
        </w:rPr>
        <w:t>注：</w:t>
      </w:r>
    </w:p>
    <w:p>
      <w:pPr>
        <w:tabs>
          <w:tab w:val="left" w:pos="1815"/>
        </w:tabs>
        <w:spacing w:line="360" w:lineRule="auto"/>
        <w:ind w:firstLine="420" w:firstLineChars="200"/>
        <w:rPr>
          <w:rFonts w:ascii="宋体" w:hAnsi="宋体" w:cs="宋体"/>
          <w:color w:val="000000"/>
          <w:szCs w:val="21"/>
        </w:rPr>
      </w:pPr>
      <w:r>
        <w:rPr>
          <w:rFonts w:hint="eastAsia" w:ascii="宋体" w:hAnsi="宋体" w:cs="宋体"/>
          <w:color w:val="000000"/>
          <w:szCs w:val="21"/>
        </w:rPr>
        <w:t>1、谈判响应人必须将自己所投货物真实、准确地填入以上表格中。</w:t>
      </w:r>
    </w:p>
    <w:p>
      <w:pPr>
        <w:pStyle w:val="54"/>
        <w:tabs>
          <w:tab w:val="left" w:pos="1815"/>
        </w:tabs>
        <w:spacing w:line="360" w:lineRule="auto"/>
        <w:rPr>
          <w:rFonts w:ascii="宋体" w:hAnsi="宋体" w:cs="宋体"/>
          <w:color w:val="000000"/>
          <w:szCs w:val="21"/>
        </w:rPr>
      </w:pPr>
      <w:r>
        <w:rPr>
          <w:rFonts w:hint="eastAsia" w:ascii="宋体" w:hAnsi="宋体" w:cs="宋体"/>
          <w:color w:val="000000"/>
          <w:szCs w:val="21"/>
        </w:rPr>
        <w:t>2、谈判响应人必须根据自己所投货物与“竞争性谈判技术参数”的差异情况，实事求是地填写“响应情况”（优于、满足、不满足） 。</w:t>
      </w: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pStyle w:val="15"/>
        <w:jc w:val="right"/>
      </w:pPr>
    </w:p>
    <w:p>
      <w:pPr>
        <w:pStyle w:val="15"/>
        <w:jc w:val="right"/>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pStyle w:val="15"/>
        <w:jc w:val="right"/>
      </w:pPr>
    </w:p>
    <w:p>
      <w:pPr>
        <w:pStyle w:val="15"/>
        <w:jc w:val="right"/>
      </w:pPr>
    </w:p>
    <w:p>
      <w:pPr>
        <w:spacing w:line="360" w:lineRule="auto"/>
        <w:ind w:firstLine="3570" w:firstLineChars="1700"/>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6"/>
        <w:jc w:val="center"/>
        <w:rPr>
          <w:rFonts w:hAnsi="宋体" w:cs="宋体"/>
          <w:color w:val="000000"/>
          <w:bdr w:val="single" w:color="auto" w:sz="4" w:space="0"/>
        </w:rPr>
      </w:pPr>
      <w:bookmarkStart w:id="89" w:name="_Toc2920"/>
      <w:bookmarkStart w:id="90" w:name="_Toc2993"/>
      <w:r>
        <w:rPr>
          <w:rFonts w:hint="eastAsia" w:hAnsi="宋体" w:cs="宋体"/>
          <w:color w:val="000000"/>
        </w:rPr>
        <w:t>四、供货及谈判响应技术方案</w:t>
      </w:r>
      <w:bookmarkEnd w:id="89"/>
      <w:bookmarkEnd w:id="90"/>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谈判响应人依据第三章“</w:t>
      </w:r>
      <w:r>
        <w:rPr>
          <w:rFonts w:hint="eastAsia" w:ascii="宋体" w:hAnsi="宋体" w:cs="宋体"/>
          <w:color w:val="000000"/>
          <w:szCs w:val="21"/>
          <w:lang w:val="en-US" w:eastAsia="zh-CN"/>
        </w:rPr>
        <w:t>项目</w:t>
      </w:r>
      <w:r>
        <w:rPr>
          <w:rFonts w:hint="eastAsia" w:ascii="宋体" w:hAnsi="宋体" w:cs="宋体"/>
          <w:color w:val="000000"/>
          <w:szCs w:val="21"/>
        </w:rPr>
        <w:t>需求及技术要求”自行提供。</w:t>
      </w:r>
    </w:p>
    <w:p>
      <w:pPr>
        <w:spacing w:line="360" w:lineRule="auto"/>
        <w:ind w:firstLine="404" w:firstLineChars="200"/>
        <w:rPr>
          <w:rFonts w:ascii="宋体" w:hAnsi="宋体" w:cs="宋体"/>
          <w:color w:val="000000"/>
          <w:spacing w:val="-4"/>
          <w:kern w:val="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2"/>
        <w:rPr>
          <w:rFonts w:cs="宋体"/>
          <w:color w:val="000000"/>
          <w:szCs w:val="21"/>
        </w:rPr>
      </w:pPr>
    </w:p>
    <w:p>
      <w:pPr>
        <w:pStyle w:val="2"/>
        <w:rPr>
          <w:rFonts w:cs="宋体"/>
          <w:color w:val="000000"/>
          <w:szCs w:val="21"/>
        </w:rPr>
      </w:pPr>
    </w:p>
    <w:p>
      <w:pPr>
        <w:pStyle w:val="2"/>
        <w:rPr>
          <w:rFonts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6"/>
        <w:jc w:val="center"/>
        <w:rPr>
          <w:rFonts w:hAnsi="宋体" w:cs="宋体"/>
          <w:color w:val="000000"/>
        </w:rPr>
      </w:pPr>
      <w:bookmarkStart w:id="91" w:name="_Toc13353"/>
      <w:bookmarkStart w:id="92" w:name="_Toc25547"/>
      <w:r>
        <w:rPr>
          <w:rFonts w:hint="eastAsia" w:hAnsi="宋体" w:cs="宋体"/>
          <w:color w:val="000000"/>
        </w:rPr>
        <w:t>五、诚信谈判响应承诺书</w:t>
      </w:r>
      <w:bookmarkEnd w:id="91"/>
      <w:bookmarkEnd w:id="92"/>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本人以企业法定代表人的身份郑重承诺：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93" w:name="_Toc22272"/>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color w:val="000000"/>
          <w:sz w:val="24"/>
        </w:rPr>
      </w:pPr>
      <w:r>
        <w:rPr>
          <w:rFonts w:hint="eastAsia" w:ascii="宋体" w:hAnsi="宋体" w:cs="宋体"/>
          <w:b/>
          <w:bCs/>
          <w:szCs w:val="21"/>
        </w:rPr>
        <w:t xml:space="preserve">                                               日期：_____年____月____日</w:t>
      </w:r>
      <w:r>
        <w:rPr>
          <w:rFonts w:ascii="宋体" w:hAnsi="宋体" w:cs="宋体"/>
          <w:b/>
          <w:bCs/>
          <w:color w:val="000000"/>
          <w:sz w:val="24"/>
        </w:rPr>
        <w:br w:type="page"/>
      </w:r>
    </w:p>
    <w:p>
      <w:pPr>
        <w:pStyle w:val="6"/>
        <w:jc w:val="center"/>
        <w:rPr>
          <w:rFonts w:hAnsi="宋体" w:cs="宋体"/>
          <w:color w:val="000000"/>
          <w:bdr w:val="single" w:color="auto" w:sz="4" w:space="0"/>
        </w:rPr>
      </w:pPr>
      <w:bookmarkStart w:id="94" w:name="_Toc22851"/>
      <w:r>
        <w:rPr>
          <w:rFonts w:hint="eastAsia" w:hAnsi="宋体" w:cs="宋体"/>
          <w:color w:val="000000"/>
        </w:rPr>
        <w:t>六、谈判证明</w:t>
      </w:r>
      <w:bookmarkEnd w:id="93"/>
      <w:bookmarkEnd w:id="94"/>
      <w:r>
        <w:rPr>
          <w:rFonts w:hint="eastAsia" w:hAnsi="宋体" w:cs="宋体"/>
          <w:color w:val="000000"/>
        </w:rPr>
        <w:t>材料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spacing w:line="360" w:lineRule="auto"/>
        <w:ind w:left="422"/>
        <w:rPr>
          <w:rFonts w:ascii="宋体" w:hAnsi="宋体"/>
          <w:szCs w:val="21"/>
        </w:rPr>
      </w:pPr>
      <w:r>
        <w:rPr>
          <w:rFonts w:hint="eastAsia" w:ascii="宋体" w:hAnsi="宋体"/>
          <w:szCs w:val="21"/>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420" w:firstLineChars="200"/>
        <w:rPr>
          <w:rFonts w:ascii="宋体" w:hAnsi="宋体"/>
          <w:szCs w:val="21"/>
        </w:rPr>
      </w:pPr>
      <w:r>
        <w:rPr>
          <w:rFonts w:hint="eastAsia" w:ascii="宋体" w:hAnsi="宋体"/>
          <w:szCs w:val="21"/>
        </w:rPr>
        <w:t xml:space="preserve">（1）具有独立承担民事责任的能力；                                          </w:t>
      </w:r>
    </w:p>
    <w:p>
      <w:pPr>
        <w:spacing w:line="360" w:lineRule="auto"/>
        <w:ind w:firstLine="420" w:firstLineChars="200"/>
        <w:rPr>
          <w:rFonts w:ascii="宋体" w:hAnsi="宋体"/>
          <w:szCs w:val="21"/>
        </w:rPr>
      </w:pPr>
      <w:r>
        <w:rPr>
          <w:rFonts w:hint="eastAsia" w:ascii="宋体" w:hAnsi="宋体"/>
          <w:szCs w:val="21"/>
        </w:rPr>
        <w:t xml:space="preserve">（2）具有良好的商业信誉和健全的财务会计制度；                              </w:t>
      </w:r>
    </w:p>
    <w:p>
      <w:pPr>
        <w:spacing w:line="360" w:lineRule="auto"/>
        <w:ind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420" w:firstLineChars="2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left="422"/>
        <w:rPr>
          <w:rFonts w:ascii="宋体" w:hAnsi="宋体"/>
          <w:szCs w:val="21"/>
        </w:rPr>
      </w:pPr>
    </w:p>
    <w:p>
      <w:pPr>
        <w:spacing w:line="360" w:lineRule="auto"/>
        <w:ind w:left="422"/>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4、法定代表人身份证明书（格式见附件）及其有效二代居民身份证；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6、履行合同所必需的设备专业技术能力证明文件 (</w:t>
      </w:r>
      <w:r>
        <w:rPr>
          <w:rFonts w:hint="eastAsia" w:ascii="宋体" w:hAnsi="宋体"/>
          <w:szCs w:val="21"/>
        </w:rPr>
        <w:t>根据项目需要可自行选择是否填写</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（1）服务于本项目的专业设备一览表</w:t>
      </w:r>
    </w:p>
    <w:tbl>
      <w:tblPr>
        <w:tblStyle w:val="22"/>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229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设备名称</w:t>
            </w:r>
          </w:p>
        </w:tc>
        <w:tc>
          <w:tcPr>
            <w:tcW w:w="145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购入时间</w:t>
            </w:r>
          </w:p>
        </w:tc>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价值</w:t>
            </w:r>
          </w:p>
        </w:tc>
        <w:tc>
          <w:tcPr>
            <w:tcW w:w="87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4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w:t>
            </w:r>
          </w:p>
        </w:tc>
        <w:tc>
          <w:tcPr>
            <w:tcW w:w="150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rPr>
                <w:rFonts w:ascii="宋体" w:hAnsi="宋体" w:cs="宋体"/>
                <w:color w:val="000000"/>
                <w:szCs w:val="21"/>
              </w:rPr>
            </w:pPr>
            <w:r>
              <w:rPr>
                <w:rFonts w:hint="eastAsia" w:ascii="宋体" w:hAnsi="宋体" w:cs="宋体"/>
                <w:color w:val="000000"/>
                <w:szCs w:val="21"/>
              </w:rPr>
              <w:t xml:space="preserve">    </w:t>
            </w: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bl>
    <w:p>
      <w:pPr>
        <w:spacing w:line="360" w:lineRule="auto"/>
        <w:rPr>
          <w:rFonts w:ascii="宋体" w:hAnsi="宋体" w:cs="宋体"/>
          <w:color w:val="000000"/>
          <w:szCs w:val="21"/>
        </w:rPr>
      </w:pPr>
      <w:r>
        <w:rPr>
          <w:rFonts w:hint="eastAsia" w:ascii="宋体" w:hAnsi="宋体" w:cs="宋体"/>
          <w:color w:val="000000"/>
          <w:szCs w:val="21"/>
        </w:rPr>
        <w:t>（2）服务本项目人员一览表</w:t>
      </w:r>
    </w:p>
    <w:tbl>
      <w:tblPr>
        <w:tblStyle w:val="22"/>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987"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000000"/>
                <w:szCs w:val="21"/>
              </w:rPr>
            </w:pPr>
            <w:r>
              <w:rPr>
                <w:rFonts w:hint="eastAsia" w:ascii="宋体" w:hAnsi="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bl>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7、本项目竞争性谈判文件中要求谈判响应人提供的其他证明材料。</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8、须提供上述证明材料复印件或扫描件或影印件。</w:t>
      </w:r>
    </w:p>
    <w:p>
      <w:pPr>
        <w:pStyle w:val="15"/>
        <w:rPr>
          <w:rFonts w:ascii="宋体" w:hAnsi="宋体" w:cs="宋体"/>
          <w:color w:val="000000"/>
          <w:szCs w:val="21"/>
        </w:rPr>
      </w:pPr>
    </w:p>
    <w:p>
      <w:pPr>
        <w:pStyle w:val="15"/>
        <w:rPr>
          <w:rFonts w:ascii="宋体" w:hAnsi="宋体" w:cs="宋体"/>
          <w:color w:val="000000"/>
          <w:szCs w:val="21"/>
        </w:rPr>
      </w:pPr>
    </w:p>
    <w:p>
      <w:pPr>
        <w:spacing w:line="360" w:lineRule="auto"/>
        <w:jc w:val="left"/>
        <w:rPr>
          <w:rFonts w:ascii="宋体" w:hAnsi="宋体" w:cs="宋体"/>
          <w:b/>
          <w:color w:val="000000"/>
          <w:sz w:val="24"/>
        </w:rPr>
      </w:pPr>
    </w:p>
    <w:p>
      <w:pPr>
        <w:spacing w:line="360" w:lineRule="auto"/>
        <w:jc w:val="left"/>
        <w:rPr>
          <w:rFonts w:ascii="宋体" w:hAnsi="宋体" w:cs="宋体"/>
          <w:b/>
          <w:color w:val="000000"/>
          <w:sz w:val="24"/>
        </w:rPr>
      </w:pPr>
    </w:p>
    <w:p>
      <w:pPr>
        <w:spacing w:line="360" w:lineRule="auto"/>
        <w:jc w:val="left"/>
        <w:rPr>
          <w:rFonts w:ascii="宋体" w:hAnsi="宋体" w:cs="宋体"/>
          <w:b/>
          <w:color w:val="000000"/>
          <w:sz w:val="24"/>
        </w:rPr>
      </w:pPr>
      <w:r>
        <w:rPr>
          <w:rFonts w:hint="eastAsia" w:ascii="宋体" w:hAnsi="宋体" w:cs="宋体"/>
          <w:b/>
          <w:color w:val="000000"/>
          <w:sz w:val="24"/>
        </w:rPr>
        <w:t>附 件：</w:t>
      </w: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法定代表人身份证明书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法定代表人授权委托书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（项目名称）的谈判响应一切事宜，其法律后果由我方承担。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（盖章）</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（盖章）</w:t>
      </w:r>
    </w:p>
    <w:p>
      <w:pPr>
        <w:wordWrap w:val="0"/>
        <w:spacing w:line="360" w:lineRule="auto"/>
        <w:ind w:right="480" w:firstLine="420" w:firstLineChars="2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ind w:right="480"/>
        <w:rPr>
          <w:rFonts w:ascii="宋体" w:hAnsi="宋体" w:cs="宋体"/>
          <w:color w:val="000000"/>
          <w:szCs w:val="21"/>
        </w:rPr>
      </w:pPr>
    </w:p>
    <w:p>
      <w:pPr>
        <w:spacing w:line="360" w:lineRule="auto"/>
        <w:ind w:firstLine="413" w:firstLineChars="196"/>
        <w:jc w:val="center"/>
        <w:rPr>
          <w:rFonts w:ascii="宋体" w:hAnsi="宋体"/>
          <w:b/>
          <w:bCs/>
          <w:color w:val="000000"/>
          <w:szCs w:val="21"/>
        </w:rPr>
      </w:pPr>
      <w:r>
        <w:rPr>
          <w:rFonts w:hint="eastAsia" w:ascii="宋体" w:hAnsi="宋体"/>
          <w:b/>
          <w:bCs/>
          <w:color w:val="000000"/>
          <w:szCs w:val="21"/>
        </w:rPr>
        <w:t>负责人身份证明书</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谈判响应人名称：</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（谈判响应人名称）的负责人。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olor w:val="000000"/>
          <w:szCs w:val="21"/>
        </w:rPr>
      </w:pPr>
      <w:r>
        <w:rPr>
          <w:rFonts w:hint="eastAsia" w:ascii="宋体" w:hAnsi="宋体"/>
          <w:color w:val="000000"/>
          <w:szCs w:val="21"/>
        </w:rPr>
        <w:t>特此证明。</w:t>
      </w:r>
    </w:p>
    <w:p>
      <w:pPr>
        <w:wordWrap w:val="0"/>
        <w:adjustRightInd w:val="0"/>
        <w:snapToGrid w:val="0"/>
        <w:spacing w:line="360" w:lineRule="auto"/>
        <w:ind w:firstLine="4137" w:firstLineChars="197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w:t>
      </w:r>
      <w:r>
        <w:rPr>
          <w:rFonts w:hint="eastAsia" w:ascii="宋体" w:hAnsi="宋体"/>
          <w:color w:val="000000"/>
          <w:szCs w:val="21"/>
        </w:rPr>
        <w:t>（盖章）</w:t>
      </w:r>
    </w:p>
    <w:p>
      <w:pPr>
        <w:wordWrap w:val="0"/>
        <w:adjustRightInd w:val="0"/>
        <w:snapToGrid w:val="0"/>
        <w:spacing w:line="360" w:lineRule="auto"/>
        <w:ind w:right="360" w:firstLine="4851" w:firstLineChars="2310"/>
        <w:jc w:val="righ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b/>
          <w:bCs/>
          <w:color w:val="000000"/>
          <w:szCs w:val="21"/>
        </w:rPr>
      </w:pPr>
      <w:r>
        <w:rPr>
          <w:rFonts w:hint="eastAsia" w:ascii="宋体" w:hAnsi="宋体"/>
          <w:b/>
          <w:bCs/>
          <w:color w:val="000000"/>
          <w:szCs w:val="21"/>
        </w:rPr>
        <w:t>负责人授权委托书</w:t>
      </w:r>
    </w:p>
    <w:p>
      <w:pPr>
        <w:wordWrap w:val="0"/>
        <w:spacing w:line="360" w:lineRule="auto"/>
        <w:ind w:firstLine="630" w:firstLineChars="300"/>
        <w:rPr>
          <w:rFonts w:ascii="宋体" w:hAnsi="宋体"/>
          <w:color w:val="000000"/>
          <w:szCs w:val="21"/>
        </w:rPr>
      </w:pPr>
      <w:r>
        <w:rPr>
          <w:rFonts w:hint="eastAsia"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（谈判响应人名称）的负责人，现委托</w:t>
      </w:r>
      <w:r>
        <w:rPr>
          <w:rFonts w:hint="eastAsia" w:ascii="宋体" w:hAnsi="宋体"/>
          <w:color w:val="000000"/>
          <w:szCs w:val="21"/>
          <w:u w:val="single"/>
        </w:rPr>
        <w:t xml:space="preserve">        </w:t>
      </w:r>
      <w:r>
        <w:rPr>
          <w:rFonts w:hint="eastAsia" w:ascii="宋体" w:hAnsi="宋体"/>
          <w:color w:val="000000"/>
          <w:szCs w:val="21"/>
        </w:rPr>
        <w:t>（姓名）为我方委托代理人。委托代理人根据授权，以我方名义处理</w:t>
      </w:r>
      <w:r>
        <w:rPr>
          <w:rFonts w:hint="eastAsia" w:ascii="宋体" w:hAnsi="宋体"/>
          <w:color w:val="000000"/>
          <w:szCs w:val="21"/>
          <w:u w:val="single"/>
        </w:rPr>
        <w:t xml:space="preserve">                           </w:t>
      </w:r>
      <w:r>
        <w:rPr>
          <w:rFonts w:hint="eastAsia" w:ascii="宋体" w:hAnsi="宋体"/>
          <w:color w:val="000000"/>
          <w:szCs w:val="21"/>
        </w:rPr>
        <w:t>（项目名称）的谈判响应一切事宜，其法律后果由我方承担。</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委托期限：</w:t>
      </w:r>
      <w:r>
        <w:rPr>
          <w:rFonts w:hint="eastAsia" w:ascii="宋体" w:hAnsi="宋体"/>
          <w:color w:val="000000"/>
          <w:szCs w:val="21"/>
          <w:u w:val="single"/>
        </w:rPr>
        <w:t xml:space="preserve">                </w:t>
      </w:r>
      <w:r>
        <w:rPr>
          <w:rFonts w:hint="eastAsia" w:ascii="宋体" w:hAnsi="宋体"/>
          <w:color w:val="000000"/>
          <w:szCs w:val="21"/>
        </w:rPr>
        <w:t>。</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委托代理人无转委托权，特此委托。</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性别 ：</w:t>
      </w:r>
      <w:r>
        <w:rPr>
          <w:rFonts w:hint="eastAsia" w:ascii="宋体" w:hAnsi="宋体"/>
          <w:color w:val="000000"/>
          <w:szCs w:val="21"/>
          <w:u w:val="single"/>
        </w:rPr>
        <w:t xml:space="preserve">            </w:t>
      </w:r>
      <w:r>
        <w:rPr>
          <w:rFonts w:hint="eastAsia" w:ascii="宋体" w:hAnsi="宋体"/>
          <w:color w:val="000000"/>
          <w:szCs w:val="21"/>
        </w:rPr>
        <w:t>年龄：_______</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（盖章）</w:t>
      </w:r>
    </w:p>
    <w:p>
      <w:pPr>
        <w:wordWrap w:val="0"/>
        <w:spacing w:line="360" w:lineRule="auto"/>
        <w:ind w:firstLine="420" w:firstLineChars="200"/>
        <w:rPr>
          <w:rFonts w:ascii="宋体" w:hAnsi="宋体"/>
          <w:color w:val="000000"/>
          <w:szCs w:val="21"/>
        </w:rPr>
      </w:pPr>
      <w:r>
        <w:rPr>
          <w:rFonts w:hint="eastAsia" w:ascii="宋体" w:hAnsi="宋体"/>
          <w:color w:val="000000"/>
          <w:szCs w:val="21"/>
        </w:rPr>
        <w:t>负责人：</w:t>
      </w:r>
      <w:r>
        <w:rPr>
          <w:rFonts w:hint="eastAsia" w:ascii="宋体" w:hAnsi="宋体"/>
          <w:color w:val="000000"/>
          <w:szCs w:val="21"/>
          <w:u w:val="single"/>
        </w:rPr>
        <w:t xml:space="preserve">                                      （盖章）</w:t>
      </w:r>
    </w:p>
    <w:p>
      <w:pPr>
        <w:wordWrap w:val="0"/>
        <w:spacing w:line="360" w:lineRule="auto"/>
        <w:ind w:right="480" w:firstLine="420" w:firstLineChars="200"/>
        <w:rPr>
          <w:rFonts w:ascii="宋体" w:hAnsi="宋体" w:cs="宋体"/>
          <w:b/>
          <w:color w:val="000000"/>
          <w:sz w:val="24"/>
        </w:rPr>
      </w:pPr>
      <w:r>
        <w:rPr>
          <w:rFonts w:hint="eastAsia" w:ascii="宋体" w:hAnsi="宋体"/>
          <w:color w:val="000000"/>
          <w:szCs w:val="21"/>
        </w:rPr>
        <w:t>授权委托日期：</w:t>
      </w: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sectPr>
      <w:headerReference r:id="rId5" w:type="default"/>
      <w:footerReference r:id="rId6" w:type="default"/>
      <w:pgSz w:w="11906" w:h="16838"/>
      <w:pgMar w:top="1417" w:right="1418" w:bottom="1417" w:left="1418"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If3M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lrUrdwd8dIo6UJ00dRlhkmBx8wsx1Wre0I3/6uerlF9v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KIh/czwEAAKoDAAAOAAAAAAAAAAEAIAAAAB4BAABkcnMv&#10;ZTJvRG9jLnhtbFBLBQYAAAAABgAGAFkBAABf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jc w:val="right"/>
      <w:rPr>
        <w:szCs w:val="21"/>
      </w:rPr>
    </w:pPr>
    <w:r>
      <w:rPr>
        <w:rFonts w:hint="eastAsia"/>
        <w:szCs w:val="21"/>
      </w:rPr>
      <w:t xml:space="preserve">                                    </w:t>
    </w:r>
    <w:r>
      <w:rPr>
        <w:rFonts w:hint="eastAsia"/>
        <w:szCs w:val="21"/>
        <w:lang w:eastAsia="zh-CN"/>
      </w:rPr>
      <w:t>数控车间智能化升级改造项目</w:t>
    </w:r>
    <w:r>
      <w:rPr>
        <w:rFonts w:hint="eastAsia"/>
        <w:szCs w:val="21"/>
      </w:rPr>
      <w:t>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2A764"/>
    <w:multiLevelType w:val="singleLevel"/>
    <w:tmpl w:val="47C2A764"/>
    <w:lvl w:ilvl="0" w:tentative="0">
      <w:start w:val="1"/>
      <w:numFmt w:val="chineseCounting"/>
      <w:suff w:val="nothing"/>
      <w:lvlText w:val="%1、"/>
      <w:lvlJc w:val="left"/>
      <w:rPr>
        <w:rFonts w:hint="eastAsia"/>
      </w:rPr>
    </w:lvl>
  </w:abstractNum>
  <w:abstractNum w:abstractNumId="1">
    <w:nsid w:val="58DE129E"/>
    <w:multiLevelType w:val="singleLevel"/>
    <w:tmpl w:val="58DE129E"/>
    <w:lvl w:ilvl="0" w:tentative="0">
      <w:start w:val="4"/>
      <w:numFmt w:val="chineseCounting"/>
      <w:suff w:val="nothing"/>
      <w:lvlText w:val="%1、"/>
      <w:lvlJc w:val="left"/>
    </w:lvl>
  </w:abstractNum>
  <w:abstractNum w:abstractNumId="2">
    <w:nsid w:val="590BEEFE"/>
    <w:multiLevelType w:val="singleLevel"/>
    <w:tmpl w:val="590BEEFE"/>
    <w:lvl w:ilvl="0" w:tentative="0">
      <w:start w:val="13"/>
      <w:numFmt w:val="decimal"/>
      <w:suff w:val="nothing"/>
      <w:lvlText w:val="%1、"/>
      <w:lvlJc w:val="left"/>
    </w:lvl>
  </w:abstractNum>
  <w:abstractNum w:abstractNumId="3">
    <w:nsid w:val="69C504C3"/>
    <w:multiLevelType w:val="singleLevel"/>
    <w:tmpl w:val="69C504C3"/>
    <w:lvl w:ilvl="0" w:tentative="0">
      <w:start w:val="1"/>
      <w:numFmt w:val="decimal"/>
      <w:suff w:val="nothing"/>
      <w:lvlText w:val="%1、"/>
      <w:lvlJc w:val="left"/>
    </w:lvl>
  </w:abstractNum>
  <w:abstractNum w:abstractNumId="4">
    <w:nsid w:val="7485B966"/>
    <w:multiLevelType w:val="singleLevel"/>
    <w:tmpl w:val="7485B966"/>
    <w:lvl w:ilvl="0" w:tentative="0">
      <w:start w:val="3"/>
      <w:numFmt w:val="decimal"/>
      <w:lvlText w:val="%1."/>
      <w:lvlJc w:val="left"/>
      <w:pPr>
        <w:tabs>
          <w:tab w:val="left" w:pos="312"/>
        </w:tabs>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19B8"/>
    <w:rsid w:val="002425BE"/>
    <w:rsid w:val="00243666"/>
    <w:rsid w:val="002440C0"/>
    <w:rsid w:val="00244DB8"/>
    <w:rsid w:val="00244EF5"/>
    <w:rsid w:val="002459A4"/>
    <w:rsid w:val="00247C71"/>
    <w:rsid w:val="00247CEA"/>
    <w:rsid w:val="0025135B"/>
    <w:rsid w:val="002527A5"/>
    <w:rsid w:val="00254641"/>
    <w:rsid w:val="00255576"/>
    <w:rsid w:val="00255C1E"/>
    <w:rsid w:val="0025625B"/>
    <w:rsid w:val="00256A21"/>
    <w:rsid w:val="00260D0E"/>
    <w:rsid w:val="002613B1"/>
    <w:rsid w:val="00265EB2"/>
    <w:rsid w:val="0026687E"/>
    <w:rsid w:val="00266DCC"/>
    <w:rsid w:val="00267CE1"/>
    <w:rsid w:val="00270AC3"/>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790"/>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D74B1"/>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080F"/>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7DC"/>
    <w:rsid w:val="00762802"/>
    <w:rsid w:val="00762AE6"/>
    <w:rsid w:val="00763F74"/>
    <w:rsid w:val="00766C87"/>
    <w:rsid w:val="00767347"/>
    <w:rsid w:val="00767FDF"/>
    <w:rsid w:val="0077212B"/>
    <w:rsid w:val="00772E6C"/>
    <w:rsid w:val="00773097"/>
    <w:rsid w:val="0077445B"/>
    <w:rsid w:val="00774C56"/>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C0188"/>
    <w:rsid w:val="00AC05D7"/>
    <w:rsid w:val="00AC2FB6"/>
    <w:rsid w:val="00AC35CD"/>
    <w:rsid w:val="00AC3CE9"/>
    <w:rsid w:val="00AC3F23"/>
    <w:rsid w:val="00AD1CCE"/>
    <w:rsid w:val="00AD2636"/>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4387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3CE"/>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7F9"/>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2BE"/>
    <w:rsid w:val="00FF53E8"/>
    <w:rsid w:val="00FF6A5A"/>
    <w:rsid w:val="00FF762C"/>
    <w:rsid w:val="00FF79C6"/>
    <w:rsid w:val="01233A9E"/>
    <w:rsid w:val="013C7BF3"/>
    <w:rsid w:val="018A44B4"/>
    <w:rsid w:val="01922DC9"/>
    <w:rsid w:val="019924DC"/>
    <w:rsid w:val="01D95F0B"/>
    <w:rsid w:val="01EC5C3E"/>
    <w:rsid w:val="021A1EAD"/>
    <w:rsid w:val="022D6E94"/>
    <w:rsid w:val="02316790"/>
    <w:rsid w:val="023E4914"/>
    <w:rsid w:val="025741F7"/>
    <w:rsid w:val="02606320"/>
    <w:rsid w:val="02734C55"/>
    <w:rsid w:val="02906F11"/>
    <w:rsid w:val="02A4476B"/>
    <w:rsid w:val="02E9052A"/>
    <w:rsid w:val="02F10E60"/>
    <w:rsid w:val="0304481A"/>
    <w:rsid w:val="03387229"/>
    <w:rsid w:val="03443A6F"/>
    <w:rsid w:val="03724537"/>
    <w:rsid w:val="03851ED2"/>
    <w:rsid w:val="03A96165"/>
    <w:rsid w:val="03AC1B29"/>
    <w:rsid w:val="03CD18E6"/>
    <w:rsid w:val="03F44933"/>
    <w:rsid w:val="04043AA5"/>
    <w:rsid w:val="0404793A"/>
    <w:rsid w:val="041E7ACD"/>
    <w:rsid w:val="04201B8B"/>
    <w:rsid w:val="04382BE0"/>
    <w:rsid w:val="043E7102"/>
    <w:rsid w:val="045126D0"/>
    <w:rsid w:val="045E7194"/>
    <w:rsid w:val="0477350E"/>
    <w:rsid w:val="047F63FB"/>
    <w:rsid w:val="048D42C4"/>
    <w:rsid w:val="04A006E1"/>
    <w:rsid w:val="051A65C3"/>
    <w:rsid w:val="051E4ACA"/>
    <w:rsid w:val="052E1C9F"/>
    <w:rsid w:val="0531200C"/>
    <w:rsid w:val="053E109C"/>
    <w:rsid w:val="054C6411"/>
    <w:rsid w:val="058A11C5"/>
    <w:rsid w:val="059F2D1A"/>
    <w:rsid w:val="05E002BE"/>
    <w:rsid w:val="05E35B59"/>
    <w:rsid w:val="05E64E9C"/>
    <w:rsid w:val="064502BC"/>
    <w:rsid w:val="06481AD4"/>
    <w:rsid w:val="06521913"/>
    <w:rsid w:val="06567772"/>
    <w:rsid w:val="06805122"/>
    <w:rsid w:val="069353D8"/>
    <w:rsid w:val="06952ADA"/>
    <w:rsid w:val="06DF7532"/>
    <w:rsid w:val="06F36A08"/>
    <w:rsid w:val="071B4038"/>
    <w:rsid w:val="07283BBC"/>
    <w:rsid w:val="07422C6F"/>
    <w:rsid w:val="07655DB3"/>
    <w:rsid w:val="076B260E"/>
    <w:rsid w:val="078356D6"/>
    <w:rsid w:val="07A563E1"/>
    <w:rsid w:val="07DA0583"/>
    <w:rsid w:val="08210B23"/>
    <w:rsid w:val="0838737A"/>
    <w:rsid w:val="08444D9F"/>
    <w:rsid w:val="088A4392"/>
    <w:rsid w:val="089935B7"/>
    <w:rsid w:val="08AA4743"/>
    <w:rsid w:val="08D12404"/>
    <w:rsid w:val="08D92199"/>
    <w:rsid w:val="08DA0D79"/>
    <w:rsid w:val="08DA0EE6"/>
    <w:rsid w:val="0927319F"/>
    <w:rsid w:val="092B3141"/>
    <w:rsid w:val="093D63B2"/>
    <w:rsid w:val="097517AF"/>
    <w:rsid w:val="097A7948"/>
    <w:rsid w:val="098C68F8"/>
    <w:rsid w:val="09AC4724"/>
    <w:rsid w:val="09B87F24"/>
    <w:rsid w:val="09F95F96"/>
    <w:rsid w:val="0A0334B3"/>
    <w:rsid w:val="0A3C1CA7"/>
    <w:rsid w:val="0A461924"/>
    <w:rsid w:val="0A570314"/>
    <w:rsid w:val="0A8F5B1B"/>
    <w:rsid w:val="0A901CC5"/>
    <w:rsid w:val="0A942E35"/>
    <w:rsid w:val="0B072024"/>
    <w:rsid w:val="0B0914F5"/>
    <w:rsid w:val="0B110D86"/>
    <w:rsid w:val="0B2916C2"/>
    <w:rsid w:val="0B3348DE"/>
    <w:rsid w:val="0B686AC8"/>
    <w:rsid w:val="0B91761E"/>
    <w:rsid w:val="0BCA33E7"/>
    <w:rsid w:val="0BE77B0B"/>
    <w:rsid w:val="0BF57DE5"/>
    <w:rsid w:val="0C5A48B2"/>
    <w:rsid w:val="0C83295D"/>
    <w:rsid w:val="0C89471E"/>
    <w:rsid w:val="0CAE5CFF"/>
    <w:rsid w:val="0CE11931"/>
    <w:rsid w:val="0D3E4270"/>
    <w:rsid w:val="0D417786"/>
    <w:rsid w:val="0D44527A"/>
    <w:rsid w:val="0D494161"/>
    <w:rsid w:val="0D4F57E4"/>
    <w:rsid w:val="0D6669BD"/>
    <w:rsid w:val="0D705975"/>
    <w:rsid w:val="0DC64678"/>
    <w:rsid w:val="0DCB05AE"/>
    <w:rsid w:val="0DD00F7F"/>
    <w:rsid w:val="0DF70178"/>
    <w:rsid w:val="0DF94899"/>
    <w:rsid w:val="0DFA1324"/>
    <w:rsid w:val="0E32410D"/>
    <w:rsid w:val="0E3C1537"/>
    <w:rsid w:val="0E7114B7"/>
    <w:rsid w:val="0EA348CD"/>
    <w:rsid w:val="0EA86D69"/>
    <w:rsid w:val="0EB14180"/>
    <w:rsid w:val="0EBC4E69"/>
    <w:rsid w:val="0EDD408A"/>
    <w:rsid w:val="0EE51628"/>
    <w:rsid w:val="0EF64818"/>
    <w:rsid w:val="0EFB03F1"/>
    <w:rsid w:val="0EFB37A0"/>
    <w:rsid w:val="0F1D6572"/>
    <w:rsid w:val="0F3D389D"/>
    <w:rsid w:val="0F434292"/>
    <w:rsid w:val="0F593180"/>
    <w:rsid w:val="0F8236D5"/>
    <w:rsid w:val="0FA65B55"/>
    <w:rsid w:val="0FC55235"/>
    <w:rsid w:val="0FF97D9D"/>
    <w:rsid w:val="1009280B"/>
    <w:rsid w:val="100E134E"/>
    <w:rsid w:val="10264018"/>
    <w:rsid w:val="10345380"/>
    <w:rsid w:val="1042762F"/>
    <w:rsid w:val="1050087E"/>
    <w:rsid w:val="10647972"/>
    <w:rsid w:val="107439CE"/>
    <w:rsid w:val="10B2256F"/>
    <w:rsid w:val="10C17787"/>
    <w:rsid w:val="10C64A93"/>
    <w:rsid w:val="10DC68D5"/>
    <w:rsid w:val="10F1313F"/>
    <w:rsid w:val="11803EC2"/>
    <w:rsid w:val="11977EE9"/>
    <w:rsid w:val="11AC730F"/>
    <w:rsid w:val="11BC1C1F"/>
    <w:rsid w:val="11CF1EF1"/>
    <w:rsid w:val="11EA2CE5"/>
    <w:rsid w:val="11F12DFD"/>
    <w:rsid w:val="121A40C0"/>
    <w:rsid w:val="126D2AE8"/>
    <w:rsid w:val="12994AF8"/>
    <w:rsid w:val="12AE6B32"/>
    <w:rsid w:val="12C43EF0"/>
    <w:rsid w:val="12C4475B"/>
    <w:rsid w:val="12D6647C"/>
    <w:rsid w:val="12ED5CBA"/>
    <w:rsid w:val="130A686C"/>
    <w:rsid w:val="132B46CB"/>
    <w:rsid w:val="1347382D"/>
    <w:rsid w:val="135421F8"/>
    <w:rsid w:val="13616BDF"/>
    <w:rsid w:val="13753967"/>
    <w:rsid w:val="137F2F52"/>
    <w:rsid w:val="1380268A"/>
    <w:rsid w:val="13A1080A"/>
    <w:rsid w:val="13D735A4"/>
    <w:rsid w:val="13DC1FB6"/>
    <w:rsid w:val="13DF2D80"/>
    <w:rsid w:val="13EB17D3"/>
    <w:rsid w:val="142A4E08"/>
    <w:rsid w:val="146B3973"/>
    <w:rsid w:val="14D8207C"/>
    <w:rsid w:val="14DA386A"/>
    <w:rsid w:val="14E42898"/>
    <w:rsid w:val="14F224D3"/>
    <w:rsid w:val="15073605"/>
    <w:rsid w:val="152A4236"/>
    <w:rsid w:val="155807CF"/>
    <w:rsid w:val="15786FC5"/>
    <w:rsid w:val="158744D0"/>
    <w:rsid w:val="15FA4347"/>
    <w:rsid w:val="162701DA"/>
    <w:rsid w:val="162B22EC"/>
    <w:rsid w:val="164C31F0"/>
    <w:rsid w:val="164D4538"/>
    <w:rsid w:val="166F1862"/>
    <w:rsid w:val="16AA643D"/>
    <w:rsid w:val="16C16894"/>
    <w:rsid w:val="16E62698"/>
    <w:rsid w:val="170B2AE0"/>
    <w:rsid w:val="170C2076"/>
    <w:rsid w:val="171347E8"/>
    <w:rsid w:val="171E3C64"/>
    <w:rsid w:val="171F0553"/>
    <w:rsid w:val="1732022B"/>
    <w:rsid w:val="17465999"/>
    <w:rsid w:val="17656EC7"/>
    <w:rsid w:val="177B1AE6"/>
    <w:rsid w:val="17865E6F"/>
    <w:rsid w:val="178B2FCA"/>
    <w:rsid w:val="17D73777"/>
    <w:rsid w:val="17FE3786"/>
    <w:rsid w:val="183A16EE"/>
    <w:rsid w:val="188859CE"/>
    <w:rsid w:val="188B5D59"/>
    <w:rsid w:val="189F55F4"/>
    <w:rsid w:val="18F273A6"/>
    <w:rsid w:val="19046B90"/>
    <w:rsid w:val="192A68C8"/>
    <w:rsid w:val="195832AE"/>
    <w:rsid w:val="196E49C7"/>
    <w:rsid w:val="199F5019"/>
    <w:rsid w:val="19DF13F6"/>
    <w:rsid w:val="1A304C68"/>
    <w:rsid w:val="1A390864"/>
    <w:rsid w:val="1A6A324A"/>
    <w:rsid w:val="1AC77936"/>
    <w:rsid w:val="1B06535A"/>
    <w:rsid w:val="1B181533"/>
    <w:rsid w:val="1B1F6A78"/>
    <w:rsid w:val="1B5E0873"/>
    <w:rsid w:val="1B6070A8"/>
    <w:rsid w:val="1B972C67"/>
    <w:rsid w:val="1BA7556B"/>
    <w:rsid w:val="1BBF315F"/>
    <w:rsid w:val="1BDE1760"/>
    <w:rsid w:val="1C2551E1"/>
    <w:rsid w:val="1C4B349A"/>
    <w:rsid w:val="1C5648D0"/>
    <w:rsid w:val="1C656F34"/>
    <w:rsid w:val="1C856F63"/>
    <w:rsid w:val="1C946602"/>
    <w:rsid w:val="1CA232AC"/>
    <w:rsid w:val="1CCA7376"/>
    <w:rsid w:val="1CF5747D"/>
    <w:rsid w:val="1D0B7287"/>
    <w:rsid w:val="1D0E5817"/>
    <w:rsid w:val="1DA03128"/>
    <w:rsid w:val="1DA05131"/>
    <w:rsid w:val="1DAF6046"/>
    <w:rsid w:val="1DB25B96"/>
    <w:rsid w:val="1DC52A30"/>
    <w:rsid w:val="1DC65517"/>
    <w:rsid w:val="1DC83EF3"/>
    <w:rsid w:val="1DD66520"/>
    <w:rsid w:val="1DD912DB"/>
    <w:rsid w:val="1DE870A5"/>
    <w:rsid w:val="1E07330A"/>
    <w:rsid w:val="1E16127D"/>
    <w:rsid w:val="1E2A33E0"/>
    <w:rsid w:val="1E465BA2"/>
    <w:rsid w:val="1E5E47E0"/>
    <w:rsid w:val="1E65548D"/>
    <w:rsid w:val="1E6A5CCC"/>
    <w:rsid w:val="1E750374"/>
    <w:rsid w:val="1E84689A"/>
    <w:rsid w:val="1F036625"/>
    <w:rsid w:val="1F1555E0"/>
    <w:rsid w:val="1F28636E"/>
    <w:rsid w:val="1F2F230B"/>
    <w:rsid w:val="1F542115"/>
    <w:rsid w:val="1F5472F6"/>
    <w:rsid w:val="1F663A3C"/>
    <w:rsid w:val="1F6E7EA0"/>
    <w:rsid w:val="1F805BBC"/>
    <w:rsid w:val="1FD2426D"/>
    <w:rsid w:val="1FE73C5F"/>
    <w:rsid w:val="1FF877BF"/>
    <w:rsid w:val="2027564F"/>
    <w:rsid w:val="202915A2"/>
    <w:rsid w:val="2038536A"/>
    <w:rsid w:val="204539A1"/>
    <w:rsid w:val="20556D76"/>
    <w:rsid w:val="206554E7"/>
    <w:rsid w:val="207019F5"/>
    <w:rsid w:val="209854B7"/>
    <w:rsid w:val="20DD7A52"/>
    <w:rsid w:val="21087874"/>
    <w:rsid w:val="21346507"/>
    <w:rsid w:val="21435719"/>
    <w:rsid w:val="21457AA6"/>
    <w:rsid w:val="214866D0"/>
    <w:rsid w:val="2184057F"/>
    <w:rsid w:val="219C4AB4"/>
    <w:rsid w:val="21B76AE0"/>
    <w:rsid w:val="21EF50B3"/>
    <w:rsid w:val="223C008F"/>
    <w:rsid w:val="22472B4C"/>
    <w:rsid w:val="22643497"/>
    <w:rsid w:val="22794F14"/>
    <w:rsid w:val="227F77DE"/>
    <w:rsid w:val="229442B5"/>
    <w:rsid w:val="22B8599C"/>
    <w:rsid w:val="22C67959"/>
    <w:rsid w:val="22FB0688"/>
    <w:rsid w:val="23053C47"/>
    <w:rsid w:val="231C0C23"/>
    <w:rsid w:val="232063A6"/>
    <w:rsid w:val="23635693"/>
    <w:rsid w:val="239F4B3B"/>
    <w:rsid w:val="23B76FD3"/>
    <w:rsid w:val="23C44AC9"/>
    <w:rsid w:val="23ED7ADD"/>
    <w:rsid w:val="240C6AFA"/>
    <w:rsid w:val="243109E9"/>
    <w:rsid w:val="2448342E"/>
    <w:rsid w:val="245C48D7"/>
    <w:rsid w:val="246E108F"/>
    <w:rsid w:val="24A249FE"/>
    <w:rsid w:val="24AF7273"/>
    <w:rsid w:val="24FC7EDF"/>
    <w:rsid w:val="25066EF6"/>
    <w:rsid w:val="2518296A"/>
    <w:rsid w:val="26066D6F"/>
    <w:rsid w:val="26235A5B"/>
    <w:rsid w:val="26280EE9"/>
    <w:rsid w:val="262E24B2"/>
    <w:rsid w:val="263B1F16"/>
    <w:rsid w:val="268B284C"/>
    <w:rsid w:val="26934AF9"/>
    <w:rsid w:val="26A26BEE"/>
    <w:rsid w:val="26BB643B"/>
    <w:rsid w:val="26C7367F"/>
    <w:rsid w:val="26CD70F0"/>
    <w:rsid w:val="26FE1742"/>
    <w:rsid w:val="26FF1B22"/>
    <w:rsid w:val="2701248A"/>
    <w:rsid w:val="27015D0E"/>
    <w:rsid w:val="272B4880"/>
    <w:rsid w:val="274F6261"/>
    <w:rsid w:val="277A093D"/>
    <w:rsid w:val="278241BD"/>
    <w:rsid w:val="27971706"/>
    <w:rsid w:val="279767AD"/>
    <w:rsid w:val="27A667E9"/>
    <w:rsid w:val="280755BB"/>
    <w:rsid w:val="286D29E1"/>
    <w:rsid w:val="288714FD"/>
    <w:rsid w:val="28CC3AA7"/>
    <w:rsid w:val="28EA436C"/>
    <w:rsid w:val="29215BA4"/>
    <w:rsid w:val="29385A89"/>
    <w:rsid w:val="294414A4"/>
    <w:rsid w:val="294A756A"/>
    <w:rsid w:val="29660000"/>
    <w:rsid w:val="298A5CBE"/>
    <w:rsid w:val="29926273"/>
    <w:rsid w:val="29A65A1D"/>
    <w:rsid w:val="29AF38AF"/>
    <w:rsid w:val="29B4634A"/>
    <w:rsid w:val="29D11A3A"/>
    <w:rsid w:val="29EA6C76"/>
    <w:rsid w:val="29F10992"/>
    <w:rsid w:val="2A02581B"/>
    <w:rsid w:val="2A0B798F"/>
    <w:rsid w:val="2A2E1289"/>
    <w:rsid w:val="2A3008B7"/>
    <w:rsid w:val="2A404A54"/>
    <w:rsid w:val="2A4B359A"/>
    <w:rsid w:val="2A792CCC"/>
    <w:rsid w:val="2A8229CD"/>
    <w:rsid w:val="2A8453B1"/>
    <w:rsid w:val="2A863051"/>
    <w:rsid w:val="2A9920D3"/>
    <w:rsid w:val="2AA56CCB"/>
    <w:rsid w:val="2AD035AE"/>
    <w:rsid w:val="2AE37315"/>
    <w:rsid w:val="2B013C59"/>
    <w:rsid w:val="2B2412CD"/>
    <w:rsid w:val="2B2433DD"/>
    <w:rsid w:val="2B7045BE"/>
    <w:rsid w:val="2B9D7C99"/>
    <w:rsid w:val="2BA90F52"/>
    <w:rsid w:val="2BAB53B1"/>
    <w:rsid w:val="2BB51544"/>
    <w:rsid w:val="2BC346BE"/>
    <w:rsid w:val="2BE07D12"/>
    <w:rsid w:val="2BE16598"/>
    <w:rsid w:val="2BF269A7"/>
    <w:rsid w:val="2C1C696A"/>
    <w:rsid w:val="2C3D3F13"/>
    <w:rsid w:val="2C5174E0"/>
    <w:rsid w:val="2C5618F8"/>
    <w:rsid w:val="2C6A365C"/>
    <w:rsid w:val="2C877A43"/>
    <w:rsid w:val="2C8A6754"/>
    <w:rsid w:val="2C8F59B2"/>
    <w:rsid w:val="2C9D5792"/>
    <w:rsid w:val="2CB847EB"/>
    <w:rsid w:val="2CE22AB5"/>
    <w:rsid w:val="2CFD5684"/>
    <w:rsid w:val="2CFE66A2"/>
    <w:rsid w:val="2D845825"/>
    <w:rsid w:val="2D9A7120"/>
    <w:rsid w:val="2DB307CE"/>
    <w:rsid w:val="2DC50F24"/>
    <w:rsid w:val="2DE435D2"/>
    <w:rsid w:val="2DF36570"/>
    <w:rsid w:val="2E235B1A"/>
    <w:rsid w:val="2E2D4D5E"/>
    <w:rsid w:val="2E3512B9"/>
    <w:rsid w:val="2E6E7857"/>
    <w:rsid w:val="2E9A086B"/>
    <w:rsid w:val="2ECF2A5B"/>
    <w:rsid w:val="2F2D4173"/>
    <w:rsid w:val="2F3C308F"/>
    <w:rsid w:val="2F61560E"/>
    <w:rsid w:val="2F8278DB"/>
    <w:rsid w:val="2F9C7A54"/>
    <w:rsid w:val="2F9D6043"/>
    <w:rsid w:val="2FC04163"/>
    <w:rsid w:val="2FD608DA"/>
    <w:rsid w:val="2FD71C09"/>
    <w:rsid w:val="3006129D"/>
    <w:rsid w:val="301C3CE8"/>
    <w:rsid w:val="30B5333E"/>
    <w:rsid w:val="30F90549"/>
    <w:rsid w:val="313C614E"/>
    <w:rsid w:val="31505DAD"/>
    <w:rsid w:val="31532F2D"/>
    <w:rsid w:val="318320A8"/>
    <w:rsid w:val="318C4BC4"/>
    <w:rsid w:val="31A40879"/>
    <w:rsid w:val="31C1309B"/>
    <w:rsid w:val="31CD7106"/>
    <w:rsid w:val="31F57EDC"/>
    <w:rsid w:val="320C1BA8"/>
    <w:rsid w:val="32456B21"/>
    <w:rsid w:val="32AA5A6C"/>
    <w:rsid w:val="32AE19BE"/>
    <w:rsid w:val="32B56792"/>
    <w:rsid w:val="32BC30EA"/>
    <w:rsid w:val="32C51192"/>
    <w:rsid w:val="32CD43F3"/>
    <w:rsid w:val="32EE7C35"/>
    <w:rsid w:val="3301513E"/>
    <w:rsid w:val="331A6EA1"/>
    <w:rsid w:val="331D35FA"/>
    <w:rsid w:val="332848FF"/>
    <w:rsid w:val="334D2FF5"/>
    <w:rsid w:val="335C522C"/>
    <w:rsid w:val="33B33591"/>
    <w:rsid w:val="33C40DAF"/>
    <w:rsid w:val="33CB50F6"/>
    <w:rsid w:val="33EA5773"/>
    <w:rsid w:val="33EA6BD5"/>
    <w:rsid w:val="34156596"/>
    <w:rsid w:val="341579FF"/>
    <w:rsid w:val="343B1E3D"/>
    <w:rsid w:val="3477605B"/>
    <w:rsid w:val="347B2C27"/>
    <w:rsid w:val="3480762C"/>
    <w:rsid w:val="34B563E2"/>
    <w:rsid w:val="34C71782"/>
    <w:rsid w:val="34CA2810"/>
    <w:rsid w:val="34E31110"/>
    <w:rsid w:val="34F73875"/>
    <w:rsid w:val="35033E04"/>
    <w:rsid w:val="350A1874"/>
    <w:rsid w:val="350C4714"/>
    <w:rsid w:val="351A087B"/>
    <w:rsid w:val="35270B41"/>
    <w:rsid w:val="352B563A"/>
    <w:rsid w:val="353323D5"/>
    <w:rsid w:val="3546508A"/>
    <w:rsid w:val="35925C72"/>
    <w:rsid w:val="35973F2D"/>
    <w:rsid w:val="35C26DEE"/>
    <w:rsid w:val="360F267E"/>
    <w:rsid w:val="361762C6"/>
    <w:rsid w:val="362D1C01"/>
    <w:rsid w:val="365A50BB"/>
    <w:rsid w:val="36615EFA"/>
    <w:rsid w:val="366E68DA"/>
    <w:rsid w:val="36881F0D"/>
    <w:rsid w:val="36C41867"/>
    <w:rsid w:val="36CC24F7"/>
    <w:rsid w:val="370E4C3C"/>
    <w:rsid w:val="372A5C50"/>
    <w:rsid w:val="373C3CC0"/>
    <w:rsid w:val="375436D4"/>
    <w:rsid w:val="37545502"/>
    <w:rsid w:val="376712E7"/>
    <w:rsid w:val="3771676A"/>
    <w:rsid w:val="37855348"/>
    <w:rsid w:val="37D4606B"/>
    <w:rsid w:val="37FA4F3B"/>
    <w:rsid w:val="381F5E35"/>
    <w:rsid w:val="383813C8"/>
    <w:rsid w:val="385244BD"/>
    <w:rsid w:val="38623892"/>
    <w:rsid w:val="38650C3E"/>
    <w:rsid w:val="388809BB"/>
    <w:rsid w:val="388A07DC"/>
    <w:rsid w:val="38E431AE"/>
    <w:rsid w:val="38F57B5C"/>
    <w:rsid w:val="38FD2469"/>
    <w:rsid w:val="39186D3D"/>
    <w:rsid w:val="39334744"/>
    <w:rsid w:val="3948026B"/>
    <w:rsid w:val="3956604D"/>
    <w:rsid w:val="39677683"/>
    <w:rsid w:val="39A1679C"/>
    <w:rsid w:val="39F12A70"/>
    <w:rsid w:val="3A132F16"/>
    <w:rsid w:val="3A1B3237"/>
    <w:rsid w:val="3A93517E"/>
    <w:rsid w:val="3ABF4F1C"/>
    <w:rsid w:val="3B42434C"/>
    <w:rsid w:val="3B535BEA"/>
    <w:rsid w:val="3B6B3A9C"/>
    <w:rsid w:val="3B8701AA"/>
    <w:rsid w:val="3BE55A8F"/>
    <w:rsid w:val="3BF44C1A"/>
    <w:rsid w:val="3C030505"/>
    <w:rsid w:val="3C34574B"/>
    <w:rsid w:val="3C4D325F"/>
    <w:rsid w:val="3C5A2D1C"/>
    <w:rsid w:val="3C7941AB"/>
    <w:rsid w:val="3CB37024"/>
    <w:rsid w:val="3CC550C3"/>
    <w:rsid w:val="3CE47750"/>
    <w:rsid w:val="3D057F7D"/>
    <w:rsid w:val="3D0976C4"/>
    <w:rsid w:val="3D0B7BDA"/>
    <w:rsid w:val="3D284B01"/>
    <w:rsid w:val="3D3F380A"/>
    <w:rsid w:val="3D4752E9"/>
    <w:rsid w:val="3D7E34D1"/>
    <w:rsid w:val="3D8C258A"/>
    <w:rsid w:val="3DA7157D"/>
    <w:rsid w:val="3DCC5451"/>
    <w:rsid w:val="3E0347A6"/>
    <w:rsid w:val="3E37139E"/>
    <w:rsid w:val="3E3839DE"/>
    <w:rsid w:val="3E386E20"/>
    <w:rsid w:val="3E5C5F16"/>
    <w:rsid w:val="3E7E6A1E"/>
    <w:rsid w:val="3E8E3A4A"/>
    <w:rsid w:val="3E974BA8"/>
    <w:rsid w:val="3EA6303D"/>
    <w:rsid w:val="3ECB6600"/>
    <w:rsid w:val="3F3527DB"/>
    <w:rsid w:val="3F380C0A"/>
    <w:rsid w:val="3F610CAF"/>
    <w:rsid w:val="3F626F64"/>
    <w:rsid w:val="3F88629F"/>
    <w:rsid w:val="3F92191C"/>
    <w:rsid w:val="3FA42A17"/>
    <w:rsid w:val="3FB3075F"/>
    <w:rsid w:val="402F14D9"/>
    <w:rsid w:val="403501D5"/>
    <w:rsid w:val="4042437C"/>
    <w:rsid w:val="40437225"/>
    <w:rsid w:val="404B17A6"/>
    <w:rsid w:val="40666255"/>
    <w:rsid w:val="40852B71"/>
    <w:rsid w:val="40A56A55"/>
    <w:rsid w:val="40D04F96"/>
    <w:rsid w:val="40DC4AF4"/>
    <w:rsid w:val="412F650A"/>
    <w:rsid w:val="4148218A"/>
    <w:rsid w:val="4154383A"/>
    <w:rsid w:val="415826D8"/>
    <w:rsid w:val="416A77B2"/>
    <w:rsid w:val="41E4107E"/>
    <w:rsid w:val="42092064"/>
    <w:rsid w:val="42303F6E"/>
    <w:rsid w:val="424741EF"/>
    <w:rsid w:val="4253528A"/>
    <w:rsid w:val="427E562E"/>
    <w:rsid w:val="42C22B34"/>
    <w:rsid w:val="42C433F4"/>
    <w:rsid w:val="42E6571C"/>
    <w:rsid w:val="42F624A6"/>
    <w:rsid w:val="431C1B20"/>
    <w:rsid w:val="43297F3D"/>
    <w:rsid w:val="434C069A"/>
    <w:rsid w:val="4368266F"/>
    <w:rsid w:val="43707565"/>
    <w:rsid w:val="43814E59"/>
    <w:rsid w:val="4385144A"/>
    <w:rsid w:val="440F51E1"/>
    <w:rsid w:val="4412373D"/>
    <w:rsid w:val="444F55DD"/>
    <w:rsid w:val="44846EF4"/>
    <w:rsid w:val="448B20BD"/>
    <w:rsid w:val="449D27EC"/>
    <w:rsid w:val="44D00889"/>
    <w:rsid w:val="44DB3186"/>
    <w:rsid w:val="44F11AA7"/>
    <w:rsid w:val="453146CD"/>
    <w:rsid w:val="453170CF"/>
    <w:rsid w:val="45521917"/>
    <w:rsid w:val="455A36D4"/>
    <w:rsid w:val="45642733"/>
    <w:rsid w:val="457277D5"/>
    <w:rsid w:val="459A26C1"/>
    <w:rsid w:val="45F12DF0"/>
    <w:rsid w:val="45FB5915"/>
    <w:rsid w:val="45FD045D"/>
    <w:rsid w:val="460301D6"/>
    <w:rsid w:val="462875A5"/>
    <w:rsid w:val="462E6C0B"/>
    <w:rsid w:val="468B3E36"/>
    <w:rsid w:val="46A401F3"/>
    <w:rsid w:val="46B67F36"/>
    <w:rsid w:val="47077F50"/>
    <w:rsid w:val="474B4782"/>
    <w:rsid w:val="475A0EB2"/>
    <w:rsid w:val="475B3E56"/>
    <w:rsid w:val="475E4BEA"/>
    <w:rsid w:val="47766E62"/>
    <w:rsid w:val="477E46F8"/>
    <w:rsid w:val="479E21BE"/>
    <w:rsid w:val="47CB5980"/>
    <w:rsid w:val="47E7569B"/>
    <w:rsid w:val="47F372AA"/>
    <w:rsid w:val="481130BC"/>
    <w:rsid w:val="488739F0"/>
    <w:rsid w:val="48965ED0"/>
    <w:rsid w:val="48996C1F"/>
    <w:rsid w:val="48BA78DE"/>
    <w:rsid w:val="48C2276C"/>
    <w:rsid w:val="48CA70FD"/>
    <w:rsid w:val="48CB5058"/>
    <w:rsid w:val="48CC2435"/>
    <w:rsid w:val="490D4C4F"/>
    <w:rsid w:val="493F681B"/>
    <w:rsid w:val="495F62C2"/>
    <w:rsid w:val="49721256"/>
    <w:rsid w:val="499814CB"/>
    <w:rsid w:val="499C42E2"/>
    <w:rsid w:val="49FA026B"/>
    <w:rsid w:val="49FA3470"/>
    <w:rsid w:val="4A596B7C"/>
    <w:rsid w:val="4A5E3A23"/>
    <w:rsid w:val="4A6C0F31"/>
    <w:rsid w:val="4A743FEF"/>
    <w:rsid w:val="4A92373A"/>
    <w:rsid w:val="4AA043AA"/>
    <w:rsid w:val="4AAD73FA"/>
    <w:rsid w:val="4ABA51D3"/>
    <w:rsid w:val="4ABD1A49"/>
    <w:rsid w:val="4AD16E3D"/>
    <w:rsid w:val="4B17556D"/>
    <w:rsid w:val="4B46248B"/>
    <w:rsid w:val="4B5005B9"/>
    <w:rsid w:val="4B8D6483"/>
    <w:rsid w:val="4B994F91"/>
    <w:rsid w:val="4BBD33CE"/>
    <w:rsid w:val="4BC75233"/>
    <w:rsid w:val="4C3314F5"/>
    <w:rsid w:val="4C5B7BDE"/>
    <w:rsid w:val="4C623271"/>
    <w:rsid w:val="4C96649F"/>
    <w:rsid w:val="4CAA6DEC"/>
    <w:rsid w:val="4CBB5870"/>
    <w:rsid w:val="4D020F06"/>
    <w:rsid w:val="4D0A29E9"/>
    <w:rsid w:val="4D0E12D1"/>
    <w:rsid w:val="4D291727"/>
    <w:rsid w:val="4D2A6786"/>
    <w:rsid w:val="4D2B118A"/>
    <w:rsid w:val="4D3913B2"/>
    <w:rsid w:val="4D681C3A"/>
    <w:rsid w:val="4D8D2837"/>
    <w:rsid w:val="4D976B7C"/>
    <w:rsid w:val="4D981DA3"/>
    <w:rsid w:val="4DAA76F7"/>
    <w:rsid w:val="4DBE1C1A"/>
    <w:rsid w:val="4DEF06D0"/>
    <w:rsid w:val="4DFF0486"/>
    <w:rsid w:val="4DFF3300"/>
    <w:rsid w:val="4E0C0B2F"/>
    <w:rsid w:val="4EC877D1"/>
    <w:rsid w:val="4EDF237F"/>
    <w:rsid w:val="4EF94AC3"/>
    <w:rsid w:val="4F203DE0"/>
    <w:rsid w:val="4F28267F"/>
    <w:rsid w:val="4F3722E0"/>
    <w:rsid w:val="4F4F03FE"/>
    <w:rsid w:val="4F72431F"/>
    <w:rsid w:val="4FA90FFB"/>
    <w:rsid w:val="4FBE780A"/>
    <w:rsid w:val="4FF442B8"/>
    <w:rsid w:val="4FF74036"/>
    <w:rsid w:val="5023371B"/>
    <w:rsid w:val="50324731"/>
    <w:rsid w:val="503A7D50"/>
    <w:rsid w:val="5051105B"/>
    <w:rsid w:val="50573EE0"/>
    <w:rsid w:val="50687EE1"/>
    <w:rsid w:val="50825ABD"/>
    <w:rsid w:val="50847E24"/>
    <w:rsid w:val="508B2042"/>
    <w:rsid w:val="50A117D4"/>
    <w:rsid w:val="50BB2978"/>
    <w:rsid w:val="50DC48AF"/>
    <w:rsid w:val="50E97ADE"/>
    <w:rsid w:val="50F1625A"/>
    <w:rsid w:val="50F43794"/>
    <w:rsid w:val="510A2FB8"/>
    <w:rsid w:val="51226553"/>
    <w:rsid w:val="5124215A"/>
    <w:rsid w:val="51320B4E"/>
    <w:rsid w:val="51346287"/>
    <w:rsid w:val="517806BF"/>
    <w:rsid w:val="519B7926"/>
    <w:rsid w:val="51AE5EE8"/>
    <w:rsid w:val="51B15013"/>
    <w:rsid w:val="51E62428"/>
    <w:rsid w:val="51EE0B2B"/>
    <w:rsid w:val="521914C1"/>
    <w:rsid w:val="5222697F"/>
    <w:rsid w:val="522400A9"/>
    <w:rsid w:val="52462715"/>
    <w:rsid w:val="525E7A5F"/>
    <w:rsid w:val="527375B5"/>
    <w:rsid w:val="527821A3"/>
    <w:rsid w:val="52D93B7C"/>
    <w:rsid w:val="52E0721B"/>
    <w:rsid w:val="52E26BDA"/>
    <w:rsid w:val="52E7467F"/>
    <w:rsid w:val="530379C0"/>
    <w:rsid w:val="5318224A"/>
    <w:rsid w:val="53211D72"/>
    <w:rsid w:val="532A40A3"/>
    <w:rsid w:val="5334399F"/>
    <w:rsid w:val="533A3138"/>
    <w:rsid w:val="537D1372"/>
    <w:rsid w:val="53F00554"/>
    <w:rsid w:val="53F1001A"/>
    <w:rsid w:val="53FF22C9"/>
    <w:rsid w:val="54124691"/>
    <w:rsid w:val="542D593B"/>
    <w:rsid w:val="544E4D2A"/>
    <w:rsid w:val="54A52B04"/>
    <w:rsid w:val="54C01B2D"/>
    <w:rsid w:val="54F330A3"/>
    <w:rsid w:val="55036293"/>
    <w:rsid w:val="55061C05"/>
    <w:rsid w:val="550D4C7E"/>
    <w:rsid w:val="55361973"/>
    <w:rsid w:val="55826059"/>
    <w:rsid w:val="55B577AC"/>
    <w:rsid w:val="55B840E3"/>
    <w:rsid w:val="55D342C0"/>
    <w:rsid w:val="55DB4169"/>
    <w:rsid w:val="55E0512C"/>
    <w:rsid w:val="56021E2A"/>
    <w:rsid w:val="560A0CCC"/>
    <w:rsid w:val="560A7BA7"/>
    <w:rsid w:val="561E24B4"/>
    <w:rsid w:val="56575B04"/>
    <w:rsid w:val="567233E3"/>
    <w:rsid w:val="56813D12"/>
    <w:rsid w:val="56B535DD"/>
    <w:rsid w:val="56D53EDE"/>
    <w:rsid w:val="56FE0584"/>
    <w:rsid w:val="57081BCD"/>
    <w:rsid w:val="573B17CB"/>
    <w:rsid w:val="573D4E87"/>
    <w:rsid w:val="576F0F6A"/>
    <w:rsid w:val="57773ECE"/>
    <w:rsid w:val="5781514F"/>
    <w:rsid w:val="578D15B1"/>
    <w:rsid w:val="57A25E51"/>
    <w:rsid w:val="57A8352A"/>
    <w:rsid w:val="57E45843"/>
    <w:rsid w:val="57F77A99"/>
    <w:rsid w:val="58036FF1"/>
    <w:rsid w:val="581F31B7"/>
    <w:rsid w:val="585B2F03"/>
    <w:rsid w:val="5875340D"/>
    <w:rsid w:val="58803767"/>
    <w:rsid w:val="58807951"/>
    <w:rsid w:val="58DF4006"/>
    <w:rsid w:val="590B5B1F"/>
    <w:rsid w:val="591D14AE"/>
    <w:rsid w:val="591F64C4"/>
    <w:rsid w:val="59272B65"/>
    <w:rsid w:val="59284BD5"/>
    <w:rsid w:val="593928F1"/>
    <w:rsid w:val="596E2614"/>
    <w:rsid w:val="59847F15"/>
    <w:rsid w:val="599A115E"/>
    <w:rsid w:val="59B30F36"/>
    <w:rsid w:val="59E35308"/>
    <w:rsid w:val="5A151319"/>
    <w:rsid w:val="5A5F0850"/>
    <w:rsid w:val="5A641970"/>
    <w:rsid w:val="5A7E4921"/>
    <w:rsid w:val="5A8A3DB1"/>
    <w:rsid w:val="5A972372"/>
    <w:rsid w:val="5AA449B7"/>
    <w:rsid w:val="5AA9184E"/>
    <w:rsid w:val="5AD433FA"/>
    <w:rsid w:val="5ADC5520"/>
    <w:rsid w:val="5AE31628"/>
    <w:rsid w:val="5B1B7F7F"/>
    <w:rsid w:val="5B567818"/>
    <w:rsid w:val="5B747B40"/>
    <w:rsid w:val="5BA3302A"/>
    <w:rsid w:val="5BC85BF2"/>
    <w:rsid w:val="5BD15CD7"/>
    <w:rsid w:val="5BD62506"/>
    <w:rsid w:val="5BEC7E8A"/>
    <w:rsid w:val="5BF6048D"/>
    <w:rsid w:val="5C177FAF"/>
    <w:rsid w:val="5C281CBF"/>
    <w:rsid w:val="5C375F97"/>
    <w:rsid w:val="5C3F2313"/>
    <w:rsid w:val="5C7F704A"/>
    <w:rsid w:val="5CCE08FE"/>
    <w:rsid w:val="5CD003EE"/>
    <w:rsid w:val="5CDB0255"/>
    <w:rsid w:val="5CED0783"/>
    <w:rsid w:val="5D0040C4"/>
    <w:rsid w:val="5D0B433F"/>
    <w:rsid w:val="5D1B5705"/>
    <w:rsid w:val="5D3868D0"/>
    <w:rsid w:val="5D3D5F84"/>
    <w:rsid w:val="5D464C29"/>
    <w:rsid w:val="5D72396D"/>
    <w:rsid w:val="5D771884"/>
    <w:rsid w:val="5D96394F"/>
    <w:rsid w:val="5DB152AB"/>
    <w:rsid w:val="5DCC1CA1"/>
    <w:rsid w:val="5DE673E1"/>
    <w:rsid w:val="5DF6043F"/>
    <w:rsid w:val="5DFE13F7"/>
    <w:rsid w:val="5E0A56D8"/>
    <w:rsid w:val="5E1E33A9"/>
    <w:rsid w:val="5E230800"/>
    <w:rsid w:val="5E271CE1"/>
    <w:rsid w:val="5E3B3CA9"/>
    <w:rsid w:val="5E53162C"/>
    <w:rsid w:val="5E826883"/>
    <w:rsid w:val="5EBF1A24"/>
    <w:rsid w:val="5ECB00B9"/>
    <w:rsid w:val="5F096FA4"/>
    <w:rsid w:val="5F103D27"/>
    <w:rsid w:val="5F2C537D"/>
    <w:rsid w:val="5F88394B"/>
    <w:rsid w:val="5F8A6E4E"/>
    <w:rsid w:val="5F8F7F42"/>
    <w:rsid w:val="5F924DC1"/>
    <w:rsid w:val="5FB95257"/>
    <w:rsid w:val="5FD93159"/>
    <w:rsid w:val="5FE837F5"/>
    <w:rsid w:val="5FF6617D"/>
    <w:rsid w:val="5FFE2592"/>
    <w:rsid w:val="600B28A8"/>
    <w:rsid w:val="603C20A0"/>
    <w:rsid w:val="604134CD"/>
    <w:rsid w:val="60BC2341"/>
    <w:rsid w:val="60DB75D3"/>
    <w:rsid w:val="60E109FE"/>
    <w:rsid w:val="610C6769"/>
    <w:rsid w:val="612E0BD6"/>
    <w:rsid w:val="61642270"/>
    <w:rsid w:val="61720555"/>
    <w:rsid w:val="617B7331"/>
    <w:rsid w:val="618668C8"/>
    <w:rsid w:val="61AC5125"/>
    <w:rsid w:val="61B13F9A"/>
    <w:rsid w:val="61BC05B0"/>
    <w:rsid w:val="61C444E4"/>
    <w:rsid w:val="62007B87"/>
    <w:rsid w:val="626B4E79"/>
    <w:rsid w:val="627D15E7"/>
    <w:rsid w:val="62851CDD"/>
    <w:rsid w:val="62A261BB"/>
    <w:rsid w:val="62A71108"/>
    <w:rsid w:val="62B12EE3"/>
    <w:rsid w:val="62C872A0"/>
    <w:rsid w:val="62E36596"/>
    <w:rsid w:val="632623AE"/>
    <w:rsid w:val="6334467B"/>
    <w:rsid w:val="634467FD"/>
    <w:rsid w:val="63464323"/>
    <w:rsid w:val="634B6A33"/>
    <w:rsid w:val="63537050"/>
    <w:rsid w:val="6366073D"/>
    <w:rsid w:val="637451BA"/>
    <w:rsid w:val="63856835"/>
    <w:rsid w:val="638C7095"/>
    <w:rsid w:val="6390559E"/>
    <w:rsid w:val="639C03E7"/>
    <w:rsid w:val="63DD630A"/>
    <w:rsid w:val="640815D9"/>
    <w:rsid w:val="64433CA2"/>
    <w:rsid w:val="64481CC9"/>
    <w:rsid w:val="648264B3"/>
    <w:rsid w:val="64992B79"/>
    <w:rsid w:val="64A83485"/>
    <w:rsid w:val="64B74F47"/>
    <w:rsid w:val="64B865EA"/>
    <w:rsid w:val="64CD45D0"/>
    <w:rsid w:val="64EB5CA0"/>
    <w:rsid w:val="64F91C54"/>
    <w:rsid w:val="65031CD1"/>
    <w:rsid w:val="650352E9"/>
    <w:rsid w:val="65053E1E"/>
    <w:rsid w:val="65054FBD"/>
    <w:rsid w:val="650B73ED"/>
    <w:rsid w:val="65367D38"/>
    <w:rsid w:val="65420171"/>
    <w:rsid w:val="654B6C2E"/>
    <w:rsid w:val="65526949"/>
    <w:rsid w:val="656F052A"/>
    <w:rsid w:val="65D5075D"/>
    <w:rsid w:val="65FC49E9"/>
    <w:rsid w:val="662A0A38"/>
    <w:rsid w:val="66486107"/>
    <w:rsid w:val="66494234"/>
    <w:rsid w:val="665011DF"/>
    <w:rsid w:val="665E1984"/>
    <w:rsid w:val="6684029B"/>
    <w:rsid w:val="669A7F65"/>
    <w:rsid w:val="66B35A7A"/>
    <w:rsid w:val="66D76328"/>
    <w:rsid w:val="66E50D0E"/>
    <w:rsid w:val="66EC2A81"/>
    <w:rsid w:val="66EF407B"/>
    <w:rsid w:val="67247A5C"/>
    <w:rsid w:val="672B1A53"/>
    <w:rsid w:val="67BF537A"/>
    <w:rsid w:val="67C30AB2"/>
    <w:rsid w:val="680C0D40"/>
    <w:rsid w:val="682F10B1"/>
    <w:rsid w:val="68356C48"/>
    <w:rsid w:val="68390BAB"/>
    <w:rsid w:val="68656C69"/>
    <w:rsid w:val="68946DA9"/>
    <w:rsid w:val="68E77426"/>
    <w:rsid w:val="691C697F"/>
    <w:rsid w:val="693A0334"/>
    <w:rsid w:val="69836008"/>
    <w:rsid w:val="69841C93"/>
    <w:rsid w:val="69892653"/>
    <w:rsid w:val="69CC7479"/>
    <w:rsid w:val="69D14BAF"/>
    <w:rsid w:val="69E43C45"/>
    <w:rsid w:val="69F5715D"/>
    <w:rsid w:val="6A102F95"/>
    <w:rsid w:val="6A245CA2"/>
    <w:rsid w:val="6A270136"/>
    <w:rsid w:val="6A5128E7"/>
    <w:rsid w:val="6A555782"/>
    <w:rsid w:val="6A617017"/>
    <w:rsid w:val="6A62085F"/>
    <w:rsid w:val="6A7E470B"/>
    <w:rsid w:val="6A884EEC"/>
    <w:rsid w:val="6A897109"/>
    <w:rsid w:val="6A9F20FF"/>
    <w:rsid w:val="6AC04C83"/>
    <w:rsid w:val="6AEF0C5E"/>
    <w:rsid w:val="6AF428B7"/>
    <w:rsid w:val="6AFB7996"/>
    <w:rsid w:val="6B1A1EAA"/>
    <w:rsid w:val="6B31046B"/>
    <w:rsid w:val="6B400911"/>
    <w:rsid w:val="6B41632D"/>
    <w:rsid w:val="6BA0669E"/>
    <w:rsid w:val="6BCB6198"/>
    <w:rsid w:val="6BD95429"/>
    <w:rsid w:val="6BDB0CD4"/>
    <w:rsid w:val="6C040682"/>
    <w:rsid w:val="6C07483E"/>
    <w:rsid w:val="6C1908AC"/>
    <w:rsid w:val="6C1C3133"/>
    <w:rsid w:val="6C2D5854"/>
    <w:rsid w:val="6C31709F"/>
    <w:rsid w:val="6C6D2D0D"/>
    <w:rsid w:val="6C7453DE"/>
    <w:rsid w:val="6C7A7B55"/>
    <w:rsid w:val="6C855301"/>
    <w:rsid w:val="6CA43E69"/>
    <w:rsid w:val="6CBC13F4"/>
    <w:rsid w:val="6CD25BDE"/>
    <w:rsid w:val="6CD5135C"/>
    <w:rsid w:val="6D016666"/>
    <w:rsid w:val="6D1E589D"/>
    <w:rsid w:val="6D1F041D"/>
    <w:rsid w:val="6D416FE9"/>
    <w:rsid w:val="6D497562"/>
    <w:rsid w:val="6D4C79DE"/>
    <w:rsid w:val="6D6B4986"/>
    <w:rsid w:val="6D741A8D"/>
    <w:rsid w:val="6D8650A8"/>
    <w:rsid w:val="6DA97C2D"/>
    <w:rsid w:val="6DF767A3"/>
    <w:rsid w:val="6E000787"/>
    <w:rsid w:val="6E091096"/>
    <w:rsid w:val="6E0F4367"/>
    <w:rsid w:val="6E1B05F6"/>
    <w:rsid w:val="6E2867D1"/>
    <w:rsid w:val="6E3807C8"/>
    <w:rsid w:val="6E4352D1"/>
    <w:rsid w:val="6E737441"/>
    <w:rsid w:val="6E901187"/>
    <w:rsid w:val="6EBC030F"/>
    <w:rsid w:val="6ECD2496"/>
    <w:rsid w:val="6EE7690C"/>
    <w:rsid w:val="6EFE371D"/>
    <w:rsid w:val="6F2F55F5"/>
    <w:rsid w:val="6F4A2EBA"/>
    <w:rsid w:val="6F64004E"/>
    <w:rsid w:val="6F833ED3"/>
    <w:rsid w:val="6F9064F8"/>
    <w:rsid w:val="6FE31E38"/>
    <w:rsid w:val="70031017"/>
    <w:rsid w:val="700B69B6"/>
    <w:rsid w:val="7016717C"/>
    <w:rsid w:val="701F46BD"/>
    <w:rsid w:val="704F6C8A"/>
    <w:rsid w:val="70512CBB"/>
    <w:rsid w:val="70885675"/>
    <w:rsid w:val="70B7737C"/>
    <w:rsid w:val="70B85B96"/>
    <w:rsid w:val="70D06298"/>
    <w:rsid w:val="70D37054"/>
    <w:rsid w:val="71263532"/>
    <w:rsid w:val="7152350D"/>
    <w:rsid w:val="72085F0E"/>
    <w:rsid w:val="723F7594"/>
    <w:rsid w:val="7248108B"/>
    <w:rsid w:val="724A05E8"/>
    <w:rsid w:val="724D54DA"/>
    <w:rsid w:val="72811853"/>
    <w:rsid w:val="72BC0523"/>
    <w:rsid w:val="72D37019"/>
    <w:rsid w:val="7306762B"/>
    <w:rsid w:val="73784233"/>
    <w:rsid w:val="738C1DEC"/>
    <w:rsid w:val="73CD5085"/>
    <w:rsid w:val="73FD0B65"/>
    <w:rsid w:val="741065A6"/>
    <w:rsid w:val="74177D49"/>
    <w:rsid w:val="74261C2A"/>
    <w:rsid w:val="743D707D"/>
    <w:rsid w:val="743E4FDA"/>
    <w:rsid w:val="74454306"/>
    <w:rsid w:val="745D14B7"/>
    <w:rsid w:val="746C7516"/>
    <w:rsid w:val="74824798"/>
    <w:rsid w:val="749E4EA7"/>
    <w:rsid w:val="74A964C0"/>
    <w:rsid w:val="74BE1A94"/>
    <w:rsid w:val="74F636CF"/>
    <w:rsid w:val="7502185A"/>
    <w:rsid w:val="751F5A9C"/>
    <w:rsid w:val="7553092D"/>
    <w:rsid w:val="755B7EA8"/>
    <w:rsid w:val="75761255"/>
    <w:rsid w:val="7595642F"/>
    <w:rsid w:val="759A405B"/>
    <w:rsid w:val="76075D1D"/>
    <w:rsid w:val="763F7F9F"/>
    <w:rsid w:val="76495049"/>
    <w:rsid w:val="76880357"/>
    <w:rsid w:val="769F52A1"/>
    <w:rsid w:val="76EE55AC"/>
    <w:rsid w:val="76F220C7"/>
    <w:rsid w:val="772671D2"/>
    <w:rsid w:val="772E0EFE"/>
    <w:rsid w:val="77405661"/>
    <w:rsid w:val="77440E21"/>
    <w:rsid w:val="779F79D2"/>
    <w:rsid w:val="77A24B7F"/>
    <w:rsid w:val="77AE4C12"/>
    <w:rsid w:val="78121F2E"/>
    <w:rsid w:val="78344EE6"/>
    <w:rsid w:val="783A61D4"/>
    <w:rsid w:val="7844255D"/>
    <w:rsid w:val="78444A87"/>
    <w:rsid w:val="784721A0"/>
    <w:rsid w:val="785949AF"/>
    <w:rsid w:val="786A240A"/>
    <w:rsid w:val="7885742D"/>
    <w:rsid w:val="78972FCD"/>
    <w:rsid w:val="789B0921"/>
    <w:rsid w:val="78B54A54"/>
    <w:rsid w:val="78D53684"/>
    <w:rsid w:val="78D90277"/>
    <w:rsid w:val="78F66B43"/>
    <w:rsid w:val="78FD7797"/>
    <w:rsid w:val="7907149F"/>
    <w:rsid w:val="79103FC2"/>
    <w:rsid w:val="792E5ADB"/>
    <w:rsid w:val="793A736F"/>
    <w:rsid w:val="795A6E1D"/>
    <w:rsid w:val="79630533"/>
    <w:rsid w:val="7972680A"/>
    <w:rsid w:val="79B35723"/>
    <w:rsid w:val="7A030083"/>
    <w:rsid w:val="7A30281E"/>
    <w:rsid w:val="7A435623"/>
    <w:rsid w:val="7A5A4664"/>
    <w:rsid w:val="7A990E28"/>
    <w:rsid w:val="7AE91EF7"/>
    <w:rsid w:val="7AF00FBF"/>
    <w:rsid w:val="7B0D6371"/>
    <w:rsid w:val="7B425546"/>
    <w:rsid w:val="7B5E2D46"/>
    <w:rsid w:val="7B62387C"/>
    <w:rsid w:val="7B631AB3"/>
    <w:rsid w:val="7B715A61"/>
    <w:rsid w:val="7B7C01F3"/>
    <w:rsid w:val="7B8E0777"/>
    <w:rsid w:val="7B9A1458"/>
    <w:rsid w:val="7BB0072A"/>
    <w:rsid w:val="7BB816DF"/>
    <w:rsid w:val="7BBE440E"/>
    <w:rsid w:val="7BC71E77"/>
    <w:rsid w:val="7BD04C7A"/>
    <w:rsid w:val="7BF662EE"/>
    <w:rsid w:val="7BF7021D"/>
    <w:rsid w:val="7C536936"/>
    <w:rsid w:val="7C585E3C"/>
    <w:rsid w:val="7C816FEB"/>
    <w:rsid w:val="7C9B7036"/>
    <w:rsid w:val="7CE945FD"/>
    <w:rsid w:val="7CF01E50"/>
    <w:rsid w:val="7D050953"/>
    <w:rsid w:val="7D254BDC"/>
    <w:rsid w:val="7D2D083F"/>
    <w:rsid w:val="7D703797"/>
    <w:rsid w:val="7D783084"/>
    <w:rsid w:val="7D90280C"/>
    <w:rsid w:val="7DBF013E"/>
    <w:rsid w:val="7DD11077"/>
    <w:rsid w:val="7DF7205D"/>
    <w:rsid w:val="7E2F10EE"/>
    <w:rsid w:val="7E597CD7"/>
    <w:rsid w:val="7E5A355A"/>
    <w:rsid w:val="7E8D4709"/>
    <w:rsid w:val="7E920A8D"/>
    <w:rsid w:val="7EA64C16"/>
    <w:rsid w:val="7EB0558F"/>
    <w:rsid w:val="7EC363D0"/>
    <w:rsid w:val="7EE470A3"/>
    <w:rsid w:val="7EEC2BF9"/>
    <w:rsid w:val="7EEF7D5C"/>
    <w:rsid w:val="7EF62377"/>
    <w:rsid w:val="7EF96EB6"/>
    <w:rsid w:val="7EFF54A2"/>
    <w:rsid w:val="7F0A2079"/>
    <w:rsid w:val="7F1B49D7"/>
    <w:rsid w:val="7F3D15CE"/>
    <w:rsid w:val="7F4A43D7"/>
    <w:rsid w:val="7FA6487B"/>
    <w:rsid w:val="7FAC3308"/>
    <w:rsid w:val="7FB31839"/>
    <w:rsid w:val="7FBA00B3"/>
    <w:rsid w:val="7FD36AE7"/>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Normal Indent"/>
    <w:basedOn w:val="1"/>
    <w:link w:val="39"/>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1"/>
    <w:qFormat/>
    <w:uiPriority w:val="0"/>
    <w:rPr>
      <w:rFonts w:ascii="宋体"/>
      <w:sz w:val="18"/>
      <w:szCs w:val="18"/>
    </w:rPr>
  </w:style>
  <w:style w:type="paragraph" w:styleId="8">
    <w:name w:val="annotation text"/>
    <w:basedOn w:val="1"/>
    <w:link w:val="32"/>
    <w:qFormat/>
    <w:uiPriority w:val="99"/>
    <w:pPr>
      <w:jc w:val="left"/>
    </w:pPr>
    <w:rPr>
      <w:rFonts w:ascii="仿宋_GB2312" w:eastAsia="仿宋_GB2312"/>
      <w:sz w:val="32"/>
      <w:szCs w:val="32"/>
    </w:rPr>
  </w:style>
  <w:style w:type="paragraph" w:styleId="9">
    <w:name w:val="Body Text Indent"/>
    <w:basedOn w:val="1"/>
    <w:link w:val="38"/>
    <w:qFormat/>
    <w:uiPriority w:val="0"/>
    <w:pPr>
      <w:spacing w:after="120"/>
      <w:ind w:left="420" w:leftChars="200"/>
    </w:pPr>
  </w:style>
  <w:style w:type="paragraph" w:styleId="10">
    <w:name w:val="toc 3"/>
    <w:basedOn w:val="1"/>
    <w:next w:val="1"/>
    <w:link w:val="35"/>
    <w:qFormat/>
    <w:uiPriority w:val="39"/>
    <w:pPr>
      <w:spacing w:line="500" w:lineRule="exact"/>
      <w:ind w:left="400" w:leftChars="400"/>
    </w:pPr>
    <w:rPr>
      <w:kern w:val="0"/>
      <w:sz w:val="24"/>
      <w:szCs w:val="20"/>
    </w:rPr>
  </w:style>
  <w:style w:type="paragraph" w:styleId="11">
    <w:name w:val="Plain Text"/>
    <w:basedOn w:val="1"/>
    <w:link w:val="36"/>
    <w:qFormat/>
    <w:uiPriority w:val="0"/>
    <w:rPr>
      <w:rFonts w:ascii="宋体" w:hAnsi="Courier New"/>
      <w:szCs w:val="20"/>
    </w:rPr>
  </w:style>
  <w:style w:type="paragraph" w:styleId="12">
    <w:name w:val="Date"/>
    <w:basedOn w:val="1"/>
    <w:next w:val="1"/>
    <w:link w:val="40"/>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0">
    <w:name w:val="index 1"/>
    <w:basedOn w:val="1"/>
    <w:next w:val="1"/>
    <w:semiHidden/>
    <w:qFormat/>
    <w:uiPriority w:val="0"/>
    <w:rPr>
      <w:szCs w:val="20"/>
    </w:rPr>
  </w:style>
  <w:style w:type="paragraph" w:styleId="21">
    <w:name w:val="annotation subject"/>
    <w:basedOn w:val="8"/>
    <w:next w:val="8"/>
    <w:semiHidden/>
    <w:qFormat/>
    <w:uiPriority w:val="0"/>
    <w:rPr>
      <w:rFonts w:ascii="Times New Roman" w:eastAsia="宋体"/>
      <w:b/>
      <w:bCs/>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99"/>
    <w:rPr>
      <w:color w:val="0000FF"/>
      <w:u w:val="single"/>
    </w:rPr>
  </w:style>
  <w:style w:type="character" w:styleId="29">
    <w:name w:val="annotation reference"/>
    <w:semiHidden/>
    <w:qFormat/>
    <w:uiPriority w:val="99"/>
    <w:rPr>
      <w:sz w:val="21"/>
      <w:szCs w:val="21"/>
    </w:rPr>
  </w:style>
  <w:style w:type="paragraph" w:customStyle="1" w:styleId="30">
    <w:name w:val="正文 New"/>
    <w:basedOn w:val="1"/>
    <w:qFormat/>
    <w:uiPriority w:val="0"/>
    <w:pPr>
      <w:spacing w:before="100" w:beforeAutospacing="1" w:after="100" w:afterAutospacing="1" w:line="440" w:lineRule="exact"/>
      <w:ind w:left="357" w:hanging="357"/>
    </w:pPr>
    <w:rPr>
      <w:szCs w:val="21"/>
    </w:rPr>
  </w:style>
  <w:style w:type="character" w:customStyle="1" w:styleId="31">
    <w:name w:val="文档结构图 Char"/>
    <w:link w:val="7"/>
    <w:qFormat/>
    <w:uiPriority w:val="0"/>
    <w:rPr>
      <w:rFonts w:ascii="宋体" w:eastAsia="宋体"/>
      <w:kern w:val="2"/>
      <w:sz w:val="18"/>
      <w:szCs w:val="18"/>
      <w:lang w:val="en-US" w:eastAsia="zh-CN" w:bidi="ar-SA"/>
    </w:rPr>
  </w:style>
  <w:style w:type="character" w:customStyle="1" w:styleId="32">
    <w:name w:val="批注文字 Char"/>
    <w:link w:val="8"/>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目录 3 Char"/>
    <w:link w:val="10"/>
    <w:qFormat/>
    <w:uiPriority w:val="39"/>
    <w:rPr>
      <w:sz w:val="24"/>
    </w:rPr>
  </w:style>
  <w:style w:type="character" w:customStyle="1" w:styleId="36">
    <w:name w:val="纯文本 Char"/>
    <w:link w:val="11"/>
    <w:qFormat/>
    <w:uiPriority w:val="0"/>
    <w:rPr>
      <w:rFonts w:ascii="宋体" w:hAnsi="Courier New"/>
      <w:kern w:val="2"/>
      <w:sz w:val="21"/>
    </w:rPr>
  </w:style>
  <w:style w:type="character" w:customStyle="1" w:styleId="37">
    <w:name w:val="页脚 Char"/>
    <w:basedOn w:val="24"/>
    <w:link w:val="15"/>
    <w:qFormat/>
    <w:uiPriority w:val="99"/>
    <w:rPr>
      <w:kern w:val="2"/>
      <w:sz w:val="18"/>
      <w:szCs w:val="18"/>
    </w:rPr>
  </w:style>
  <w:style w:type="character" w:customStyle="1" w:styleId="38">
    <w:name w:val="正文文本缩进 Char"/>
    <w:link w:val="9"/>
    <w:qFormat/>
    <w:uiPriority w:val="0"/>
  </w:style>
  <w:style w:type="character" w:customStyle="1" w:styleId="39">
    <w:name w:val="正文缩进 Char"/>
    <w:link w:val="5"/>
    <w:qFormat/>
    <w:uiPriority w:val="0"/>
    <w:rPr>
      <w:rFonts w:ascii="宋体" w:eastAsia="宋体"/>
      <w:sz w:val="24"/>
      <w:lang w:val="en-US" w:eastAsia="zh-CN" w:bidi="ar-SA"/>
    </w:rPr>
  </w:style>
  <w:style w:type="character" w:customStyle="1" w:styleId="40">
    <w:name w:val="日期 Char"/>
    <w:basedOn w:val="24"/>
    <w:link w:val="12"/>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4"/>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6"/>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4">
    <w:name w:val="List Paragraph"/>
    <w:basedOn w:val="1"/>
    <w:qFormat/>
    <w:uiPriority w:val="99"/>
    <w:pPr>
      <w:ind w:firstLine="420" w:firstLineChars="200"/>
    </w:pPr>
  </w:style>
  <w:style w:type="character" w:customStyle="1" w:styleId="55">
    <w:name w:val="批注文字 Char1"/>
    <w:basedOn w:val="24"/>
    <w:semiHidden/>
    <w:qFormat/>
    <w:uiPriority w:val="99"/>
    <w:rPr>
      <w:rFonts w:ascii="Times New Roman" w:hAnsi="Times New Roman" w:eastAsia="宋体" w:cs="Times New Roman"/>
      <w:szCs w:val="24"/>
    </w:rPr>
  </w:style>
  <w:style w:type="table" w:customStyle="1" w:styleId="56">
    <w:name w:val="TableGrid"/>
    <w:qFormat/>
    <w:uiPriority w:val="0"/>
    <w:rPr>
      <w:kern w:val="2"/>
      <w:sz w:val="21"/>
      <w:szCs w:val="22"/>
    </w:rPr>
    <w:tblPr>
      <w:tblCellMar>
        <w:top w:w="0" w:type="dxa"/>
        <w:left w:w="0" w:type="dxa"/>
        <w:bottom w:w="0" w:type="dxa"/>
        <w:right w:w="0" w:type="dxa"/>
      </w:tblCellMar>
    </w:tbl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character" w:customStyle="1" w:styleId="58">
    <w:name w:val="font21"/>
    <w:basedOn w:val="24"/>
    <w:qFormat/>
    <w:uiPriority w:val="0"/>
    <w:rPr>
      <w:rFonts w:hint="eastAsia" w:ascii="华文仿宋" w:hAnsi="华文仿宋" w:eastAsia="华文仿宋" w:cs="华文仿宋"/>
      <w:color w:val="000000"/>
      <w:sz w:val="20"/>
      <w:szCs w:val="20"/>
      <w:u w:val="none"/>
    </w:rPr>
  </w:style>
  <w:style w:type="character" w:customStyle="1" w:styleId="59">
    <w:name w:val="font41"/>
    <w:basedOn w:val="24"/>
    <w:qFormat/>
    <w:uiPriority w:val="0"/>
    <w:rPr>
      <w:rFonts w:hint="eastAsia" w:ascii="华文仿宋" w:hAnsi="华文仿宋" w:eastAsia="华文仿宋" w:cs="华文仿宋"/>
      <w:b/>
      <w:bCs/>
      <w:color w:val="000000"/>
      <w:sz w:val="20"/>
      <w:szCs w:val="20"/>
      <w:u w:val="none"/>
    </w:rPr>
  </w:style>
  <w:style w:type="character" w:customStyle="1" w:styleId="60">
    <w:name w:val="font51"/>
    <w:basedOn w:val="24"/>
    <w:qFormat/>
    <w:uiPriority w:val="0"/>
    <w:rPr>
      <w:rFonts w:hint="eastAsia" w:ascii="华文仿宋" w:hAnsi="华文仿宋" w:eastAsia="华文仿宋" w:cs="华文仿宋"/>
      <w:b/>
      <w:bCs/>
      <w:color w:val="000000"/>
      <w:sz w:val="20"/>
      <w:szCs w:val="20"/>
      <w:u w:val="none"/>
    </w:rPr>
  </w:style>
  <w:style w:type="character" w:customStyle="1" w:styleId="61">
    <w:name w:val="font61"/>
    <w:basedOn w:val="24"/>
    <w:qFormat/>
    <w:uiPriority w:val="0"/>
    <w:rPr>
      <w:rFonts w:hint="eastAsia" w:ascii="华文仿宋" w:hAnsi="华文仿宋" w:eastAsia="华文仿宋" w:cs="华文仿宋"/>
      <w:color w:val="FF26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20A06-AC6D-4082-B73D-6A96C5B5F13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17074</Words>
  <Characters>18403</Characters>
  <Lines>170</Lines>
  <Paragraphs>47</Paragraphs>
  <TotalTime>96</TotalTime>
  <ScaleCrop>false</ScaleCrop>
  <LinksUpToDate>false</LinksUpToDate>
  <CharactersWithSpaces>22043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2022-06-18T04:55:00Z</dcterms:created>
  <dc:creator>LF</dc:creator>
  <cp:lastModifiedBy>随便</cp:lastModifiedBy>
  <cp:lastPrinted>2023-02-07T07:16:00Z</cp:lastPrinted>
  <dcterms:modified xsi:type="dcterms:W3CDTF">2023-02-22T08:07:27Z</dcterms:modified>
  <dc:title>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4079E13C990D4A3CA711F35A4CA596B5</vt:lpwstr>
  </property>
</Properties>
</file>