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5" w:rsidRDefault="00513105" w:rsidP="00513105">
      <w:pPr>
        <w:overflowPunct w:val="0"/>
        <w:snapToGrid w:val="0"/>
        <w:contextualSpacing/>
        <w:rPr>
          <w:rFonts w:ascii="Times New Roman" w:eastAsia="黑体" w:hAnsi="Times New Roman"/>
          <w:snapToGrid w:val="0"/>
          <w:sz w:val="28"/>
          <w:szCs w:val="28"/>
        </w:rPr>
      </w:pPr>
      <w:r>
        <w:rPr>
          <w:rFonts w:ascii="Times New Roman" w:eastAsia="黑体" w:hAnsi="Times New Roman"/>
          <w:snapToGrid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snapToGrid w:val="0"/>
          <w:sz w:val="28"/>
          <w:szCs w:val="28"/>
        </w:rPr>
        <w:t>2</w:t>
      </w:r>
      <w:r>
        <w:rPr>
          <w:rFonts w:ascii="Times New Roman" w:eastAsia="黑体" w:hAnsi="Times New Roman" w:hint="eastAsia"/>
          <w:snapToGrid w:val="0"/>
          <w:sz w:val="28"/>
          <w:szCs w:val="28"/>
        </w:rPr>
        <w:t>：</w:t>
      </w:r>
    </w:p>
    <w:p w:rsidR="000C5E9E" w:rsidRPr="00513105" w:rsidRDefault="00513105" w:rsidP="00513105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513105">
        <w:rPr>
          <w:rFonts w:ascii="Times New Roman" w:eastAsia="方正小标宋简体" w:hAnsi="Times New Roman"/>
          <w:sz w:val="32"/>
          <w:szCs w:val="32"/>
        </w:rPr>
        <w:t>20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21</w:t>
      </w:r>
      <w:r w:rsidRPr="00513105">
        <w:rPr>
          <w:rFonts w:ascii="Times New Roman" w:eastAsia="方正小标宋简体" w:hAnsi="Times New Roman"/>
          <w:sz w:val="32"/>
          <w:szCs w:val="32"/>
        </w:rPr>
        <w:t>年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安庆</w:t>
      </w:r>
      <w:r w:rsidRPr="00513105">
        <w:rPr>
          <w:rFonts w:ascii="Times New Roman" w:eastAsia="方正小标宋简体" w:hAnsi="Times New Roman"/>
          <w:sz w:val="32"/>
          <w:szCs w:val="32"/>
        </w:rPr>
        <w:t>职业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技术学院教师</w:t>
      </w:r>
      <w:r w:rsidRPr="00513105">
        <w:rPr>
          <w:rFonts w:ascii="Times New Roman" w:eastAsia="方正小标宋简体" w:hAnsi="Times New Roman"/>
          <w:sz w:val="32"/>
          <w:szCs w:val="32"/>
        </w:rPr>
        <w:t>教学能力比赛评分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标准</w:t>
      </w:r>
    </w:p>
    <w:p w:rsidR="000C5E9E" w:rsidRPr="00C40C52" w:rsidRDefault="00C40C52" w:rsidP="00C40C52">
      <w:pPr>
        <w:jc w:val="center"/>
        <w:rPr>
          <w:rFonts w:asciiTheme="majorEastAsia" w:eastAsiaTheme="majorEastAsia" w:hAnsiTheme="majorEastAsia" w:cs="宋体"/>
          <w:b/>
          <w:bCs/>
          <w:color w:val="000000"/>
          <w:sz w:val="30"/>
          <w:szCs w:val="30"/>
        </w:rPr>
      </w:pPr>
      <w:r w:rsidRPr="00C40C52">
        <w:rPr>
          <w:rFonts w:ascii="Times New Roman" w:eastAsia="方正小标宋简体" w:hAnsi="Times New Roman" w:hint="eastAsia"/>
          <w:sz w:val="30"/>
          <w:szCs w:val="30"/>
        </w:rPr>
        <w:t>公共基础课评分标准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48"/>
        <w:gridCol w:w="7386"/>
      </w:tblGrid>
      <w:tr w:rsidR="000C5E9E" w:rsidTr="00C40C52">
        <w:trPr>
          <w:cantSplit/>
          <w:trHeight w:val="646"/>
          <w:tblHeader/>
          <w:jc w:val="center"/>
        </w:trPr>
        <w:tc>
          <w:tcPr>
            <w:tcW w:w="1086" w:type="dxa"/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bookmarkStart w:id="0" w:name="_Hlk10491916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指标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分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值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评价要素</w:t>
            </w:r>
          </w:p>
        </w:tc>
      </w:tr>
      <w:tr w:rsidR="000C5E9E" w:rsidTr="00C40C52">
        <w:trPr>
          <w:cantSplit/>
          <w:trHeight w:val="1832"/>
          <w:jc w:val="center"/>
        </w:trPr>
        <w:tc>
          <w:tcPr>
            <w:tcW w:w="1086" w:type="dxa"/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目标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学情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适应新时代对技术技能人才培养的新要求，符合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教育部发布的公共基础课程标准有关要求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，紧扣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学校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专业人才培养方案和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课程教学安排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，强调培育学生的学习能力、信息素养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、精益求精的工匠精神和爱岗敬业的劳动态度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教学目标表述明确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、相互关联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，重点突出、可评可测。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客观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分析学生的知识基础、认知能力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、学习特点、专业特性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等，详实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反映学生整体与个体情况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数据，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准确预判教学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难点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及其掌握可能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Tr="00C40C52">
        <w:trPr>
          <w:cantSplit/>
          <w:trHeight w:val="2681"/>
          <w:jc w:val="center"/>
        </w:trPr>
        <w:tc>
          <w:tcPr>
            <w:tcW w:w="1086" w:type="dxa"/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内容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策略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 w:hint="eastAsia"/>
              </w:rPr>
              <w:t xml:space="preserve"> 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思政课程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按照“八个相统一”要求扎实推进创优建设，其他课程注重落实课程思政要求；联系时代发展和社会生活，结合课程特点有机融入劳动教育内容，融通专业课程和职业能力，培育创新意识。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教学内容有效支撑教学目标的实现，选择科学严谨、容量适度，安排合理、衔接有序、结构清晰。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教材选用、使用符合《职业院校教材管理办法》等文件规定和要求，配套提供丰富、优质学习资源，教案完整、规范、简明、真实。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教学过程系统优化，流程环节构思得当，技术应用预想合理，方法手段设计恰当，评价考核考虑周全。</w:t>
            </w:r>
          </w:p>
        </w:tc>
      </w:tr>
      <w:tr w:rsidR="000C5E9E" w:rsidTr="00C40C52">
        <w:trPr>
          <w:cantSplit/>
          <w:trHeight w:val="2549"/>
          <w:jc w:val="center"/>
        </w:trPr>
        <w:tc>
          <w:tcPr>
            <w:tcW w:w="1086" w:type="dxa"/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实施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成效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30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体现先进教育思想和教学理念，遵循学生认知规律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，符合课内外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教学实际。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按照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教学设计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实施教学，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关注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重点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难点的解决，能够针对学习反馈及时调整教学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，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突出学生中心，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实行因材施教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教学环境满足需求，教学活动开展有序，教学互动广泛深入，教学气氛生动活泼。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关注教与学全过程信息采集，针对目标要求开展考核与评价。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5.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合理运用信息技术、数字资源、信息化教学设施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设备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提高教学与管理成效。</w:t>
            </w:r>
          </w:p>
        </w:tc>
      </w:tr>
      <w:tr w:rsidR="000C5E9E" w:rsidTr="00C40C52">
        <w:trPr>
          <w:cantSplit/>
          <w:trHeight w:val="2104"/>
          <w:jc w:val="center"/>
        </w:trPr>
        <w:tc>
          <w:tcPr>
            <w:tcW w:w="1086" w:type="dxa"/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教学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素养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15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充分展现新时代职业院校教师良好的师德师风、教学技能和信息素养，发挥教学团队协作优势；老中青传帮带效果显著。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教师课堂教学态度认真、严谨规范、表述清晰、亲和力强。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教学实施报告客观记载、真实反映、深刻反思教与学的成效与不足，提出教学设计与课堂实施的改进设想。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决赛现场的内容介绍、教学展示和回答提问聚焦主题、科学准确、思路清晰、逻辑严谨、研究深入、手段得当、简洁明了、表达流畅。</w:t>
            </w:r>
          </w:p>
        </w:tc>
      </w:tr>
      <w:tr w:rsidR="000C5E9E" w:rsidTr="00C40C52">
        <w:trPr>
          <w:cantSplit/>
          <w:trHeight w:val="1836"/>
          <w:jc w:val="center"/>
        </w:trPr>
        <w:tc>
          <w:tcPr>
            <w:tcW w:w="1086" w:type="dxa"/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特色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创新</w:t>
            </w:r>
          </w:p>
        </w:tc>
        <w:tc>
          <w:tcPr>
            <w:tcW w:w="848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15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能够引导学生树立正确的理想信念、学会正确的思维方法、培育正确的劳动观念、增强学生职业荣誉感。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能够创新教学模式，给学生深刻的学习体验。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能够与时俱进地提高信息技术应用能力、教研科研能力。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具有较大借鉴和推广价值，特别是疫情防控常态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化形势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下的线上线下混合式教学实践。</w:t>
            </w:r>
          </w:p>
        </w:tc>
      </w:tr>
      <w:bookmarkEnd w:id="0"/>
    </w:tbl>
    <w:p w:rsidR="000C5E9E" w:rsidRDefault="000C5E9E">
      <w:pPr>
        <w:overflowPunct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</w:p>
    <w:p w:rsidR="000C5E9E" w:rsidRDefault="000C5E9E">
      <w:pPr>
        <w:overflowPunct w:val="0"/>
        <w:spacing w:line="360" w:lineRule="auto"/>
        <w:rPr>
          <w:rFonts w:asciiTheme="majorEastAsia" w:eastAsiaTheme="majorEastAsia" w:hAnsiTheme="majorEastAsia"/>
          <w:color w:val="000000"/>
          <w:szCs w:val="21"/>
        </w:rPr>
      </w:pPr>
    </w:p>
    <w:p w:rsidR="000C5E9E" w:rsidRPr="00C40C52" w:rsidRDefault="00C40C52" w:rsidP="00C40C52">
      <w:pPr>
        <w:jc w:val="center"/>
        <w:rPr>
          <w:rFonts w:ascii="Times New Roman" w:eastAsia="方正小标宋简体" w:hAnsi="Times New Roman"/>
          <w:sz w:val="30"/>
          <w:szCs w:val="30"/>
        </w:rPr>
      </w:pPr>
      <w:r w:rsidRPr="00C40C52">
        <w:rPr>
          <w:rFonts w:ascii="Times New Roman" w:eastAsia="方正小标宋简体" w:hAnsi="Times New Roman" w:hint="eastAsia"/>
          <w:sz w:val="30"/>
          <w:szCs w:val="30"/>
        </w:rPr>
        <w:lastRenderedPageBreak/>
        <w:t>专业课评分标准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55"/>
        <w:gridCol w:w="8026"/>
      </w:tblGrid>
      <w:tr w:rsidR="000C5E9E" w:rsidRPr="00C40C52">
        <w:trPr>
          <w:cantSplit/>
          <w:trHeight w:val="368"/>
          <w:tblHeader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指标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分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值</w:t>
            </w:r>
          </w:p>
        </w:tc>
        <w:tc>
          <w:tcPr>
            <w:tcW w:w="8026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评价要素</w:t>
            </w:r>
          </w:p>
        </w:tc>
      </w:tr>
      <w:tr w:rsidR="000C5E9E" w:rsidRPr="00C40C52">
        <w:trPr>
          <w:cantSplit/>
          <w:trHeight w:val="2089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目标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  <w:lang w:eastAsia="en-US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学情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802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适应新时代对技术技能人才培养的新要求，符合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教育部发布的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专业教学标准、实</w:t>
            </w:r>
            <w:proofErr w:type="gramStart"/>
            <w:r w:rsidRPr="00C40C52">
              <w:rPr>
                <w:rFonts w:ascii="楷体" w:eastAsia="楷体" w:hAnsi="楷体"/>
                <w:color w:val="000000"/>
                <w:szCs w:val="21"/>
              </w:rPr>
              <w:t>训教学</w:t>
            </w:r>
            <w:proofErr w:type="gramEnd"/>
            <w:r w:rsidRPr="00C40C52">
              <w:rPr>
                <w:rFonts w:ascii="楷体" w:eastAsia="楷体" w:hAnsi="楷体"/>
                <w:color w:val="000000"/>
                <w:szCs w:val="21"/>
              </w:rPr>
              <w:t>条件建设标准（仪器设备装备规范）、顶岗实习标准等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有关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要求，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涉及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1+X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证书制度试点的专业，还应对接有关职业技能等级标准。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紧扣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学校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专业人才培养方案和课程标准，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强调培育学生学习能力、信息素养、职业能力、精益求精的工匠精神和爱岗敬业的劳动态度。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教学目标表述明确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、相互关联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，重点突出、可评可测。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客观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分析学生的知识和技能基础、认知和实践能力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、学习特点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等，详实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反映学生整体与个体情况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数据，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准确预判教学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难点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及其掌握可能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RPr="00C40C52">
        <w:trPr>
          <w:cantSplit/>
          <w:trHeight w:val="2445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内容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策略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802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深入挖掘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课程思政元素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，有机融入课程教学，及时反映相关领域产业升级的新技术、新工艺、新规范，结合课程特点有机融入劳动教育内容，开展劳动精神、劳模精神、工匠精神专题教育。针对基于职业工作过程建设模块化课程的需求，优化教学内容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教学内容有效支撑教学目标的实现，选择科学严谨、容量适度，安排合理、衔接有序、结构清晰。实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训教学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内容源于真实工作任务、项目或工作流程、过程等。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教材选用符合《职业院校教材管理办法》等文件规定和要求，探索使用新型活页式、工作手册式教材并配套信息化资源，引入典型生产案例。教案完整、规范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、简明、真实。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根据项目式、案例式等教学需要，教学过程系统优化，流程环节构思得当，技术应用预想合理，方法手段设计恰当，评价考核考虑周全。</w:t>
            </w:r>
          </w:p>
        </w:tc>
      </w:tr>
      <w:tr w:rsidR="000C5E9E" w:rsidRPr="00C40C52">
        <w:trPr>
          <w:cantSplit/>
          <w:trHeight w:val="2980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实施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与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成效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0</w:t>
            </w:r>
          </w:p>
        </w:tc>
        <w:tc>
          <w:tcPr>
            <w:tcW w:w="802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体现先进教育思想和教学理念，遵循学生认知规律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，符合课内外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教学实际，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落实</w:t>
            </w:r>
            <w:proofErr w:type="gramStart"/>
            <w:r w:rsidRPr="00C40C52">
              <w:rPr>
                <w:rFonts w:ascii="楷体" w:eastAsia="楷体" w:hAnsi="楷体"/>
                <w:color w:val="000000"/>
                <w:szCs w:val="21"/>
              </w:rPr>
              <w:t>德技并</w:t>
            </w:r>
            <w:proofErr w:type="gramEnd"/>
            <w:r w:rsidRPr="00C40C52">
              <w:rPr>
                <w:rFonts w:ascii="楷体" w:eastAsia="楷体" w:hAnsi="楷体"/>
                <w:color w:val="000000"/>
                <w:szCs w:val="21"/>
              </w:rPr>
              <w:t>修、工学结合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按照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教学设计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实施教学，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关注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技术技能教学重点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难点的解决，能够针对学习和实践反馈及时调整教学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，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突出学生中心，强调知行合一，实行因材施教。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针对不同生源特点，体现灵活的教学组织形式。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教学环境满足需求，教学活动安全有序，教学互动广泛深入，教学气氛生动活泼。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关注教与学全过程的信息采集，针对目标要求开展教学与实践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的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考核与评价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5.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合理运用云计算、大数据、物联网、虚拟仿真、增强现实、人工智能、区块链等信息技术以及数字资源、信息化教学设施设备改造传统教学与实践方式、提高管理成效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RPr="00C40C52">
        <w:trPr>
          <w:cantSplit/>
          <w:trHeight w:val="2247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素养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1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5</w:t>
            </w:r>
          </w:p>
        </w:tc>
        <w:tc>
          <w:tcPr>
            <w:tcW w:w="8026" w:type="dxa"/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充分展现新时代职业院校教师良好的师德师风、教学技能、实践能力和信息素养，发挥教学团队协作优势；老中青传帮带效果显著。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课堂教学态度认真、严谨规范、表述清晰、亲和力强。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实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训教学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讲解和操作配合恰当，规范娴熟、示范有效，符合职业岗位要求，展现良好“双师”素养。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教学实施报告客观记载、真实反映、深刻反思理论、实践教与学的成效与不足，提出教学设计与课堂实施的改进设想。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5.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决赛现场的内容介绍、教学展示和回答提问聚焦主题、科学准确、思路清晰、逻辑严谨、研究深入、手段得当、简洁明了、表达流畅。</w:t>
            </w:r>
          </w:p>
        </w:tc>
      </w:tr>
      <w:tr w:rsidR="000C5E9E" w:rsidRPr="00C40C52">
        <w:trPr>
          <w:cantSplit/>
          <w:trHeight w:val="1761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特色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创新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15</w:t>
            </w:r>
          </w:p>
        </w:tc>
        <w:tc>
          <w:tcPr>
            <w:tcW w:w="8026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能够引导学生树立正确的理想信念、学会正确的思维方法、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培育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正确的劳动观念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、增强学生职业荣誉感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能够创新教学与实训模式，给学生深刻的学习与实践体验。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能够与时俱进地更新专业知识、积累实践技能、提高信息技术应用能力和教研科研能力。</w:t>
            </w:r>
          </w:p>
          <w:p w:rsidR="000C5E9E" w:rsidRPr="00C40C52" w:rsidRDefault="00C40C52">
            <w:pPr>
              <w:overflowPunct w:val="0"/>
              <w:snapToGrid w:val="0"/>
              <w:ind w:firstLineChars="200" w:firstLine="420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4.</w:t>
            </w: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具有较大的借鉴和推广价值，特别是疫情防控常态</w:t>
            </w:r>
            <w:proofErr w:type="gramStart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化形势</w:t>
            </w:r>
            <w:proofErr w:type="gramEnd"/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下的线上线下混合式教学实践。</w:t>
            </w:r>
          </w:p>
        </w:tc>
      </w:tr>
    </w:tbl>
    <w:p w:rsidR="000C5E9E" w:rsidRPr="00C40C52" w:rsidRDefault="000C5E9E">
      <w:pPr>
        <w:rPr>
          <w:rFonts w:ascii="Times New Roman" w:eastAsia="方正仿宋简体" w:hAnsi="Times New Roman"/>
          <w:szCs w:val="21"/>
        </w:rPr>
      </w:pPr>
      <w:bookmarkStart w:id="1" w:name="_GoBack"/>
      <w:bookmarkEnd w:id="1"/>
    </w:p>
    <w:sectPr w:rsidR="000C5E9E" w:rsidRPr="00C40C52" w:rsidSect="00C40C52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05" w:rsidRDefault="00513105" w:rsidP="00513105">
      <w:r>
        <w:separator/>
      </w:r>
    </w:p>
  </w:endnote>
  <w:endnote w:type="continuationSeparator" w:id="0">
    <w:p w:rsidR="00513105" w:rsidRDefault="00513105" w:rsidP="0051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05" w:rsidRDefault="00513105" w:rsidP="00513105">
      <w:r>
        <w:separator/>
      </w:r>
    </w:p>
  </w:footnote>
  <w:footnote w:type="continuationSeparator" w:id="0">
    <w:p w:rsidR="00513105" w:rsidRDefault="00513105" w:rsidP="0051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4E"/>
    <w:rsid w:val="0000536F"/>
    <w:rsid w:val="00017F25"/>
    <w:rsid w:val="00045465"/>
    <w:rsid w:val="00054379"/>
    <w:rsid w:val="000776F6"/>
    <w:rsid w:val="00085D6A"/>
    <w:rsid w:val="000A2989"/>
    <w:rsid w:val="000A6825"/>
    <w:rsid w:val="000B1F5E"/>
    <w:rsid w:val="000B4519"/>
    <w:rsid w:val="000C5E9E"/>
    <w:rsid w:val="000E3ADB"/>
    <w:rsid w:val="000E6883"/>
    <w:rsid w:val="000F0756"/>
    <w:rsid w:val="000F2068"/>
    <w:rsid w:val="00104AF1"/>
    <w:rsid w:val="001144C4"/>
    <w:rsid w:val="001717E6"/>
    <w:rsid w:val="00173874"/>
    <w:rsid w:val="001960C2"/>
    <w:rsid w:val="001A3037"/>
    <w:rsid w:val="001A7E5B"/>
    <w:rsid w:val="001F28E0"/>
    <w:rsid w:val="00200821"/>
    <w:rsid w:val="0021150D"/>
    <w:rsid w:val="00234C14"/>
    <w:rsid w:val="002375EF"/>
    <w:rsid w:val="002379E5"/>
    <w:rsid w:val="00263008"/>
    <w:rsid w:val="00274C4E"/>
    <w:rsid w:val="00284DDC"/>
    <w:rsid w:val="00305F22"/>
    <w:rsid w:val="0032364A"/>
    <w:rsid w:val="00327965"/>
    <w:rsid w:val="00337F99"/>
    <w:rsid w:val="003641FD"/>
    <w:rsid w:val="0038271E"/>
    <w:rsid w:val="003B060C"/>
    <w:rsid w:val="003B3F87"/>
    <w:rsid w:val="003D59D0"/>
    <w:rsid w:val="003F4D93"/>
    <w:rsid w:val="00404162"/>
    <w:rsid w:val="0040503D"/>
    <w:rsid w:val="00413F65"/>
    <w:rsid w:val="0042404E"/>
    <w:rsid w:val="004573DB"/>
    <w:rsid w:val="004609E0"/>
    <w:rsid w:val="00464E98"/>
    <w:rsid w:val="0047178C"/>
    <w:rsid w:val="00485AE9"/>
    <w:rsid w:val="0049538C"/>
    <w:rsid w:val="004C0DEC"/>
    <w:rsid w:val="004E1BB7"/>
    <w:rsid w:val="004F55D2"/>
    <w:rsid w:val="00513105"/>
    <w:rsid w:val="00552078"/>
    <w:rsid w:val="005D5C7F"/>
    <w:rsid w:val="00676FB9"/>
    <w:rsid w:val="00691BDC"/>
    <w:rsid w:val="006B3F22"/>
    <w:rsid w:val="006C7539"/>
    <w:rsid w:val="006F4743"/>
    <w:rsid w:val="007045FA"/>
    <w:rsid w:val="007047E9"/>
    <w:rsid w:val="0072233F"/>
    <w:rsid w:val="00732F13"/>
    <w:rsid w:val="0074696A"/>
    <w:rsid w:val="007770C2"/>
    <w:rsid w:val="00777169"/>
    <w:rsid w:val="007B7208"/>
    <w:rsid w:val="007C5A7D"/>
    <w:rsid w:val="0082367B"/>
    <w:rsid w:val="00860689"/>
    <w:rsid w:val="008E4189"/>
    <w:rsid w:val="008F02B9"/>
    <w:rsid w:val="008F0EEA"/>
    <w:rsid w:val="008F4A81"/>
    <w:rsid w:val="009043DE"/>
    <w:rsid w:val="009074E0"/>
    <w:rsid w:val="00913EA5"/>
    <w:rsid w:val="00915371"/>
    <w:rsid w:val="009320C4"/>
    <w:rsid w:val="00947061"/>
    <w:rsid w:val="009C2104"/>
    <w:rsid w:val="009C2CA3"/>
    <w:rsid w:val="009D519F"/>
    <w:rsid w:val="00A20B39"/>
    <w:rsid w:val="00A30C9B"/>
    <w:rsid w:val="00A42488"/>
    <w:rsid w:val="00A431B1"/>
    <w:rsid w:val="00A95EF0"/>
    <w:rsid w:val="00B514A8"/>
    <w:rsid w:val="00B8443B"/>
    <w:rsid w:val="00B8561E"/>
    <w:rsid w:val="00BD63B9"/>
    <w:rsid w:val="00BE2121"/>
    <w:rsid w:val="00BF25C8"/>
    <w:rsid w:val="00C03899"/>
    <w:rsid w:val="00C40C52"/>
    <w:rsid w:val="00C44780"/>
    <w:rsid w:val="00C66FAD"/>
    <w:rsid w:val="00C83591"/>
    <w:rsid w:val="00CA0C58"/>
    <w:rsid w:val="00CD56E1"/>
    <w:rsid w:val="00CF282F"/>
    <w:rsid w:val="00D07AFE"/>
    <w:rsid w:val="00D45E06"/>
    <w:rsid w:val="00D54C5E"/>
    <w:rsid w:val="00D836D5"/>
    <w:rsid w:val="00DB593A"/>
    <w:rsid w:val="00DC25A5"/>
    <w:rsid w:val="00DD0F1B"/>
    <w:rsid w:val="00DE2ADB"/>
    <w:rsid w:val="00DF288B"/>
    <w:rsid w:val="00E14CC2"/>
    <w:rsid w:val="00E21591"/>
    <w:rsid w:val="00E522EA"/>
    <w:rsid w:val="00E70172"/>
    <w:rsid w:val="00E72828"/>
    <w:rsid w:val="00E82E02"/>
    <w:rsid w:val="00E946EA"/>
    <w:rsid w:val="00E949A5"/>
    <w:rsid w:val="00EB5B4F"/>
    <w:rsid w:val="00EB64FC"/>
    <w:rsid w:val="00EC2C78"/>
    <w:rsid w:val="00EC5166"/>
    <w:rsid w:val="00ED014F"/>
    <w:rsid w:val="00ED033F"/>
    <w:rsid w:val="00ED7029"/>
    <w:rsid w:val="00FA2280"/>
    <w:rsid w:val="00FA29B8"/>
    <w:rsid w:val="02173B19"/>
    <w:rsid w:val="041003DF"/>
    <w:rsid w:val="092D6822"/>
    <w:rsid w:val="0BD71B30"/>
    <w:rsid w:val="0CB2589F"/>
    <w:rsid w:val="11826A12"/>
    <w:rsid w:val="14556E70"/>
    <w:rsid w:val="163873C2"/>
    <w:rsid w:val="1E403073"/>
    <w:rsid w:val="2057098A"/>
    <w:rsid w:val="29981976"/>
    <w:rsid w:val="2A6A1FDB"/>
    <w:rsid w:val="2AA51C95"/>
    <w:rsid w:val="2B394E38"/>
    <w:rsid w:val="2FBD6DC1"/>
    <w:rsid w:val="317C1D74"/>
    <w:rsid w:val="31EC4064"/>
    <w:rsid w:val="34CB74C3"/>
    <w:rsid w:val="35026065"/>
    <w:rsid w:val="35AF2CD4"/>
    <w:rsid w:val="3AEB13B6"/>
    <w:rsid w:val="3E6C2C88"/>
    <w:rsid w:val="4309639E"/>
    <w:rsid w:val="453A45FF"/>
    <w:rsid w:val="45F860BD"/>
    <w:rsid w:val="47BD4D64"/>
    <w:rsid w:val="4A663836"/>
    <w:rsid w:val="4E9A7559"/>
    <w:rsid w:val="501616FB"/>
    <w:rsid w:val="54347FB2"/>
    <w:rsid w:val="544E18B5"/>
    <w:rsid w:val="5627009A"/>
    <w:rsid w:val="5ACF0700"/>
    <w:rsid w:val="5D8054E1"/>
    <w:rsid w:val="615B2DA7"/>
    <w:rsid w:val="625428CC"/>
    <w:rsid w:val="6B111610"/>
    <w:rsid w:val="70324C49"/>
    <w:rsid w:val="710663D9"/>
    <w:rsid w:val="71442312"/>
    <w:rsid w:val="732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3">
    <w:name w:val="s3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3">
    <w:name w:val="s3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2285</Words>
  <Characters>163</Characters>
  <Application>Microsoft Office Word</Application>
  <DocSecurity>0</DocSecurity>
  <Lines>1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吴敏鑫</dc:creator>
  <cp:lastModifiedBy>SkyUser</cp:lastModifiedBy>
  <cp:revision>3</cp:revision>
  <cp:lastPrinted>2021-03-17T04:24:00Z</cp:lastPrinted>
  <dcterms:created xsi:type="dcterms:W3CDTF">2021-04-06T01:53:00Z</dcterms:created>
  <dcterms:modified xsi:type="dcterms:W3CDTF">2021-04-06T01:55:00Z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611741892_cloud</vt:lpwstr>
  </property>
</Properties>
</file>