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cs="宋体"/>
          <w:b/>
          <w:sz w:val="52"/>
          <w:szCs w:val="52"/>
        </w:rPr>
      </w:pPr>
      <w:r>
        <w:rPr>
          <w:rFonts w:hint="eastAsia" w:ascii="宋体" w:hAnsi="宋体" w:cs="宋体"/>
          <w:b/>
          <w:sz w:val="52"/>
          <w:szCs w:val="52"/>
          <w:lang w:eastAsia="zh-CN"/>
        </w:rPr>
        <w:t>安庆职业技术学院画室改造装饰</w:t>
      </w:r>
      <w:r>
        <w:rPr>
          <w:rFonts w:hint="eastAsia" w:ascii="宋体" w:hAnsi="宋体" w:cs="宋体"/>
          <w:b/>
          <w:sz w:val="52"/>
          <w:szCs w:val="52"/>
        </w:rPr>
        <w:t>项目</w:t>
      </w:r>
    </w:p>
    <w:p>
      <w:pPr>
        <w:spacing w:line="360" w:lineRule="auto"/>
        <w:jc w:val="center"/>
        <w:rPr>
          <w:rFonts w:ascii="宋体" w:hAnsi="宋体" w:cs="宋体"/>
          <w:b/>
          <w:sz w:val="48"/>
          <w:szCs w:val="48"/>
        </w:rPr>
      </w:pPr>
    </w:p>
    <w:p>
      <w:pPr>
        <w:spacing w:line="360" w:lineRule="auto"/>
        <w:jc w:val="center"/>
        <w:rPr>
          <w:rFonts w:ascii="宋体" w:hAnsi="宋体" w:cs="宋体"/>
          <w:b/>
          <w:sz w:val="110"/>
          <w:szCs w:val="110"/>
        </w:rPr>
      </w:pPr>
      <w:r>
        <w:rPr>
          <w:rFonts w:hint="eastAsia" w:ascii="宋体" w:hAnsi="宋体" w:cs="宋体"/>
          <w:b/>
          <w:sz w:val="110"/>
          <w:szCs w:val="110"/>
        </w:rPr>
        <w:t xml:space="preserve"> 竞争性谈判文件</w:t>
      </w:r>
    </w:p>
    <w:p>
      <w:pPr>
        <w:spacing w:line="360" w:lineRule="auto"/>
        <w:jc w:val="center"/>
        <w:rPr>
          <w:rFonts w:hint="default" w:ascii="宋体" w:hAnsi="宋体" w:eastAsia="宋体" w:cs="宋体"/>
          <w:b/>
          <w:sz w:val="24"/>
          <w:szCs w:val="32"/>
          <w:lang w:val="en-US" w:eastAsia="zh-CN"/>
        </w:rPr>
      </w:pPr>
      <w:r>
        <w:rPr>
          <w:rFonts w:hint="eastAsia" w:ascii="宋体" w:hAnsi="宋体" w:cs="宋体"/>
          <w:b/>
          <w:sz w:val="24"/>
        </w:rPr>
        <w:t>项目编号：</w:t>
      </w:r>
      <w:r>
        <w:rPr>
          <w:rFonts w:hint="eastAsia" w:ascii="宋体" w:hAnsi="宋体" w:cs="宋体"/>
          <w:b/>
          <w:sz w:val="24"/>
          <w:lang w:eastAsia="zh-CN"/>
        </w:rPr>
        <w:t>CG-AZ-2021-0</w:t>
      </w:r>
      <w:r>
        <w:rPr>
          <w:rFonts w:hint="eastAsia" w:ascii="宋体" w:hAnsi="宋体" w:cs="宋体"/>
          <w:b/>
          <w:sz w:val="24"/>
          <w:lang w:val="en-US" w:eastAsia="zh-CN"/>
        </w:rPr>
        <w:t>13</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596" w:firstLineChars="198"/>
        <w:rPr>
          <w:rFonts w:ascii="宋体" w:hAnsi="宋体" w:cs="宋体"/>
          <w:b/>
          <w:szCs w:val="21"/>
        </w:rPr>
      </w:pPr>
      <w:r>
        <w:rPr>
          <w:rFonts w:hint="eastAsia" w:ascii="宋体" w:hAnsi="宋体" w:cs="宋体"/>
          <w:b/>
          <w:sz w:val="30"/>
          <w:szCs w:val="30"/>
        </w:rPr>
        <w:t>采   购   人：</w:t>
      </w:r>
      <w:r>
        <w:rPr>
          <w:rFonts w:hint="eastAsia" w:ascii="宋体" w:hAnsi="宋体" w:cs="宋体"/>
          <w:b/>
          <w:sz w:val="30"/>
          <w:szCs w:val="30"/>
          <w:u w:val="single"/>
        </w:rPr>
        <w:t xml:space="preserve">      </w:t>
      </w:r>
      <w:r>
        <w:rPr>
          <w:rFonts w:hint="eastAsia" w:ascii="宋体" w:hAnsi="宋体" w:cs="宋体"/>
          <w:b/>
          <w:spacing w:val="40"/>
          <w:sz w:val="30"/>
          <w:szCs w:val="30"/>
          <w:u w:val="single"/>
        </w:rPr>
        <w:t xml:space="preserve"> 安庆职业技术学院  </w:t>
      </w:r>
      <w:r>
        <w:rPr>
          <w:rFonts w:hint="eastAsia" w:ascii="宋体" w:hAnsi="宋体" w:cs="宋体"/>
          <w:b/>
          <w:sz w:val="30"/>
          <w:szCs w:val="30"/>
          <w:u w:val="single"/>
        </w:rPr>
        <w:t xml:space="preserve">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宋体" w:hAnsi="宋体" w:cs="宋体"/>
          <w:b/>
          <w:sz w:val="24"/>
          <w:u w:val="single"/>
        </w:rPr>
      </w:pPr>
    </w:p>
    <w:p>
      <w:pPr>
        <w:spacing w:line="360" w:lineRule="auto"/>
        <w:rPr>
          <w:rFonts w:ascii="宋体" w:hAnsi="宋体" w:cs="宋体"/>
          <w:b/>
          <w:sz w:val="24"/>
          <w:u w:val="single"/>
        </w:rPr>
      </w:pPr>
    </w:p>
    <w:p>
      <w:pPr>
        <w:spacing w:line="360" w:lineRule="auto"/>
        <w:rPr>
          <w:rFonts w:ascii="宋体" w:hAnsi="宋体" w:cs="宋体"/>
          <w:sz w:val="24"/>
        </w:rPr>
      </w:pPr>
    </w:p>
    <w:p>
      <w:pPr>
        <w:spacing w:line="360" w:lineRule="auto"/>
        <w:rPr>
          <w:rFonts w:ascii="宋体" w:hAnsi="宋体" w:cs="宋体"/>
          <w:b/>
          <w:sz w:val="24"/>
          <w:u w:val="single"/>
        </w:rPr>
      </w:pPr>
    </w:p>
    <w:p>
      <w:pPr>
        <w:spacing w:line="360" w:lineRule="auto"/>
        <w:rPr>
          <w:rFonts w:ascii="宋体" w:hAnsi="宋体" w:cs="宋体"/>
          <w:b/>
          <w:sz w:val="24"/>
          <w:u w:val="single"/>
        </w:rPr>
      </w:pPr>
    </w:p>
    <w:p>
      <w:pPr>
        <w:spacing w:line="360" w:lineRule="auto"/>
        <w:jc w:val="center"/>
        <w:rPr>
          <w:rFonts w:hint="eastAsia" w:ascii="宋体" w:hAnsi="宋体" w:cs="宋体"/>
          <w:b/>
          <w:sz w:val="30"/>
          <w:szCs w:val="30"/>
        </w:rPr>
      </w:pPr>
      <w:r>
        <w:rPr>
          <w:rFonts w:hint="eastAsia" w:ascii="宋体" w:hAnsi="宋体" w:cs="宋体"/>
          <w:b/>
          <w:sz w:val="30"/>
          <w:szCs w:val="30"/>
        </w:rPr>
        <w:t xml:space="preserve">日  期：二〇二一 年 </w:t>
      </w:r>
      <w:r>
        <w:rPr>
          <w:rFonts w:hint="eastAsia" w:ascii="宋体" w:hAnsi="宋体" w:cs="宋体"/>
          <w:b/>
          <w:sz w:val="30"/>
          <w:szCs w:val="30"/>
          <w:lang w:val="en-US" w:eastAsia="zh-CN"/>
        </w:rPr>
        <w:t>七</w:t>
      </w:r>
      <w:r>
        <w:rPr>
          <w:rFonts w:hint="eastAsia" w:ascii="宋体" w:hAnsi="宋体" w:cs="宋体"/>
          <w:b/>
          <w:sz w:val="30"/>
          <w:szCs w:val="30"/>
        </w:rPr>
        <w:t xml:space="preserve"> 月</w:t>
      </w:r>
    </w:p>
    <w:p>
      <w:pPr>
        <w:pStyle w:val="2"/>
        <w:rPr>
          <w:rFonts w:hint="eastAsia" w:ascii="宋体" w:hAnsi="宋体" w:cs="宋体"/>
          <w:b/>
          <w:sz w:val="30"/>
          <w:szCs w:val="30"/>
        </w:rPr>
      </w:pPr>
    </w:p>
    <w:p>
      <w:pPr>
        <w:pStyle w:val="2"/>
        <w:rPr>
          <w:rFonts w:hint="eastAsia" w:ascii="宋体" w:hAnsi="宋体" w:cs="宋体"/>
          <w:b/>
          <w:sz w:val="30"/>
          <w:szCs w:val="30"/>
        </w:rPr>
      </w:pPr>
    </w:p>
    <w:p>
      <w:pPr>
        <w:rPr>
          <w:rFonts w:ascii="宋体" w:hAnsi="宋体" w:cs="宋体"/>
        </w:rPr>
      </w:pPr>
    </w:p>
    <w:p>
      <w:pPr>
        <w:rPr>
          <w:rFonts w:ascii="宋体" w:hAnsi="宋体" w:cs="宋体"/>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w:t>
      </w:r>
      <w:r>
        <w:rPr>
          <w:rFonts w:ascii="仿宋" w:hAnsi="仿宋" w:eastAsia="仿宋" w:cs="仿宋"/>
          <w:bCs/>
          <w:kern w:val="0"/>
          <w:sz w:val="32"/>
          <w:szCs w:val="32"/>
        </w:rPr>
        <w:t>居民身份证上住址属于疫情低风险区域。疫情低风险区域的证明材料包括：</w:t>
      </w:r>
      <w:r>
        <w:rPr>
          <w:rFonts w:hint="eastAsia" w:ascii="仿宋" w:hAnsi="仿宋" w:eastAsia="仿宋" w:cs="仿宋"/>
          <w:bCs/>
          <w:kern w:val="0"/>
          <w:sz w:val="32"/>
          <w:szCs w:val="32"/>
        </w:rPr>
        <w:t>2021</w:t>
      </w:r>
      <w:r>
        <w:rPr>
          <w:rFonts w:ascii="仿宋" w:hAnsi="仿宋" w:eastAsia="仿宋" w:cs="仿宋"/>
          <w:bCs/>
          <w:kern w:val="0"/>
          <w:sz w:val="32"/>
          <w:szCs w:val="32"/>
        </w:rPr>
        <w:t>年</w:t>
      </w:r>
      <w:r>
        <w:rPr>
          <w:rFonts w:hint="eastAsia" w:ascii="仿宋" w:hAnsi="仿宋" w:eastAsia="仿宋" w:cs="仿宋"/>
          <w:bCs/>
          <w:kern w:val="0"/>
          <w:sz w:val="32"/>
          <w:szCs w:val="32"/>
          <w:lang w:val="en-US" w:eastAsia="zh-CN"/>
        </w:rPr>
        <w:t>7</w:t>
      </w:r>
      <w:r>
        <w:rPr>
          <w:rFonts w:ascii="仿宋" w:hAnsi="仿宋" w:eastAsia="仿宋" w:cs="仿宋"/>
          <w:bCs/>
          <w:kern w:val="0"/>
          <w:sz w:val="32"/>
          <w:szCs w:val="32"/>
        </w:rPr>
        <w:t>月</w:t>
      </w:r>
      <w:r>
        <w:rPr>
          <w:rFonts w:hint="eastAsia" w:ascii="仿宋" w:hAnsi="仿宋" w:eastAsia="仿宋" w:cs="仿宋"/>
          <w:bCs/>
          <w:kern w:val="0"/>
          <w:sz w:val="32"/>
          <w:szCs w:val="32"/>
          <w:lang w:val="en-US" w:eastAsia="zh-CN"/>
        </w:rPr>
        <w:t>21</w:t>
      </w:r>
      <w:r>
        <w:rPr>
          <w:rFonts w:ascii="仿宋" w:hAnsi="仿宋" w:eastAsia="仿宋" w:cs="仿宋"/>
          <w:bCs/>
          <w:kern w:val="0"/>
          <w:sz w:val="32"/>
          <w:szCs w:val="32"/>
        </w:rPr>
        <w:t>日24时前最新发布的政府行政部门官网截图（或网址链接），或社居委或卫生主管部门等政府部门出具的书面证明材料；</w:t>
      </w:r>
      <w:r>
        <w:rPr>
          <w:rFonts w:ascii="仿宋" w:hAnsi="仿宋" w:eastAsia="仿宋" w:cs="仿宋"/>
          <w:bCs/>
          <w:kern w:val="0"/>
          <w:sz w:val="32"/>
          <w:szCs w:val="32"/>
        </w:rPr>
        <w:br w:type="textWrapping"/>
      </w:r>
      <w:r>
        <w:rPr>
          <w:rFonts w:ascii="仿宋" w:hAnsi="仿宋" w:eastAsia="仿宋" w:cs="仿宋"/>
          <w:bCs/>
          <w:kern w:val="0"/>
          <w:sz w:val="32"/>
          <w:szCs w:val="32"/>
        </w:rPr>
        <w:t xml:space="preserve">    </w:t>
      </w:r>
      <w:r>
        <w:rPr>
          <w:rFonts w:hint="eastAsia" w:ascii="仿宋" w:hAnsi="仿宋" w:eastAsia="仿宋" w:cs="仿宋"/>
          <w:bCs/>
          <w:kern w:val="0"/>
          <w:sz w:val="32"/>
          <w:szCs w:val="32"/>
        </w:rPr>
        <w:t>2、</w:t>
      </w:r>
      <w:r>
        <w:rPr>
          <w:rFonts w:ascii="仿宋" w:hAnsi="仿宋" w:eastAsia="仿宋" w:cs="仿宋"/>
          <w:bCs/>
          <w:kern w:val="0"/>
          <w:sz w:val="32"/>
          <w:szCs w:val="32"/>
        </w:rPr>
        <w:t>健康码须为“绿码”。</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二、鉴于新冠肺炎疫情防控工作需要，建议谈判响应人至少提前30分钟到达开标会现场。</w:t>
      </w: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2、法定代表人应出示有效二代居民身份证或委托代理人应出示授权书用于开标现场查验；</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3、谈判响应人代表在参加开标会时须携带有效身份证；</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4、对投标活动中可能发生的质疑、投诉行为，须依法在规定的时间内提出。</w:t>
      </w:r>
    </w:p>
    <w:p>
      <w:pPr>
        <w:widowControl/>
        <w:jc w:val="left"/>
        <w:rPr>
          <w:rFonts w:ascii="仿宋" w:hAnsi="仿宋" w:eastAsia="仿宋" w:cs="仿宋"/>
          <w:bCs/>
          <w:kern w:val="0"/>
          <w:sz w:val="32"/>
          <w:szCs w:val="32"/>
        </w:rPr>
      </w:pPr>
      <w:r>
        <w:rPr>
          <w:rFonts w:ascii="宋体" w:hAnsi="宋体" w:cs="宋体"/>
          <w:b/>
          <w:kern w:val="0"/>
          <w:sz w:val="24"/>
        </w:rPr>
        <w:br w:type="page"/>
      </w:r>
    </w:p>
    <w:p>
      <w:pPr>
        <w:widowControl/>
        <w:jc w:val="left"/>
        <w:rPr>
          <w:rFonts w:ascii="宋体" w:hAnsi="宋体" w:cs="宋体"/>
          <w:b/>
          <w:kern w:val="0"/>
          <w:sz w:val="24"/>
        </w:rPr>
      </w:pPr>
    </w:p>
    <w:p>
      <w:pPr>
        <w:jc w:val="center"/>
        <w:rPr>
          <w:rFonts w:ascii="宋体" w:hAnsi="宋体" w:cs="宋体"/>
          <w:b/>
          <w:sz w:val="36"/>
          <w:szCs w:val="36"/>
        </w:rPr>
      </w:pPr>
      <w:r>
        <w:rPr>
          <w:rFonts w:hint="eastAsia" w:ascii="宋体" w:hAnsi="宋体" w:cs="宋体"/>
          <w:b/>
          <w:sz w:val="36"/>
          <w:szCs w:val="36"/>
        </w:rPr>
        <w:t>目   录</w:t>
      </w:r>
    </w:p>
    <w:p>
      <w:pPr>
        <w:pStyle w:val="17"/>
        <w:rPr>
          <w:rFonts w:asciiTheme="minorHAnsi" w:hAnsiTheme="minorHAnsi" w:eastAsiaTheme="minorEastAsia" w:cstheme="minorBidi"/>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"_Toc54939187" </w:instrText>
      </w:r>
      <w:r>
        <w:fldChar w:fldCharType="separate"/>
      </w:r>
      <w:r>
        <w:rPr>
          <w:rStyle w:val="29"/>
          <w:rFonts w:ascii="宋体" w:hAnsi="宋体" w:cs="宋体"/>
          <w:b/>
          <w:bCs/>
          <w:color w:val="auto"/>
        </w:rPr>
        <w:t>第一章   竞争性谈判公告</w:t>
      </w:r>
      <w:r>
        <w:tab/>
      </w:r>
      <w:r>
        <w:fldChar w:fldCharType="begin"/>
      </w:r>
      <w:r>
        <w:instrText xml:space="preserve"> PAGEREF _Toc54939187 \h </w:instrText>
      </w:r>
      <w:r>
        <w:fldChar w:fldCharType="separate"/>
      </w:r>
      <w:r>
        <w:t>1</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"_Toc54939188" </w:instrText>
      </w:r>
      <w:r>
        <w:fldChar w:fldCharType="separate"/>
      </w:r>
      <w:r>
        <w:rPr>
          <w:rStyle w:val="29"/>
          <w:rFonts w:ascii="宋体" w:hAnsi="宋体" w:cs="宋体"/>
          <w:color w:val="auto"/>
        </w:rPr>
        <w:t>第二章   谈判响应人须知</w:t>
      </w:r>
      <w:r>
        <w:tab/>
      </w:r>
      <w:r>
        <w:fldChar w:fldCharType="begin"/>
      </w:r>
      <w:r>
        <w:instrText xml:space="preserve"> PAGEREF _Toc54939188 \h </w:instrText>
      </w:r>
      <w:r>
        <w:fldChar w:fldCharType="separate"/>
      </w:r>
      <w:r>
        <w:t>1</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"_Toc54939189" </w:instrText>
      </w:r>
      <w:r>
        <w:fldChar w:fldCharType="separate"/>
      </w:r>
      <w:r>
        <w:rPr>
          <w:rStyle w:val="29"/>
          <w:rFonts w:ascii="宋体" w:hAnsi="宋体"/>
          <w:color w:val="auto"/>
        </w:rPr>
        <w:t>第一节  谈判响应人须知前附表</w:t>
      </w:r>
      <w:r>
        <w:tab/>
      </w:r>
      <w:r>
        <w:fldChar w:fldCharType="begin"/>
      </w:r>
      <w:r>
        <w:instrText xml:space="preserve"> PAGEREF _Toc54939189 \h </w:instrText>
      </w:r>
      <w:r>
        <w:fldChar w:fldCharType="separate"/>
      </w:r>
      <w:r>
        <w:t>5</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"_Toc54939190" </w:instrText>
      </w:r>
      <w:r>
        <w:fldChar w:fldCharType="separate"/>
      </w:r>
      <w:r>
        <w:rPr>
          <w:rStyle w:val="29"/>
          <w:rFonts w:ascii="宋体" w:hAnsi="宋体"/>
          <w:color w:val="auto"/>
        </w:rPr>
        <w:t>第二节  谈判响应人须知</w:t>
      </w:r>
      <w:r>
        <w:tab/>
      </w:r>
      <w:r>
        <w:fldChar w:fldCharType="begin"/>
      </w:r>
      <w:r>
        <w:instrText xml:space="preserve"> PAGEREF _Toc54939190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"_Toc54939191" </w:instrText>
      </w:r>
      <w:r>
        <w:fldChar w:fldCharType="separate"/>
      </w:r>
      <w:r>
        <w:rPr>
          <w:rStyle w:val="29"/>
          <w:rFonts w:hAnsi="宋体" w:cs="宋体"/>
          <w:color w:val="auto"/>
        </w:rPr>
        <w:t>一、总则</w:t>
      </w:r>
      <w:r>
        <w:tab/>
      </w:r>
      <w:r>
        <w:fldChar w:fldCharType="begin"/>
      </w:r>
      <w:r>
        <w:instrText xml:space="preserve"> PAGEREF _Toc54939191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"_Toc54939192" </w:instrText>
      </w:r>
      <w:r>
        <w:fldChar w:fldCharType="separate"/>
      </w:r>
      <w:r>
        <w:rPr>
          <w:rStyle w:val="29"/>
          <w:rFonts w:hAnsi="宋体" w:cs="宋体"/>
          <w:color w:val="auto"/>
        </w:rPr>
        <w:t>二、竞争性谈判文件</w:t>
      </w:r>
      <w:r>
        <w:tab/>
      </w:r>
      <w:r>
        <w:fldChar w:fldCharType="begin"/>
      </w:r>
      <w:r>
        <w:instrText xml:space="preserve"> PAGEREF _Toc54939192 \h </w:instrText>
      </w:r>
      <w:r>
        <w:fldChar w:fldCharType="separate"/>
      </w:r>
      <w:r>
        <w:t>8</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"_Toc54939193" </w:instrText>
      </w:r>
      <w:r>
        <w:fldChar w:fldCharType="separate"/>
      </w:r>
      <w:r>
        <w:rPr>
          <w:rStyle w:val="29"/>
          <w:rFonts w:hAnsi="宋体" w:cs="宋体"/>
          <w:color w:val="auto"/>
        </w:rPr>
        <w:t>三、谈判响应文件的编制</w:t>
      </w:r>
      <w:r>
        <w:tab/>
      </w:r>
      <w:r>
        <w:fldChar w:fldCharType="begin"/>
      </w:r>
      <w:r>
        <w:instrText xml:space="preserve"> PAGEREF _Toc54939193 \h </w:instrText>
      </w:r>
      <w:r>
        <w:fldChar w:fldCharType="separate"/>
      </w:r>
      <w:r>
        <w:t>9</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"_Toc54939194" </w:instrText>
      </w:r>
      <w:r>
        <w:fldChar w:fldCharType="separate"/>
      </w:r>
      <w:r>
        <w:rPr>
          <w:rStyle w:val="29"/>
          <w:rFonts w:hAnsi="宋体" w:cs="宋体"/>
          <w:color w:val="auto"/>
        </w:rPr>
        <w:t>四、 谈判响应文件的提交</w:t>
      </w:r>
      <w:r>
        <w:tab/>
      </w:r>
      <w:r>
        <w:fldChar w:fldCharType="begin"/>
      </w:r>
      <w:r>
        <w:instrText xml:space="preserve"> PAGEREF _Toc54939194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"_Toc54939195" </w:instrText>
      </w:r>
      <w:r>
        <w:fldChar w:fldCharType="separate"/>
      </w:r>
      <w:r>
        <w:rPr>
          <w:rStyle w:val="29"/>
          <w:rFonts w:hAnsi="宋体" w:cs="宋体"/>
          <w:color w:val="auto"/>
        </w:rPr>
        <w:t>五、谈判程序</w:t>
      </w:r>
      <w:r>
        <w:tab/>
      </w:r>
      <w:r>
        <w:fldChar w:fldCharType="begin"/>
      </w:r>
      <w:r>
        <w:instrText xml:space="preserve"> PAGEREF _Toc54939195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"_Toc54939196" </w:instrText>
      </w:r>
      <w:r>
        <w:fldChar w:fldCharType="separate"/>
      </w:r>
      <w:r>
        <w:rPr>
          <w:rStyle w:val="29"/>
          <w:rFonts w:hAnsi="宋体" w:cs="宋体"/>
          <w:color w:val="auto"/>
        </w:rPr>
        <w:t>六、谈判</w:t>
      </w:r>
      <w:r>
        <w:tab/>
      </w:r>
      <w:r>
        <w:fldChar w:fldCharType="begin"/>
      </w:r>
      <w:r>
        <w:instrText xml:space="preserve"> PAGEREF _Toc54939196 \h </w:instrText>
      </w:r>
      <w:r>
        <w:fldChar w:fldCharType="separate"/>
      </w:r>
      <w:r>
        <w:t>15</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"_Toc54939197" </w:instrText>
      </w:r>
      <w:r>
        <w:fldChar w:fldCharType="separate"/>
      </w:r>
      <w:r>
        <w:rPr>
          <w:rStyle w:val="29"/>
          <w:rFonts w:ascii="宋体" w:hAnsi="宋体" w:cs="宋体"/>
          <w:b/>
          <w:bCs/>
          <w:color w:val="auto"/>
        </w:rPr>
        <w:t>七、合同授予</w:t>
      </w:r>
      <w:r>
        <w:tab/>
      </w:r>
      <w:r>
        <w:fldChar w:fldCharType="begin"/>
      </w:r>
      <w:r>
        <w:instrText xml:space="preserve"> PAGEREF _Toc54939197 \h </w:instrText>
      </w:r>
      <w:r>
        <w:fldChar w:fldCharType="separate"/>
      </w:r>
      <w:r>
        <w:t>18</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"_Toc54939198" </w:instrText>
      </w:r>
      <w:r>
        <w:fldChar w:fldCharType="separate"/>
      </w:r>
      <w:r>
        <w:rPr>
          <w:rStyle w:val="29"/>
          <w:rFonts w:ascii="宋体" w:hAnsi="宋体" w:cs="宋体"/>
          <w:color w:val="auto"/>
        </w:rPr>
        <w:t>第三章 服务需求及技术要求</w:t>
      </w:r>
      <w:r>
        <w:tab/>
      </w:r>
      <w:r>
        <w:fldChar w:fldCharType="begin"/>
      </w:r>
      <w:r>
        <w:instrText xml:space="preserve"> PAGEREF _Toc54939198 \h </w:instrText>
      </w:r>
      <w:r>
        <w:fldChar w:fldCharType="separate"/>
      </w:r>
      <w:r>
        <w:t>20</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"_Toc54939199" </w:instrText>
      </w:r>
      <w:r>
        <w:fldChar w:fldCharType="separate"/>
      </w:r>
      <w:r>
        <w:rPr>
          <w:rStyle w:val="29"/>
          <w:rFonts w:ascii="宋体" w:hAnsi="宋体" w:cs="宋体"/>
          <w:color w:val="auto"/>
        </w:rPr>
        <w:t>第四章  合同主要条款</w:t>
      </w:r>
      <w:r>
        <w:tab/>
      </w:r>
      <w:r>
        <w:fldChar w:fldCharType="begin"/>
      </w:r>
      <w:r>
        <w:instrText xml:space="preserve"> PAGEREF _Toc54939199 \h </w:instrText>
      </w:r>
      <w:r>
        <w:fldChar w:fldCharType="separate"/>
      </w:r>
      <w:r>
        <w:t>25</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"_Toc54939200" </w:instrText>
      </w:r>
      <w:r>
        <w:fldChar w:fldCharType="separate"/>
      </w:r>
      <w:r>
        <w:rPr>
          <w:rStyle w:val="29"/>
          <w:rFonts w:ascii="宋体" w:hAnsi="宋体" w:cs="宋体"/>
          <w:color w:val="auto"/>
        </w:rPr>
        <w:t>第五章   谈判响应文件格式</w:t>
      </w:r>
      <w:r>
        <w:tab/>
      </w:r>
      <w:r>
        <w:fldChar w:fldCharType="begin"/>
      </w:r>
      <w:r>
        <w:instrText xml:space="preserve"> PAGEREF _Toc54939200 \h </w:instrText>
      </w:r>
      <w:r>
        <w:fldChar w:fldCharType="separate"/>
      </w:r>
      <w:r>
        <w:t>27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"_Toc54939201" </w:instrText>
      </w:r>
      <w:r>
        <w:fldChar w:fldCharType="separate"/>
      </w:r>
      <w:r>
        <w:rPr>
          <w:rStyle w:val="29"/>
          <w:rFonts w:hAnsi="宋体" w:cs="宋体"/>
          <w:color w:val="auto"/>
        </w:rPr>
        <w:t>一、谈判响应函</w:t>
      </w:r>
      <w:r>
        <w:tab/>
      </w:r>
      <w:r>
        <w:fldChar w:fldCharType="begin"/>
      </w:r>
      <w:r>
        <w:instrText xml:space="preserve"> PAGEREF _Toc54939201 \h </w:instrText>
      </w:r>
      <w:r>
        <w:fldChar w:fldCharType="separate"/>
      </w:r>
      <w:r>
        <w:t>29</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"_Toc54939202" </w:instrText>
      </w:r>
      <w:r>
        <w:fldChar w:fldCharType="separate"/>
      </w:r>
      <w:r>
        <w:rPr>
          <w:rStyle w:val="29"/>
          <w:rFonts w:hAnsi="宋体" w:cs="宋体"/>
          <w:color w:val="auto"/>
        </w:rPr>
        <w:t>二、</w:t>
      </w:r>
      <w:r>
        <w:rPr>
          <w:rStyle w:val="29"/>
          <w:rFonts w:hint="eastAsia" w:hAnsi="宋体" w:cs="宋体"/>
          <w:color w:val="auto"/>
        </w:rPr>
        <w:t>货物报价表</w:t>
      </w:r>
      <w:r>
        <w:rPr>
          <w:rStyle w:val="29"/>
          <w:rFonts w:hAnsi="宋体" w:cs="宋体"/>
          <w:color w:val="auto"/>
        </w:rPr>
        <w:t>(首轮)</w:t>
      </w:r>
      <w:r>
        <w:tab/>
      </w:r>
      <w:r>
        <w:fldChar w:fldCharType="begin"/>
      </w:r>
      <w:r>
        <w:instrText xml:space="preserve"> PAGEREF _Toc54939202 \h </w:instrText>
      </w:r>
      <w:r>
        <w:fldChar w:fldCharType="separate"/>
      </w:r>
      <w:r>
        <w:t>30</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"_Toc54939203" </w:instrText>
      </w:r>
      <w:r>
        <w:fldChar w:fldCharType="separate"/>
      </w:r>
      <w:r>
        <w:rPr>
          <w:rStyle w:val="29"/>
          <w:rFonts w:hAnsi="宋体" w:cs="宋体"/>
          <w:color w:val="auto"/>
        </w:rPr>
        <w:t>最终报价表</w:t>
      </w:r>
      <w:r>
        <w:tab/>
      </w:r>
      <w:r>
        <w:fldChar w:fldCharType="begin"/>
      </w:r>
      <w:r>
        <w:instrText xml:space="preserve"> PAGEREF _Toc54939203 \h </w:instrText>
      </w:r>
      <w:r>
        <w:fldChar w:fldCharType="separate"/>
      </w:r>
      <w:r>
        <w:t>31</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"_Toc54939204" </w:instrText>
      </w:r>
      <w:r>
        <w:fldChar w:fldCharType="separate"/>
      </w:r>
      <w:r>
        <w:rPr>
          <w:rStyle w:val="29"/>
          <w:rFonts w:hAnsi="宋体" w:cs="宋体"/>
          <w:color w:val="auto"/>
        </w:rPr>
        <w:t>三、</w:t>
      </w:r>
      <w:r>
        <w:rPr>
          <w:rStyle w:val="29"/>
          <w:rFonts w:hint="eastAsia" w:hAnsi="宋体" w:cs="宋体"/>
          <w:color w:val="auto"/>
        </w:rPr>
        <w:t>技术参数响应表</w:t>
      </w:r>
      <w:r>
        <w:tab/>
      </w:r>
      <w:r>
        <w:fldChar w:fldCharType="begin"/>
      </w:r>
      <w:r>
        <w:instrText xml:space="preserve"> PAGEREF _Toc54939204 \h </w:instrText>
      </w:r>
      <w:r>
        <w:fldChar w:fldCharType="separate"/>
      </w:r>
      <w:r>
        <w:t>32</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"_Toc54939205" </w:instrText>
      </w:r>
      <w:r>
        <w:fldChar w:fldCharType="separate"/>
      </w:r>
      <w:r>
        <w:rPr>
          <w:rStyle w:val="29"/>
          <w:rFonts w:hAnsi="宋体" w:cs="宋体"/>
          <w:color w:val="auto"/>
        </w:rPr>
        <w:t>四、服务方案</w:t>
      </w:r>
      <w:r>
        <w:tab/>
      </w:r>
      <w:r>
        <w:fldChar w:fldCharType="begin"/>
      </w:r>
      <w:r>
        <w:instrText xml:space="preserve"> PAGEREF _Toc54939205 \h </w:instrText>
      </w:r>
      <w:r>
        <w:fldChar w:fldCharType="separate"/>
      </w:r>
      <w:r>
        <w:t>34</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"_Toc54939206" </w:instrText>
      </w:r>
      <w:r>
        <w:fldChar w:fldCharType="separate"/>
      </w:r>
      <w:r>
        <w:rPr>
          <w:rStyle w:val="29"/>
          <w:rFonts w:hAnsi="宋体" w:cs="宋体"/>
          <w:color w:val="auto"/>
        </w:rPr>
        <w:t>五、诚信谈判响应承诺书</w:t>
      </w:r>
      <w:r>
        <w:tab/>
      </w:r>
      <w:r>
        <w:fldChar w:fldCharType="begin"/>
      </w:r>
      <w:r>
        <w:instrText xml:space="preserve"> PAGEREF _Toc54939206 \h </w:instrText>
      </w:r>
      <w:r>
        <w:fldChar w:fldCharType="separate"/>
      </w:r>
      <w:r>
        <w:t>35</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"_Toc54939209" </w:instrText>
      </w:r>
      <w:r>
        <w:fldChar w:fldCharType="separate"/>
      </w:r>
      <w:r>
        <w:rPr>
          <w:rFonts w:hint="eastAsia"/>
        </w:rPr>
        <w:t>六</w:t>
      </w:r>
      <w:r>
        <w:rPr>
          <w:rStyle w:val="29"/>
          <w:rFonts w:hAnsi="宋体" w:cs="宋体"/>
          <w:color w:val="auto"/>
        </w:rPr>
        <w:t>、资格证明文件</w:t>
      </w:r>
      <w:r>
        <w:tab/>
      </w:r>
      <w:r>
        <w:fldChar w:fldCharType="begin"/>
      </w:r>
      <w:r>
        <w:instrText xml:space="preserve"> PAGEREF _Toc54939209 \h </w:instrText>
      </w:r>
      <w:r>
        <w:fldChar w:fldCharType="separate"/>
      </w:r>
      <w:r>
        <w:t>36</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rPr>
      </w:pPr>
      <w:r>
        <w:rPr>
          <w:rFonts w:hint="eastAsia" w:ascii="宋体" w:hAnsi="宋体" w:cs="宋体"/>
        </w:rPr>
        <w:fldChar w:fldCharType="end"/>
      </w:r>
    </w:p>
    <w:p>
      <w:pPr>
        <w:pStyle w:val="10"/>
        <w:tabs>
          <w:tab w:val="right" w:leader="dot" w:pos="9060"/>
        </w:tabs>
        <w:spacing w:line="240" w:lineRule="auto"/>
        <w:ind w:left="0" w:leftChars="0"/>
        <w:jc w:val="center"/>
        <w:outlineLvl w:val="0"/>
        <w:rPr>
          <w:rFonts w:ascii="宋体" w:hAnsi="宋体" w:cs="宋体"/>
        </w:rPr>
        <w:sectPr>
          <w:headerReference r:id="rId3" w:type="default"/>
          <w:pgSz w:w="11906" w:h="16838"/>
          <w:pgMar w:top="1417" w:right="1418" w:bottom="1417" w:left="1418" w:header="680" w:footer="680" w:gutter="0"/>
          <w:pgNumType w:start="1"/>
          <w:cols w:space="720" w:num="1"/>
          <w:docGrid w:type="lines" w:linePitch="312" w:charSpace="0"/>
        </w:sectPr>
      </w:pPr>
    </w:p>
    <w:p/>
    <w:p>
      <w:pPr>
        <w:pStyle w:val="10"/>
        <w:tabs>
          <w:tab w:val="right" w:leader="dot" w:pos="9060"/>
        </w:tabs>
        <w:spacing w:line="240" w:lineRule="auto"/>
        <w:ind w:left="0" w:leftChars="0"/>
        <w:jc w:val="center"/>
        <w:outlineLvl w:val="0"/>
        <w:rPr>
          <w:rStyle w:val="35"/>
          <w:rFonts w:ascii="宋体" w:hAnsi="宋体" w:cs="宋体"/>
          <w:b/>
          <w:bCs/>
          <w:sz w:val="32"/>
          <w:szCs w:val="32"/>
        </w:rPr>
      </w:pPr>
      <w:bookmarkStart w:id="0" w:name="_Toc54939187"/>
      <w:r>
        <w:rPr>
          <w:rStyle w:val="35"/>
          <w:rFonts w:hint="eastAsia" w:ascii="宋体" w:hAnsi="宋体" w:cs="宋体"/>
          <w:b/>
          <w:bCs/>
          <w:sz w:val="32"/>
          <w:szCs w:val="32"/>
        </w:rPr>
        <w:t>第一章   竞争性谈判公告</w:t>
      </w:r>
      <w:bookmarkEnd w:id="0"/>
      <w:bookmarkStart w:id="1" w:name="_Toc35393797"/>
      <w:bookmarkStart w:id="2" w:name="_Toc28359011"/>
    </w:p>
    <w:p>
      <w:pPr>
        <w:pStyle w:val="10"/>
        <w:tabs>
          <w:tab w:val="right" w:leader="dot" w:pos="9060"/>
        </w:tabs>
        <w:spacing w:line="240" w:lineRule="auto"/>
        <w:ind w:left="0" w:leftChars="0"/>
        <w:jc w:val="center"/>
        <w:rPr>
          <w:rFonts w:ascii="华文中宋" w:hAnsi="华文中宋" w:eastAsia="华文中宋"/>
          <w:b/>
          <w:bCs/>
          <w:kern w:val="44"/>
          <w:sz w:val="28"/>
          <w:szCs w:val="28"/>
        </w:rPr>
      </w:pPr>
      <w:r>
        <w:rPr>
          <w:rFonts w:hint="eastAsia" w:ascii="华文中宋" w:hAnsi="华文中宋" w:eastAsia="华文中宋"/>
          <w:b/>
          <w:bCs/>
          <w:kern w:val="44"/>
          <w:sz w:val="28"/>
          <w:szCs w:val="28"/>
          <w:lang w:eastAsia="zh-CN"/>
        </w:rPr>
        <w:t>安庆职业技术学院画室改造装饰</w:t>
      </w:r>
      <w:r>
        <w:rPr>
          <w:rFonts w:hint="eastAsia" w:ascii="华文中宋" w:hAnsi="华文中宋" w:eastAsia="华文中宋"/>
          <w:b/>
          <w:bCs/>
          <w:kern w:val="44"/>
          <w:sz w:val="28"/>
          <w:szCs w:val="28"/>
        </w:rPr>
        <w:t>项目竞争性谈判公告</w:t>
      </w:r>
      <w:bookmarkEnd w:id="1"/>
      <w:bookmarkEnd w:id="2"/>
    </w:p>
    <w:tbl>
      <w:tblPr>
        <w:tblStyle w:val="2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bookmarkStart w:id="3" w:name="_Toc5725"/>
            <w:bookmarkStart w:id="4" w:name="_Toc54939188"/>
            <w:r>
              <w:rPr>
                <w:rFonts w:hint="eastAsia" w:ascii="仿宋" w:hAnsi="仿宋" w:eastAsia="仿宋"/>
                <w:sz w:val="28"/>
                <w:szCs w:val="28"/>
              </w:rPr>
              <w:t>项目概况</w:t>
            </w:r>
          </w:p>
          <w:p>
            <w:pPr>
              <w:ind w:left="280" w:hanging="280" w:hangingChars="100"/>
            </w:pPr>
            <w:r>
              <w:rPr>
                <w:rFonts w:hint="eastAsia" w:ascii="仿宋" w:hAnsi="仿宋" w:eastAsia="仿宋"/>
                <w:sz w:val="28"/>
                <w:szCs w:val="28"/>
                <w:u w:val="single"/>
                <w:lang w:eastAsia="zh-CN"/>
              </w:rPr>
              <w:t>安庆职业技术学院画室改造装饰</w:t>
            </w:r>
            <w:r>
              <w:rPr>
                <w:rFonts w:hint="eastAsia" w:ascii="仿宋" w:hAnsi="仿宋" w:eastAsia="仿宋"/>
                <w:sz w:val="28"/>
                <w:szCs w:val="28"/>
              </w:rPr>
              <w:t>项目的潜在供应商应于2021年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分（北京时间）前提交响应文件。</w:t>
            </w:r>
            <w:r>
              <w:rPr>
                <w:rFonts w:ascii="Calibri" w:hAnsi="Calibri"/>
                <w:szCs w:val="21"/>
                <w:lang w:bidi="ar"/>
              </w:rPr>
              <w:t> </w:t>
            </w:r>
          </w:p>
        </w:tc>
      </w:tr>
    </w:tbl>
    <w:p>
      <w:pPr>
        <w:rPr>
          <w:rFonts w:ascii="黑体" w:hAnsi="黑体" w:eastAsia="黑体" w:cs="宋体"/>
          <w:bCs/>
          <w:sz w:val="28"/>
          <w:szCs w:val="28"/>
        </w:rPr>
      </w:pPr>
      <w:r>
        <w:rPr>
          <w:rFonts w:ascii="Calibri" w:hAnsi="Calibri"/>
          <w:szCs w:val="21"/>
          <w:lang w:bidi="ar"/>
        </w:rPr>
        <w:t xml:space="preserve"> </w:t>
      </w:r>
      <w:bookmarkStart w:id="5" w:name="_Toc28359089"/>
      <w:bookmarkStart w:id="6" w:name="_Toc28359012"/>
      <w:bookmarkStart w:id="7" w:name="_Toc35393629"/>
      <w:bookmarkStart w:id="8" w:name="_Toc35393798"/>
      <w:r>
        <w:rPr>
          <w:rFonts w:hint="eastAsia" w:ascii="黑体" w:hAnsi="黑体" w:eastAsia="黑体" w:cs="宋体"/>
          <w:bCs/>
          <w:sz w:val="28"/>
          <w:szCs w:val="28"/>
        </w:rPr>
        <w:t>一、项目基本情况</w:t>
      </w:r>
      <w:bookmarkEnd w:id="5"/>
      <w:bookmarkEnd w:id="6"/>
      <w:bookmarkEnd w:id="7"/>
      <w:bookmarkEnd w:id="8"/>
    </w:p>
    <w:p>
      <w:pPr>
        <w:ind w:firstLine="708" w:firstLineChars="253"/>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CG-AZ-2021-0</w:t>
      </w:r>
      <w:r>
        <w:rPr>
          <w:rFonts w:hint="eastAsia" w:ascii="仿宋" w:hAnsi="仿宋" w:eastAsia="仿宋"/>
          <w:sz w:val="28"/>
          <w:szCs w:val="28"/>
          <w:lang w:val="en-US" w:eastAsia="zh-CN"/>
        </w:rPr>
        <w:t>13</w:t>
      </w:r>
    </w:p>
    <w:p>
      <w:pPr>
        <w:ind w:firstLine="708" w:firstLineChars="253"/>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安庆职业技术学院画室改造装饰</w:t>
      </w:r>
      <w:r>
        <w:rPr>
          <w:rFonts w:hint="eastAsia" w:ascii="仿宋" w:hAnsi="仿宋" w:eastAsia="仿宋"/>
          <w:sz w:val="28"/>
          <w:szCs w:val="28"/>
        </w:rPr>
        <w:t>项目</w:t>
      </w:r>
    </w:p>
    <w:p>
      <w:pPr>
        <w:ind w:firstLine="708" w:firstLineChars="253"/>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708" w:firstLineChars="253"/>
        <w:rPr>
          <w:rFonts w:ascii="仿宋" w:hAnsi="仿宋" w:eastAsia="仿宋"/>
          <w:sz w:val="28"/>
          <w:szCs w:val="28"/>
        </w:rPr>
      </w:pPr>
      <w:r>
        <w:rPr>
          <w:rFonts w:hint="eastAsia" w:ascii="仿宋" w:hAnsi="仿宋" w:eastAsia="仿宋"/>
          <w:sz w:val="28"/>
          <w:szCs w:val="28"/>
        </w:rPr>
        <w:t>资金来源：财政资金</w:t>
      </w:r>
    </w:p>
    <w:p>
      <w:pPr>
        <w:ind w:firstLine="708" w:firstLineChars="253"/>
        <w:rPr>
          <w:rFonts w:ascii="仿宋" w:hAnsi="仿宋" w:eastAsia="仿宋"/>
          <w:sz w:val="28"/>
          <w:szCs w:val="28"/>
        </w:rPr>
      </w:pPr>
      <w:r>
        <w:rPr>
          <w:rFonts w:hint="eastAsia" w:ascii="仿宋" w:hAnsi="仿宋" w:eastAsia="仿宋"/>
          <w:sz w:val="28"/>
          <w:szCs w:val="28"/>
        </w:rPr>
        <w:t>预算金额：1</w:t>
      </w:r>
      <w:r>
        <w:rPr>
          <w:rFonts w:hint="eastAsia" w:ascii="仿宋" w:hAnsi="仿宋" w:eastAsia="仿宋"/>
          <w:sz w:val="28"/>
          <w:szCs w:val="28"/>
          <w:lang w:val="en-US" w:eastAsia="zh-CN"/>
        </w:rPr>
        <w:t>3</w:t>
      </w:r>
      <w:r>
        <w:rPr>
          <w:rFonts w:hint="eastAsia" w:ascii="仿宋" w:hAnsi="仿宋" w:eastAsia="仿宋"/>
          <w:sz w:val="28"/>
          <w:szCs w:val="28"/>
        </w:rPr>
        <w:t>万元</w:t>
      </w:r>
    </w:p>
    <w:p>
      <w:pPr>
        <w:ind w:firstLine="708" w:firstLineChars="253"/>
        <w:rPr>
          <w:rFonts w:ascii="仿宋" w:hAnsi="仿宋" w:eastAsia="仿宋"/>
          <w:sz w:val="28"/>
          <w:szCs w:val="28"/>
        </w:rPr>
      </w:pPr>
      <w:r>
        <w:rPr>
          <w:rFonts w:hint="eastAsia" w:ascii="仿宋" w:hAnsi="仿宋" w:eastAsia="仿宋"/>
          <w:sz w:val="28"/>
          <w:szCs w:val="28"/>
        </w:rPr>
        <w:t>最高限价：1</w:t>
      </w:r>
      <w:r>
        <w:rPr>
          <w:rFonts w:hint="eastAsia" w:ascii="仿宋" w:hAnsi="仿宋" w:eastAsia="仿宋"/>
          <w:sz w:val="28"/>
          <w:szCs w:val="28"/>
          <w:lang w:val="en-US" w:eastAsia="zh-CN"/>
        </w:rPr>
        <w:t>3</w:t>
      </w:r>
      <w:r>
        <w:rPr>
          <w:rFonts w:hint="eastAsia" w:ascii="仿宋" w:hAnsi="仿宋" w:eastAsia="仿宋"/>
          <w:sz w:val="28"/>
          <w:szCs w:val="28"/>
        </w:rPr>
        <w:t>万元</w:t>
      </w:r>
    </w:p>
    <w:p>
      <w:pPr>
        <w:ind w:firstLine="708" w:firstLineChars="253"/>
        <w:rPr>
          <w:rFonts w:hint="eastAsia" w:ascii="仿宋" w:hAnsi="仿宋" w:eastAsia="仿宋"/>
          <w:sz w:val="28"/>
          <w:szCs w:val="28"/>
        </w:rPr>
      </w:pPr>
      <w:r>
        <w:rPr>
          <w:rFonts w:hint="eastAsia" w:ascii="仿宋" w:hAnsi="仿宋" w:eastAsia="仿宋"/>
          <w:sz w:val="28"/>
          <w:szCs w:val="28"/>
        </w:rPr>
        <w:t>采购需求：理实一体教学专用大屏</w:t>
      </w:r>
      <w:r>
        <w:rPr>
          <w:rFonts w:hint="eastAsia" w:ascii="仿宋" w:hAnsi="仿宋" w:eastAsia="仿宋"/>
          <w:sz w:val="28"/>
          <w:szCs w:val="28"/>
          <w:lang w:eastAsia="zh-CN"/>
        </w:rPr>
        <w:t>、</w:t>
      </w:r>
      <w:r>
        <w:rPr>
          <w:rFonts w:hint="default" w:ascii="仿宋" w:hAnsi="仿宋" w:eastAsia="仿宋"/>
          <w:sz w:val="28"/>
          <w:szCs w:val="28"/>
          <w:lang w:val="en-US" w:eastAsia="zh-CN"/>
        </w:rPr>
        <w:t>空调</w:t>
      </w:r>
      <w:r>
        <w:rPr>
          <w:rFonts w:hint="eastAsia" w:ascii="仿宋" w:hAnsi="仿宋" w:eastAsia="仿宋"/>
          <w:sz w:val="28"/>
          <w:szCs w:val="28"/>
          <w:lang w:val="en-US" w:eastAsia="zh-CN"/>
        </w:rPr>
        <w:t>、</w:t>
      </w:r>
      <w:r>
        <w:rPr>
          <w:rFonts w:hint="default" w:ascii="仿宋" w:hAnsi="仿宋" w:eastAsia="仿宋"/>
          <w:sz w:val="28"/>
          <w:szCs w:val="28"/>
          <w:lang w:eastAsia="zh-CN"/>
        </w:rPr>
        <w:t>水电改造、</w:t>
      </w:r>
      <w:r>
        <w:rPr>
          <w:rFonts w:hint="default" w:ascii="仿宋" w:hAnsi="仿宋" w:eastAsia="仿宋"/>
          <w:sz w:val="28"/>
          <w:szCs w:val="28"/>
          <w:lang w:val="en-US" w:eastAsia="zh-CN"/>
        </w:rPr>
        <w:t>墙面刷新等</w:t>
      </w:r>
      <w:r>
        <w:rPr>
          <w:rFonts w:hint="eastAsia" w:ascii="仿宋" w:hAnsi="仿宋" w:eastAsia="仿宋"/>
          <w:sz w:val="28"/>
          <w:szCs w:val="28"/>
        </w:rPr>
        <w:t>。详见谈判文件</w:t>
      </w:r>
    </w:p>
    <w:p>
      <w:pPr>
        <w:ind w:firstLine="708" w:firstLineChars="253"/>
        <w:rPr>
          <w:rFonts w:ascii="仿宋" w:hAnsi="仿宋" w:eastAsia="仿宋"/>
          <w:sz w:val="28"/>
          <w:szCs w:val="28"/>
        </w:rPr>
      </w:pPr>
      <w:r>
        <w:rPr>
          <w:rFonts w:hint="eastAsia" w:ascii="仿宋" w:hAnsi="仿宋" w:eastAsia="仿宋"/>
          <w:sz w:val="28"/>
          <w:szCs w:val="28"/>
        </w:rPr>
        <w:t>标段（包别）划分：一个包</w:t>
      </w:r>
    </w:p>
    <w:p>
      <w:pPr>
        <w:ind w:firstLine="708" w:firstLineChars="253"/>
        <w:rPr>
          <w:rFonts w:ascii="仿宋" w:hAnsi="仿宋" w:eastAsia="仿宋" w:cs="仿宋"/>
          <w:sz w:val="28"/>
          <w:szCs w:val="28"/>
        </w:rPr>
      </w:pPr>
      <w:r>
        <w:rPr>
          <w:rFonts w:hint="eastAsia" w:ascii="仿宋" w:hAnsi="仿宋" w:eastAsia="仿宋"/>
          <w:sz w:val="28"/>
          <w:szCs w:val="28"/>
        </w:rPr>
        <w:t>评标</w:t>
      </w:r>
      <w:r>
        <w:rPr>
          <w:rFonts w:hint="eastAsia" w:ascii="仿宋" w:hAnsi="仿宋" w:eastAsia="仿宋" w:cs="仿宋"/>
          <w:sz w:val="28"/>
          <w:szCs w:val="28"/>
        </w:rPr>
        <w:t>办法：采用符合性评审的有效最低价评审办法</w:t>
      </w:r>
    </w:p>
    <w:p>
      <w:pPr>
        <w:ind w:firstLine="708" w:firstLineChars="253"/>
        <w:rPr>
          <w:rFonts w:ascii="仿宋" w:hAnsi="仿宋" w:eastAsia="仿宋"/>
          <w:sz w:val="28"/>
          <w:szCs w:val="28"/>
          <w:highlight w:val="yellow"/>
        </w:rPr>
      </w:pPr>
      <w:r>
        <w:rPr>
          <w:rFonts w:hint="eastAsia" w:ascii="仿宋" w:hAnsi="仿宋" w:eastAsia="仿宋" w:cs="仿宋"/>
          <w:sz w:val="28"/>
          <w:szCs w:val="28"/>
        </w:rPr>
        <w:t>合同履行期限：自合同签字生效后</w:t>
      </w:r>
      <w:r>
        <w:rPr>
          <w:rFonts w:hint="eastAsia" w:ascii="仿宋" w:hAnsi="仿宋" w:eastAsia="仿宋" w:cs="仿宋"/>
          <w:sz w:val="28"/>
          <w:szCs w:val="28"/>
          <w:lang w:val="en-US" w:eastAsia="zh-CN"/>
        </w:rPr>
        <w:t>30</w:t>
      </w:r>
      <w:r>
        <w:rPr>
          <w:rFonts w:hint="eastAsia" w:ascii="仿宋" w:hAnsi="仿宋" w:eastAsia="仿宋" w:cs="仿宋"/>
          <w:sz w:val="28"/>
          <w:szCs w:val="28"/>
        </w:rPr>
        <w:t>日历天</w:t>
      </w:r>
    </w:p>
    <w:p>
      <w:pPr>
        <w:ind w:firstLine="708" w:firstLineChars="253"/>
        <w:rPr>
          <w:rFonts w:ascii="仿宋" w:hAnsi="仿宋" w:eastAsia="仿宋"/>
          <w:sz w:val="28"/>
          <w:szCs w:val="28"/>
        </w:rPr>
      </w:pPr>
      <w:r>
        <w:rPr>
          <w:rFonts w:hint="eastAsia" w:ascii="仿宋" w:hAnsi="仿宋" w:eastAsia="仿宋"/>
          <w:sz w:val="28"/>
          <w:szCs w:val="28"/>
        </w:rPr>
        <w:t>本项目不接受联合体谈判。</w:t>
      </w:r>
    </w:p>
    <w:p>
      <w:pPr>
        <w:rPr>
          <w:rFonts w:ascii="黑体" w:hAnsi="黑体" w:eastAsia="黑体" w:cs="宋体"/>
          <w:bCs/>
          <w:sz w:val="28"/>
          <w:szCs w:val="28"/>
        </w:rPr>
      </w:pPr>
      <w:bookmarkStart w:id="9" w:name="_Toc35393630"/>
      <w:bookmarkStart w:id="10" w:name="_Toc35393799"/>
      <w:bookmarkStart w:id="11" w:name="_Toc28359090"/>
      <w:bookmarkStart w:id="12" w:name="_Toc28359013"/>
      <w:r>
        <w:rPr>
          <w:rFonts w:hint="eastAsia" w:ascii="黑体" w:hAnsi="黑体" w:eastAsia="黑体" w:cs="宋体"/>
          <w:bCs/>
          <w:sz w:val="28"/>
          <w:szCs w:val="28"/>
        </w:rPr>
        <w:t>二、申请人的资格要求：</w:t>
      </w:r>
      <w:bookmarkEnd w:id="9"/>
      <w:bookmarkEnd w:id="10"/>
      <w:bookmarkEnd w:id="11"/>
      <w:bookmarkEnd w:id="12"/>
    </w:p>
    <w:p>
      <w:pPr>
        <w:ind w:firstLine="565" w:firstLineChars="202"/>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5" w:firstLineChars="202"/>
        <w:rPr>
          <w:rFonts w:ascii="仿宋" w:hAnsi="仿宋" w:eastAsia="仿宋"/>
          <w:sz w:val="28"/>
          <w:szCs w:val="28"/>
        </w:rPr>
      </w:pPr>
      <w:bookmarkStart w:id="13" w:name="_Toc28359091"/>
      <w:bookmarkStart w:id="14" w:name="_Toc28359014"/>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5" w:firstLineChars="202"/>
        <w:rPr>
          <w:rFonts w:ascii="仿宋" w:hAnsi="仿宋" w:eastAsia="仿宋"/>
          <w:i/>
          <w:iCs/>
          <w:sz w:val="28"/>
          <w:szCs w:val="28"/>
          <w:u w:val="single"/>
        </w:rPr>
      </w:pPr>
      <w:r>
        <w:rPr>
          <w:rFonts w:hint="eastAsia" w:ascii="仿宋" w:hAnsi="仿宋" w:eastAsia="仿宋"/>
          <w:sz w:val="28"/>
          <w:szCs w:val="28"/>
        </w:rPr>
        <w:t>3.本项目的特定资格要求：/</w:t>
      </w:r>
    </w:p>
    <w:p>
      <w:pPr>
        <w:ind w:firstLine="565" w:firstLineChars="202"/>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具有合法有效的营业执照。</w:t>
      </w:r>
    </w:p>
    <w:p>
      <w:pPr>
        <w:rPr>
          <w:rFonts w:ascii="黑体" w:hAnsi="黑体" w:eastAsia="黑体" w:cs="宋体"/>
          <w:bCs/>
          <w:sz w:val="28"/>
          <w:szCs w:val="28"/>
        </w:rPr>
      </w:pPr>
      <w:bookmarkStart w:id="15" w:name="_Toc35393800"/>
      <w:bookmarkStart w:id="16" w:name="_Toc35393631"/>
      <w:r>
        <w:rPr>
          <w:rFonts w:hint="eastAsia" w:ascii="黑体" w:hAnsi="黑体" w:eastAsia="黑体" w:cs="宋体"/>
          <w:bCs/>
          <w:sz w:val="28"/>
          <w:szCs w:val="28"/>
        </w:rPr>
        <w:t>三、获取采购文件</w:t>
      </w:r>
      <w:bookmarkEnd w:id="13"/>
      <w:bookmarkEnd w:id="14"/>
      <w:bookmarkEnd w:id="15"/>
      <w:bookmarkEnd w:id="16"/>
    </w:p>
    <w:p>
      <w:pPr>
        <w:ind w:firstLine="565" w:firstLineChars="202"/>
        <w:rPr>
          <w:rFonts w:ascii="仿宋" w:hAnsi="仿宋" w:eastAsia="仿宋" w:cs="宋体"/>
          <w:sz w:val="28"/>
          <w:szCs w:val="28"/>
        </w:rPr>
      </w:pPr>
      <w:r>
        <w:rPr>
          <w:rFonts w:hint="eastAsia" w:ascii="仿宋" w:hAnsi="仿宋" w:eastAsia="仿宋" w:cs="仿宋"/>
          <w:kern w:val="0"/>
          <w:sz w:val="28"/>
          <w:szCs w:val="28"/>
        </w:rPr>
        <w:t>潜在供应商于2021年</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14</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时</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分前，将盖公章的获取竞争性谈判文件的函（详见附件）发送至邮箱504476178@qq.com。（超过时间的邮件无效，无法获取文件）</w:t>
      </w:r>
    </w:p>
    <w:p>
      <w:pPr>
        <w:ind w:firstLine="565" w:firstLineChars="202"/>
        <w:rPr>
          <w:rFonts w:ascii="仿宋" w:hAnsi="仿宋" w:eastAsia="仿宋" w:cs="宋体"/>
          <w:sz w:val="28"/>
          <w:szCs w:val="28"/>
        </w:rPr>
      </w:pPr>
      <w:r>
        <w:rPr>
          <w:rFonts w:hint="eastAsia" w:ascii="仿宋" w:hAnsi="仿宋" w:eastAsia="仿宋" w:cs="宋体"/>
          <w:sz w:val="28"/>
          <w:szCs w:val="28"/>
        </w:rPr>
        <w:t>售价：免费。</w:t>
      </w:r>
    </w:p>
    <w:p>
      <w:pPr>
        <w:rPr>
          <w:rFonts w:ascii="黑体" w:hAnsi="黑体" w:eastAsia="黑体" w:cs="宋体"/>
          <w:bCs/>
          <w:sz w:val="28"/>
          <w:szCs w:val="28"/>
        </w:rPr>
      </w:pPr>
      <w:bookmarkStart w:id="17" w:name="_Toc35393632"/>
      <w:bookmarkStart w:id="18" w:name="_Toc35393801"/>
      <w:bookmarkStart w:id="19" w:name="_Toc28359015"/>
      <w:bookmarkStart w:id="20" w:name="_Toc28359092"/>
      <w:r>
        <w:rPr>
          <w:rFonts w:hint="eastAsia" w:ascii="黑体" w:hAnsi="黑体" w:eastAsia="黑体" w:cs="宋体"/>
          <w:bCs/>
          <w:sz w:val="28"/>
          <w:szCs w:val="28"/>
        </w:rPr>
        <w:t>四、响应文件提交</w:t>
      </w:r>
      <w:bookmarkEnd w:id="17"/>
      <w:bookmarkEnd w:id="18"/>
      <w:bookmarkEnd w:id="19"/>
      <w:bookmarkEnd w:id="20"/>
    </w:p>
    <w:p>
      <w:pPr>
        <w:ind w:firstLine="565" w:firstLineChars="202"/>
        <w:rPr>
          <w:rFonts w:ascii="仿宋" w:hAnsi="仿宋" w:eastAsia="仿宋"/>
          <w:bCs/>
          <w:sz w:val="28"/>
          <w:szCs w:val="28"/>
          <w:u w:val="single"/>
        </w:rPr>
      </w:pPr>
      <w:r>
        <w:rPr>
          <w:rFonts w:hint="eastAsia" w:ascii="仿宋" w:hAnsi="仿宋" w:eastAsia="仿宋"/>
          <w:sz w:val="28"/>
          <w:szCs w:val="28"/>
        </w:rPr>
        <w:t>截止时间：2021年7月22日15点30分</w:t>
      </w:r>
      <w:r>
        <w:rPr>
          <w:rFonts w:hint="eastAsia" w:ascii="仿宋" w:hAnsi="仿宋" w:eastAsia="仿宋"/>
          <w:bCs/>
          <w:sz w:val="28"/>
          <w:szCs w:val="28"/>
        </w:rPr>
        <w:t>（北京时间）</w:t>
      </w:r>
    </w:p>
    <w:p>
      <w:pPr>
        <w:widowControl/>
        <w:shd w:val="clear" w:color="auto" w:fill="FFFFFF"/>
        <w:spacing w:line="56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安庆市公共资源交易中心(具体开标地点见当天一楼大厅电子显示屏)</w:t>
      </w:r>
    </w:p>
    <w:p>
      <w:pPr>
        <w:rPr>
          <w:rFonts w:ascii="黑体" w:hAnsi="黑体" w:eastAsia="黑体" w:cs="宋体"/>
          <w:bCs/>
          <w:sz w:val="28"/>
          <w:szCs w:val="28"/>
        </w:rPr>
      </w:pPr>
      <w:bookmarkStart w:id="21" w:name="_Toc28359016"/>
      <w:bookmarkStart w:id="22" w:name="_Toc35393633"/>
      <w:bookmarkStart w:id="23" w:name="_Toc28359093"/>
      <w:bookmarkStart w:id="24" w:name="_Toc35393802"/>
      <w:r>
        <w:rPr>
          <w:rFonts w:hint="eastAsia" w:ascii="黑体" w:hAnsi="黑体" w:eastAsia="黑体" w:cs="宋体"/>
          <w:bCs/>
          <w:sz w:val="28"/>
          <w:szCs w:val="28"/>
        </w:rPr>
        <w:t>五、开启</w:t>
      </w:r>
      <w:bookmarkEnd w:id="21"/>
      <w:bookmarkEnd w:id="22"/>
      <w:bookmarkEnd w:id="23"/>
      <w:bookmarkEnd w:id="24"/>
    </w:p>
    <w:p>
      <w:pPr>
        <w:ind w:firstLine="565" w:firstLineChars="202"/>
        <w:rPr>
          <w:rFonts w:ascii="仿宋" w:hAnsi="仿宋" w:eastAsia="仿宋"/>
          <w:bCs/>
          <w:sz w:val="28"/>
          <w:szCs w:val="28"/>
          <w:u w:val="single"/>
        </w:rPr>
      </w:pPr>
      <w:r>
        <w:rPr>
          <w:rFonts w:hint="eastAsia" w:ascii="仿宋" w:hAnsi="仿宋" w:eastAsia="仿宋"/>
          <w:sz w:val="28"/>
          <w:szCs w:val="28"/>
        </w:rPr>
        <w:t>时间：2021年7月22日15点30分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安庆市公共资源交易中心</w:t>
      </w:r>
    </w:p>
    <w:p>
      <w:pPr>
        <w:rPr>
          <w:rFonts w:ascii="黑体" w:hAnsi="黑体" w:eastAsia="黑体" w:cs="宋体"/>
          <w:bCs/>
          <w:sz w:val="28"/>
          <w:szCs w:val="28"/>
        </w:rPr>
      </w:pPr>
      <w:bookmarkStart w:id="25" w:name="_Toc35393634"/>
      <w:bookmarkStart w:id="26" w:name="_Toc35393803"/>
      <w:bookmarkStart w:id="27" w:name="_Toc28359017"/>
      <w:bookmarkStart w:id="28" w:name="_Toc28359094"/>
      <w:r>
        <w:rPr>
          <w:rFonts w:hint="eastAsia" w:ascii="黑体" w:hAnsi="黑体" w:eastAsia="黑体" w:cs="宋体"/>
          <w:bCs/>
          <w:sz w:val="28"/>
          <w:szCs w:val="28"/>
        </w:rPr>
        <w:t>六、公告期限</w:t>
      </w:r>
      <w:bookmarkEnd w:id="25"/>
      <w:bookmarkEnd w:id="26"/>
      <w:bookmarkEnd w:id="27"/>
      <w:bookmarkEnd w:id="28"/>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个工作日。</w:t>
      </w:r>
    </w:p>
    <w:p>
      <w:pPr>
        <w:rPr>
          <w:rFonts w:ascii="黑体" w:hAnsi="黑体" w:eastAsia="黑体" w:cs="宋体"/>
          <w:bCs/>
          <w:sz w:val="28"/>
          <w:szCs w:val="28"/>
        </w:rPr>
      </w:pPr>
      <w:bookmarkStart w:id="29" w:name="_Toc35393635"/>
      <w:bookmarkStart w:id="30" w:name="_Toc35393804"/>
      <w:r>
        <w:rPr>
          <w:rFonts w:hint="eastAsia" w:ascii="黑体" w:hAnsi="黑体" w:eastAsia="黑体" w:cs="宋体"/>
          <w:bCs/>
          <w:sz w:val="28"/>
          <w:szCs w:val="28"/>
        </w:rPr>
        <w:t>七、其他补充事宜</w:t>
      </w:r>
      <w:bookmarkEnd w:id="29"/>
      <w:bookmarkEnd w:id="30"/>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职业技术学院（https://www.aqvtc.edu.cn/）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3.获取竞争性谈判文件，而放弃参加投标的供应商，请在响应文件提交截止日前以单位名义向504476178@qq.com邮箱发送弃标函（格式自拟）。</w:t>
      </w:r>
    </w:p>
    <w:p>
      <w:pPr>
        <w:rPr>
          <w:rFonts w:ascii="黑体" w:hAnsi="黑体" w:eastAsia="黑体" w:cs="宋体"/>
          <w:bCs/>
          <w:sz w:val="28"/>
          <w:szCs w:val="28"/>
        </w:rPr>
      </w:pPr>
      <w:bookmarkStart w:id="31" w:name="_Toc28359095"/>
      <w:bookmarkStart w:id="32" w:name="_Toc35393805"/>
      <w:bookmarkStart w:id="33" w:name="_Toc35393636"/>
      <w:bookmarkStart w:id="34" w:name="_Toc28359018"/>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1"/>
      <w:bookmarkEnd w:id="32"/>
      <w:bookmarkEnd w:id="33"/>
      <w:bookmarkEnd w:id="34"/>
    </w:p>
    <w:p>
      <w:pPr>
        <w:ind w:firstLine="565" w:firstLineChars="202"/>
        <w:rPr>
          <w:rFonts w:ascii="仿宋" w:hAnsi="仿宋" w:eastAsia="仿宋" w:cs="宋体"/>
          <w:bCs/>
          <w:sz w:val="28"/>
          <w:szCs w:val="28"/>
        </w:rPr>
      </w:pPr>
      <w:bookmarkStart w:id="35" w:name="_Toc35393637"/>
      <w:bookmarkStart w:id="36" w:name="_Toc28359096"/>
      <w:bookmarkStart w:id="37" w:name="_Toc35393806"/>
      <w:bookmarkStart w:id="38" w:name="_Toc28359019"/>
      <w:r>
        <w:rPr>
          <w:rFonts w:hint="eastAsia" w:ascii="仿宋" w:hAnsi="仿宋" w:eastAsia="仿宋" w:cs="宋体"/>
          <w:bCs/>
          <w:sz w:val="28"/>
          <w:szCs w:val="28"/>
        </w:rPr>
        <w:t>1.采购人信息</w:t>
      </w:r>
      <w:bookmarkEnd w:id="35"/>
      <w:bookmarkEnd w:id="36"/>
      <w:bookmarkEnd w:id="37"/>
      <w:bookmarkEnd w:id="38"/>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kern w:val="0"/>
          <w:sz w:val="28"/>
          <w:szCs w:val="28"/>
        </w:rPr>
        <w:t>安庆职业技术学院</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仿宋"/>
          <w:kern w:val="0"/>
          <w:sz w:val="28"/>
          <w:szCs w:val="28"/>
        </w:rPr>
        <w:t>安庆市天柱山东路99号</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仿宋"/>
          <w:kern w:val="0"/>
          <w:sz w:val="28"/>
          <w:szCs w:val="28"/>
        </w:rPr>
        <w:t>余老师</w:t>
      </w:r>
    </w:p>
    <w:p>
      <w:pPr>
        <w:ind w:firstLine="565" w:firstLineChars="202"/>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s="仿宋"/>
          <w:kern w:val="0"/>
          <w:sz w:val="28"/>
          <w:szCs w:val="28"/>
        </w:rPr>
        <w:t>0556-5283045</w:t>
      </w:r>
    </w:p>
    <w:p>
      <w:pPr>
        <w:ind w:firstLine="565" w:firstLineChars="202"/>
        <w:rPr>
          <w:rFonts w:ascii="仿宋" w:hAnsi="仿宋" w:eastAsia="仿宋" w:cs="宋体"/>
          <w:bCs/>
          <w:sz w:val="28"/>
          <w:szCs w:val="28"/>
        </w:rPr>
      </w:pPr>
      <w:bookmarkStart w:id="39" w:name="_Toc28359097"/>
      <w:bookmarkStart w:id="40" w:name="_Toc35393638"/>
      <w:bookmarkStart w:id="41" w:name="_Toc35393807"/>
      <w:bookmarkStart w:id="42" w:name="_Toc28359020"/>
      <w:r>
        <w:rPr>
          <w:rFonts w:hint="eastAsia" w:ascii="仿宋" w:hAnsi="仿宋" w:eastAsia="仿宋" w:cs="宋体"/>
          <w:bCs/>
          <w:sz w:val="28"/>
          <w:szCs w:val="28"/>
        </w:rPr>
        <w:t>2.采购代理机构信息</w:t>
      </w:r>
      <w:bookmarkEnd w:id="39"/>
      <w:bookmarkEnd w:id="40"/>
      <w:bookmarkEnd w:id="41"/>
      <w:bookmarkEnd w:id="42"/>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kern w:val="0"/>
          <w:sz w:val="28"/>
          <w:szCs w:val="28"/>
        </w:rPr>
        <w:t>安庆市皖宜项目咨询管理有限公司</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仿宋"/>
          <w:kern w:val="0"/>
          <w:sz w:val="28"/>
          <w:szCs w:val="28"/>
        </w:rPr>
        <w:t>安庆市龙山路215号五楼政府采购部</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rPr>
        <w:t>武惠梅</w:t>
      </w:r>
    </w:p>
    <w:p>
      <w:pPr>
        <w:ind w:firstLine="565" w:firstLineChars="202"/>
        <w:rPr>
          <w:rFonts w:ascii="仿宋" w:hAnsi="仿宋" w:eastAsia="仿宋"/>
          <w:sz w:val="28"/>
          <w:szCs w:val="28"/>
        </w:rPr>
      </w:pPr>
      <w:r>
        <w:rPr>
          <w:rFonts w:hint="eastAsia" w:ascii="仿宋" w:hAnsi="仿宋" w:eastAsia="仿宋"/>
          <w:sz w:val="28"/>
          <w:szCs w:val="28"/>
        </w:rPr>
        <w:t>联系方式：0556-5991152</w:t>
      </w:r>
    </w:p>
    <w:p>
      <w:pPr>
        <w:ind w:firstLine="565" w:firstLineChars="202"/>
        <w:rPr>
          <w:rFonts w:ascii="仿宋" w:hAnsi="仿宋" w:eastAsia="仿宋" w:cs="宋体"/>
          <w:bCs/>
          <w:sz w:val="28"/>
          <w:szCs w:val="28"/>
        </w:rPr>
      </w:pPr>
      <w:bookmarkStart w:id="43" w:name="_Toc35393808"/>
      <w:bookmarkStart w:id="44" w:name="_Toc35393639"/>
      <w:bookmarkStart w:id="45" w:name="_Toc28359021"/>
      <w:bookmarkStart w:id="46" w:name="_Toc28359098"/>
      <w:r>
        <w:rPr>
          <w:rFonts w:hint="eastAsia" w:ascii="仿宋" w:hAnsi="仿宋" w:eastAsia="仿宋" w:cs="宋体"/>
          <w:bCs/>
          <w:sz w:val="28"/>
          <w:szCs w:val="28"/>
        </w:rPr>
        <w:t>3.项目联系</w:t>
      </w:r>
      <w:r>
        <w:rPr>
          <w:rFonts w:ascii="仿宋" w:hAnsi="仿宋" w:eastAsia="仿宋" w:cs="宋体"/>
          <w:bCs/>
          <w:sz w:val="28"/>
          <w:szCs w:val="28"/>
        </w:rPr>
        <w:t>方式</w:t>
      </w:r>
      <w:bookmarkEnd w:id="43"/>
      <w:bookmarkEnd w:id="44"/>
      <w:bookmarkEnd w:id="45"/>
      <w:bookmarkEnd w:id="46"/>
    </w:p>
    <w:p>
      <w:pPr>
        <w:ind w:firstLine="565" w:firstLineChars="202"/>
        <w:rPr>
          <w:rFonts w:ascii="仿宋" w:hAnsi="仿宋" w:eastAsia="仿宋" w:cstheme="minorBidi"/>
          <w:sz w:val="28"/>
          <w:szCs w:val="28"/>
        </w:rPr>
      </w:pPr>
      <w:r>
        <w:rPr>
          <w:rFonts w:hint="eastAsia" w:ascii="仿宋" w:hAnsi="仿宋" w:eastAsia="仿宋" w:cstheme="minorBidi"/>
          <w:sz w:val="28"/>
          <w:szCs w:val="28"/>
        </w:rPr>
        <w:t>项目联系人：</w:t>
      </w:r>
      <w:r>
        <w:rPr>
          <w:rFonts w:hint="eastAsia" w:ascii="仿宋" w:hAnsi="仿宋" w:eastAsia="仿宋" w:cs="仿宋"/>
          <w:kern w:val="0"/>
          <w:sz w:val="28"/>
          <w:szCs w:val="28"/>
        </w:rPr>
        <w:t>余老师</w:t>
      </w:r>
    </w:p>
    <w:p>
      <w:pPr>
        <w:ind w:firstLine="565" w:firstLineChars="202"/>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cs="仿宋"/>
          <w:kern w:val="0"/>
          <w:sz w:val="28"/>
          <w:szCs w:val="28"/>
        </w:rPr>
        <w:t>0556-5283045</w:t>
      </w:r>
    </w:p>
    <w:p>
      <w:pPr>
        <w:rPr>
          <w:rFonts w:ascii="仿宋_GB2312" w:hAnsi="宋体" w:eastAsia="仿宋_GB2312" w:cs="宋体"/>
          <w:kern w:val="0"/>
          <w:sz w:val="32"/>
          <w:szCs w:val="32"/>
        </w:rPr>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w:t>
      </w:r>
      <w:r>
        <w:rPr>
          <w:rFonts w:hint="eastAsia" w:ascii="仿宋" w:hAnsi="仿宋" w:eastAsia="仿宋" w:cs="仿宋"/>
          <w:sz w:val="32"/>
          <w:szCs w:val="32"/>
          <w:lang w:val="en-US" w:eastAsia="zh-CN"/>
        </w:rPr>
        <w:t>获取</w:t>
      </w:r>
      <w:r>
        <w:rPr>
          <w:rFonts w:hint="eastAsia" w:ascii="仿宋" w:hAnsi="仿宋" w:eastAsia="仿宋" w:cs="仿宋"/>
          <w:sz w:val="32"/>
          <w:szCs w:val="32"/>
          <w:lang w:eastAsia="zh-CN"/>
        </w:rPr>
        <w:t>安庆职业技术学院画室改造装饰</w:t>
      </w:r>
      <w:r>
        <w:rPr>
          <w:rFonts w:hint="eastAsia" w:ascii="仿宋" w:hAnsi="仿宋" w:eastAsia="仿宋" w:cs="仿宋"/>
          <w:sz w:val="32"/>
          <w:szCs w:val="32"/>
        </w:rPr>
        <w:t>项目的竞争性谈判文件电子版，该电子版仅做本次投标使用，并承诺不做外用。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安庆职业技术学院画室改造装饰</w:t>
      </w:r>
      <w:r>
        <w:rPr>
          <w:rFonts w:hint="eastAsia" w:ascii="仿宋" w:hAnsi="仿宋" w:eastAsia="仿宋" w:cs="仿宋"/>
          <w:sz w:val="32"/>
          <w:szCs w:val="32"/>
        </w:rPr>
        <w:t>项目竞争性谈判文件发至以下邮箱：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2021年  月  日</w:t>
      </w: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rPr>
          <w:rFonts w:ascii="仿宋_GB2312" w:hAnsi="宋体" w:eastAsia="仿宋_GB2312" w:cs="宋体"/>
          <w:kern w:val="0"/>
          <w:sz w:val="28"/>
          <w:szCs w:val="28"/>
        </w:rPr>
      </w:pPr>
    </w:p>
    <w:p>
      <w:pPr>
        <w:pStyle w:val="3"/>
        <w:rPr>
          <w:rFonts w:ascii="宋体" w:hAnsi="宋体" w:cs="宋体"/>
        </w:rPr>
      </w:pPr>
      <w:r>
        <w:rPr>
          <w:rFonts w:hint="eastAsia" w:ascii="宋体" w:hAnsi="宋体" w:cs="宋体"/>
        </w:rPr>
        <w:t>第二章   谈判响应人须知</w:t>
      </w:r>
      <w:bookmarkEnd w:id="3"/>
      <w:bookmarkEnd w:id="4"/>
    </w:p>
    <w:p>
      <w:pPr>
        <w:pStyle w:val="46"/>
        <w:rPr>
          <w:rFonts w:ascii="宋体" w:hAnsi="宋体"/>
        </w:rPr>
      </w:pPr>
      <w:bookmarkStart w:id="47" w:name="_Toc54939189"/>
      <w:bookmarkStart w:id="48" w:name="_Toc27607"/>
      <w:r>
        <w:rPr>
          <w:rFonts w:hint="eastAsia" w:ascii="宋体" w:hAnsi="宋体"/>
        </w:rPr>
        <w:t>第一节  谈判响应人须知前附表</w:t>
      </w:r>
      <w:bookmarkEnd w:id="47"/>
      <w:bookmarkEnd w:id="48"/>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szCs w:val="21"/>
              </w:rPr>
            </w:pPr>
            <w:r>
              <w:rPr>
                <w:rFonts w:hint="eastAsia" w:ascii="宋体" w:hAnsi="宋体" w:cs="宋体"/>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szCs w:val="21"/>
              </w:rPr>
            </w:pPr>
            <w:r>
              <w:rPr>
                <w:rFonts w:hint="eastAsia" w:ascii="宋体" w:hAnsi="宋体" w:cs="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szCs w:val="21"/>
                <w:lang w:val="en-US" w:eastAsia="zh-CN"/>
              </w:rPr>
            </w:pPr>
            <w:r>
              <w:rPr>
                <w:rFonts w:hint="eastAsia" w:ascii="宋体" w:hAnsi="宋体" w:cs="宋体"/>
                <w:kern w:val="0"/>
                <w:szCs w:val="21"/>
                <w:lang w:eastAsia="zh-CN"/>
              </w:rPr>
              <w:t>CG-AZ-2021-0</w:t>
            </w:r>
            <w:r>
              <w:rPr>
                <w:rFonts w:hint="eastAsia" w:ascii="宋体" w:hAnsi="宋体" w:cs="宋体"/>
                <w:kern w:val="0"/>
                <w:szCs w:val="21"/>
                <w:lang w:val="en-US" w:eastAsia="zh-CN"/>
              </w:rPr>
              <w:t>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kern w:val="0"/>
                <w:szCs w:val="21"/>
                <w:lang w:eastAsia="zh-CN"/>
              </w:rPr>
              <w:t>安庆职业技术学院画室改造装饰</w:t>
            </w:r>
            <w:r>
              <w:rPr>
                <w:rFonts w:hint="eastAsia" w:ascii="宋体" w:hAnsi="宋体" w:cs="宋体"/>
                <w:kern w:val="0"/>
                <w:szCs w:val="21"/>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kern w:val="0"/>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代理机构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kern w:val="0"/>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1</w:t>
            </w:r>
            <w:r>
              <w:rPr>
                <w:rFonts w:hint="eastAsia" w:ascii="宋体" w:hAnsi="宋体" w:cs="宋体"/>
                <w:szCs w:val="21"/>
                <w:lang w:val="en-US" w:eastAsia="zh-CN"/>
              </w:rPr>
              <w:t>3</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自合同签字生效后</w:t>
            </w:r>
            <w:r>
              <w:rPr>
                <w:rFonts w:hint="eastAsia" w:ascii="宋体" w:hAnsi="宋体" w:cs="宋体"/>
                <w:szCs w:val="21"/>
                <w:lang w:val="en-US" w:eastAsia="zh-CN"/>
              </w:rPr>
              <w:t>30</w:t>
            </w:r>
            <w:r>
              <w:rPr>
                <w:rFonts w:hint="eastAsia" w:ascii="宋体" w:hAnsi="宋体" w:cs="宋体"/>
                <w:szCs w:val="21"/>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1.满足《中华人民共和国政府采购法》第二十二条规定；</w:t>
            </w:r>
          </w:p>
          <w:p>
            <w:pPr>
              <w:spacing w:line="420" w:lineRule="exact"/>
              <w:rPr>
                <w:rFonts w:ascii="宋体" w:hAnsi="宋体" w:cs="宋体"/>
                <w:szCs w:val="21"/>
              </w:rPr>
            </w:pPr>
            <w:r>
              <w:rPr>
                <w:rFonts w:hint="eastAsia" w:ascii="宋体" w:hAnsi="宋体" w:cs="宋体"/>
                <w:szCs w:val="21"/>
              </w:rPr>
              <w:t>2.落实政府采购政策需满足的资格要求：/</w:t>
            </w:r>
          </w:p>
          <w:p>
            <w:pPr>
              <w:spacing w:line="420" w:lineRule="exact"/>
              <w:rPr>
                <w:rFonts w:ascii="宋体" w:hAnsi="宋体" w:cs="宋体"/>
                <w:szCs w:val="21"/>
              </w:rPr>
            </w:pPr>
            <w:r>
              <w:rPr>
                <w:rFonts w:hint="eastAsia" w:ascii="宋体" w:hAnsi="宋体" w:cs="宋体"/>
                <w:szCs w:val="21"/>
              </w:rPr>
              <w:t>3.本项目的特定资格要求：/</w:t>
            </w:r>
          </w:p>
          <w:p>
            <w:pPr>
              <w:spacing w:line="420" w:lineRule="exact"/>
              <w:rPr>
                <w:rFonts w:ascii="宋体" w:hAnsi="宋体" w:cs="宋体"/>
                <w:szCs w:val="21"/>
              </w:rPr>
            </w:pPr>
            <w:r>
              <w:rPr>
                <w:rFonts w:hint="eastAsia" w:ascii="宋体" w:hAnsi="宋体" w:cs="宋体"/>
                <w:szCs w:val="21"/>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szCs w:val="21"/>
              </w:rPr>
            </w:pPr>
            <w:r>
              <w:rPr>
                <w:rFonts w:hint="eastAsia" w:ascii="宋体" w:hAnsi="宋体" w:cs="宋体"/>
                <w:szCs w:val="21"/>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s="宋体"/>
                <w:szCs w:val="21"/>
              </w:rPr>
            </w:pPr>
            <w:r>
              <w:rPr>
                <w:rFonts w:hint="eastAsia" w:ascii="宋体" w:hAnsi="宋体" w:cs="宋体"/>
                <w:szCs w:val="21"/>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8"/>
              <w:widowControl/>
              <w:spacing w:line="420" w:lineRule="exact"/>
              <w:jc w:val="both"/>
              <w:rPr>
                <w:rFonts w:ascii="宋体" w:hAnsi="宋体" w:eastAsia="宋体" w:cs="宋体"/>
                <w:sz w:val="21"/>
                <w:szCs w:val="21"/>
              </w:rPr>
            </w:pPr>
            <w:r>
              <w:rPr>
                <w:rFonts w:hint="eastAsia" w:ascii="宋体" w:hAnsi="宋体" w:eastAsia="宋体" w:cs="宋体"/>
                <w:sz w:val="21"/>
                <w:szCs w:val="21"/>
              </w:rPr>
              <w:t>1、提交响应文件截止时间：2021年7月22日15点30分</w:t>
            </w:r>
          </w:p>
          <w:p>
            <w:pPr>
              <w:adjustRightInd w:val="0"/>
              <w:snapToGrid w:val="0"/>
              <w:spacing w:line="420" w:lineRule="exact"/>
              <w:rPr>
                <w:rFonts w:hAnsi="宋体"/>
                <w:szCs w:val="21"/>
              </w:rPr>
            </w:pPr>
            <w:r>
              <w:rPr>
                <w:rFonts w:hint="eastAsia" w:hAnsi="宋体"/>
                <w:szCs w:val="21"/>
              </w:rPr>
              <w:t>2、一</w:t>
            </w:r>
            <w:r>
              <w:rPr>
                <w:rFonts w:hAnsi="宋体"/>
                <w:szCs w:val="21"/>
              </w:rPr>
              <w:t>份正本，</w:t>
            </w:r>
            <w:r>
              <w:rPr>
                <w:rFonts w:hint="eastAsia" w:hAnsi="宋体"/>
                <w:szCs w:val="21"/>
              </w:rPr>
              <w:t>一</w:t>
            </w:r>
            <w:r>
              <w:rPr>
                <w:rFonts w:hAnsi="宋体"/>
                <w:szCs w:val="21"/>
              </w:rPr>
              <w:t>份副本</w:t>
            </w:r>
            <w:r>
              <w:rPr>
                <w:rFonts w:hint="eastAsia" w:hAnsi="宋体"/>
                <w:szCs w:val="21"/>
              </w:rPr>
              <w:t>，</w:t>
            </w:r>
            <w:r>
              <w:rPr>
                <w:rFonts w:hint="eastAsia" w:hAnsi="宋体"/>
              </w:rPr>
              <w:t>装在同一密封袋内，</w:t>
            </w:r>
            <w:r>
              <w:rPr>
                <w:rFonts w:hint="eastAsia" w:hAnsi="宋体" w:cs="宋体"/>
              </w:rPr>
              <w:t>密封提交。</w:t>
            </w:r>
          </w:p>
          <w:p>
            <w:pPr>
              <w:pStyle w:val="11"/>
              <w:spacing w:line="420" w:lineRule="exact"/>
              <w:rPr>
                <w:rFonts w:ascii="Times New Roman" w:hAnsi="Times New Roman"/>
              </w:rPr>
            </w:pPr>
            <w:r>
              <w:rPr>
                <w:rFonts w:hint="eastAsia" w:ascii="Times New Roman" w:hAnsi="Times New Roman"/>
              </w:rPr>
              <w:t>3、密封袋上应加盖响应人公章。</w:t>
            </w:r>
          </w:p>
          <w:p>
            <w:pPr>
              <w:pStyle w:val="8"/>
              <w:widowControl/>
              <w:spacing w:line="420" w:lineRule="exact"/>
              <w:jc w:val="both"/>
              <w:rPr>
                <w:rFonts w:ascii="宋体" w:hAnsi="宋体" w:eastAsia="宋体" w:cs="宋体"/>
                <w:sz w:val="21"/>
                <w:szCs w:val="21"/>
              </w:rPr>
            </w:pPr>
            <w:r>
              <w:rPr>
                <w:rFonts w:hint="eastAsia" w:ascii="Times New Roman" w:eastAsia="宋体"/>
                <w:sz w:val="21"/>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szCs w:val="21"/>
              </w:rPr>
            </w:pPr>
            <w:r>
              <w:rPr>
                <w:rFonts w:hint="eastAsia" w:ascii="宋体" w:hAnsi="宋体" w:cs="宋体"/>
                <w:szCs w:val="21"/>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szCs w:val="21"/>
              </w:rPr>
            </w:pPr>
            <w:r>
              <w:rPr>
                <w:rFonts w:hint="eastAsia" w:ascii="宋体" w:hAnsi="宋体" w:cs="宋体"/>
                <w:szCs w:val="21"/>
              </w:rPr>
              <w:t>时间:2021年7月22日15点30分</w:t>
            </w:r>
          </w:p>
          <w:p>
            <w:pPr>
              <w:spacing w:line="420" w:lineRule="exact"/>
              <w:rPr>
                <w:rFonts w:ascii="宋体" w:hAnsi="宋体" w:cs="宋体"/>
                <w:szCs w:val="21"/>
              </w:rPr>
            </w:pPr>
            <w:r>
              <w:rPr>
                <w:rFonts w:hint="eastAsia" w:ascii="宋体" w:hAnsi="宋体" w:cs="宋体"/>
                <w:szCs w:val="21"/>
              </w:rPr>
              <w:t>地点: 安庆市公共资源交易中心</w:t>
            </w:r>
          </w:p>
          <w:p>
            <w:pPr>
              <w:spacing w:line="420" w:lineRule="exact"/>
              <w:ind w:firstLine="525" w:firstLineChars="250"/>
              <w:rPr>
                <w:rFonts w:ascii="宋体" w:hAnsi="宋体" w:cs="宋体"/>
                <w:szCs w:val="21"/>
              </w:rPr>
            </w:pPr>
            <w:r>
              <w:rPr>
                <w:rFonts w:hint="eastAsia" w:ascii="宋体" w:hAnsi="宋体" w:cs="宋体"/>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b/>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履约保证金金额：成交价的</w:t>
            </w:r>
            <w:r>
              <w:rPr>
                <w:rFonts w:hint="eastAsia" w:ascii="宋体" w:hAnsi="宋体" w:cs="宋体"/>
                <w:szCs w:val="21"/>
                <w:u w:val="single"/>
              </w:rPr>
              <w:t xml:space="preserve"> 5 </w:t>
            </w:r>
            <w:r>
              <w:rPr>
                <w:rFonts w:hint="eastAsia" w:ascii="宋体" w:hAnsi="宋体" w:cs="宋体"/>
                <w:szCs w:val="21"/>
              </w:rPr>
              <w:t>%</w:t>
            </w:r>
          </w:p>
          <w:p>
            <w:pPr>
              <w:spacing w:line="420" w:lineRule="exact"/>
              <w:rPr>
                <w:rFonts w:ascii="宋体" w:hAnsi="宋体" w:cs="宋体"/>
                <w:szCs w:val="21"/>
              </w:rPr>
            </w:pPr>
            <w:r>
              <w:rPr>
                <w:rFonts w:hint="eastAsia" w:ascii="宋体" w:hAnsi="宋体" w:cs="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szCs w:val="21"/>
              </w:rPr>
            </w:pPr>
            <w:r>
              <w:rPr>
                <w:rFonts w:hint="eastAsia" w:ascii="宋体" w:hAnsi="宋体" w:cs="宋体"/>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auto"/>
                <w:szCs w:val="21"/>
                <w:lang w:val="en-US"/>
              </w:rPr>
            </w:pPr>
            <w:r>
              <w:rPr>
                <w:rFonts w:hint="eastAsia" w:ascii="宋体" w:hAnsi="宋体" w:cs="宋体"/>
                <w:color w:val="auto"/>
                <w:szCs w:val="21"/>
                <w:lang w:val="en-US" w:eastAsia="zh-CN"/>
              </w:rPr>
              <w:t>验收后付款95%，留5%的质保金一年以后支付。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1、本竞争性谈判文件的解释权归采购单位；</w:t>
            </w:r>
          </w:p>
          <w:p>
            <w:pPr>
              <w:spacing w:line="420" w:lineRule="exact"/>
              <w:rPr>
                <w:rFonts w:ascii="宋体" w:hAnsi="宋体" w:cs="宋体"/>
                <w:szCs w:val="21"/>
              </w:rPr>
            </w:pPr>
            <w:r>
              <w:rPr>
                <w:rFonts w:hint="eastAsia" w:ascii="宋体" w:hAnsi="宋体" w:cs="宋体"/>
                <w:b/>
                <w:szCs w:val="21"/>
              </w:rPr>
              <w:t>2、本项目若涉及到专业分包工程，如成交人没有相应资质，则必须委托有资质的单位实施。该专业分包单位的选定须事先征得采购人同意。</w:t>
            </w:r>
          </w:p>
        </w:tc>
      </w:tr>
    </w:tbl>
    <w:p>
      <w:pPr>
        <w:pStyle w:val="46"/>
        <w:rPr>
          <w:rFonts w:ascii="宋体" w:hAnsi="宋体"/>
        </w:rPr>
      </w:pPr>
      <w:bookmarkStart w:id="49" w:name="_Toc14999"/>
      <w:bookmarkStart w:id="50" w:name="_Toc54939190"/>
      <w:r>
        <w:rPr>
          <w:rFonts w:hint="eastAsia" w:ascii="宋体" w:hAnsi="宋体"/>
        </w:rPr>
        <w:t>第二节  谈判响应人须知</w:t>
      </w:r>
      <w:bookmarkEnd w:id="49"/>
      <w:bookmarkEnd w:id="50"/>
    </w:p>
    <w:p>
      <w:pPr>
        <w:pStyle w:val="6"/>
        <w:ind w:firstLine="472" w:firstLineChars="196"/>
        <w:jc w:val="both"/>
        <w:rPr>
          <w:rFonts w:hAnsi="宋体" w:cs="宋体"/>
        </w:rPr>
      </w:pPr>
      <w:bookmarkStart w:id="51" w:name="_Toc54939191"/>
      <w:bookmarkStart w:id="52" w:name="_Toc7034"/>
      <w:r>
        <w:rPr>
          <w:rFonts w:hint="eastAsia" w:hAnsi="宋体" w:cs="宋体"/>
        </w:rPr>
        <w:t>一、总则</w:t>
      </w:r>
      <w:bookmarkEnd w:id="51"/>
      <w:bookmarkEnd w:id="52"/>
    </w:p>
    <w:p>
      <w:pPr>
        <w:spacing w:line="360" w:lineRule="auto"/>
        <w:ind w:firstLine="422" w:firstLineChars="200"/>
        <w:rPr>
          <w:rFonts w:ascii="宋体" w:hAnsi="宋体" w:cs="宋体"/>
          <w:szCs w:val="21"/>
        </w:rPr>
      </w:pPr>
      <w:r>
        <w:rPr>
          <w:rFonts w:hint="eastAsia" w:ascii="宋体" w:hAnsi="宋体" w:cs="宋体"/>
          <w:b/>
          <w:szCs w:val="21"/>
        </w:rPr>
        <w:t>1、</w:t>
      </w:r>
      <w:r>
        <w:rPr>
          <w:rFonts w:hint="eastAsia" w:ascii="宋体" w:hAnsi="宋体" w:cs="宋体"/>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szCs w:val="21"/>
        </w:rPr>
      </w:pPr>
      <w:r>
        <w:rPr>
          <w:rFonts w:hint="eastAsia" w:ascii="宋体" w:hAnsi="宋体" w:cs="宋体"/>
          <w:b/>
          <w:szCs w:val="21"/>
        </w:rPr>
        <w:t>2、定义</w:t>
      </w:r>
    </w:p>
    <w:p>
      <w:pPr>
        <w:spacing w:line="360" w:lineRule="auto"/>
        <w:ind w:firstLine="420" w:firstLineChars="200"/>
        <w:rPr>
          <w:rFonts w:ascii="宋体" w:hAnsi="宋体" w:cs="宋体"/>
          <w:szCs w:val="21"/>
        </w:rPr>
      </w:pPr>
      <w:r>
        <w:rPr>
          <w:rFonts w:hint="eastAsia" w:ascii="宋体" w:hAnsi="宋体" w:cs="宋体"/>
          <w:szCs w:val="21"/>
        </w:rPr>
        <w:t>2.1、采购单位是指采购人和采购代理机构。</w:t>
      </w:r>
    </w:p>
    <w:p>
      <w:pPr>
        <w:spacing w:line="360" w:lineRule="auto"/>
        <w:ind w:firstLine="420" w:firstLineChars="200"/>
        <w:rPr>
          <w:rFonts w:ascii="宋体" w:hAnsi="宋体" w:cs="宋体"/>
          <w:szCs w:val="21"/>
        </w:rPr>
      </w:pPr>
      <w:r>
        <w:rPr>
          <w:rFonts w:hint="eastAsia" w:ascii="宋体" w:hAnsi="宋体" w:cs="宋体"/>
          <w:szCs w:val="21"/>
        </w:rPr>
        <w:t>2.2、谈判响应人是指对“谈判响应人须知前附表”序号2所指的项目表现出兴趣，按照</w:t>
      </w:r>
      <w:r>
        <w:rPr>
          <w:rFonts w:hint="eastAsia" w:ascii="宋体" w:hAnsi="宋体" w:cs="宋体"/>
        </w:rPr>
        <w:t>约定</w:t>
      </w:r>
      <w:r>
        <w:rPr>
          <w:rFonts w:hint="eastAsia" w:ascii="宋体" w:hAnsi="宋体" w:cs="宋体"/>
          <w:szCs w:val="21"/>
        </w:rPr>
        <w:t>的程序，从采购单位获取了竞争性谈判文件，并实际参与了该项目谈判活动的供应商。</w:t>
      </w:r>
    </w:p>
    <w:p>
      <w:pPr>
        <w:spacing w:line="360" w:lineRule="auto"/>
        <w:ind w:firstLine="422" w:firstLineChars="200"/>
        <w:rPr>
          <w:rFonts w:ascii="宋体" w:hAnsi="宋体" w:cs="宋体"/>
          <w:b/>
          <w:szCs w:val="21"/>
        </w:rPr>
      </w:pPr>
      <w:r>
        <w:rPr>
          <w:rFonts w:hint="eastAsia" w:ascii="宋体" w:hAnsi="宋体" w:cs="宋体"/>
          <w:b/>
          <w:szCs w:val="21"/>
        </w:rPr>
        <w:t>3、谈判响应人资格要求</w:t>
      </w:r>
    </w:p>
    <w:p>
      <w:pPr>
        <w:spacing w:line="360" w:lineRule="auto"/>
        <w:ind w:firstLine="420" w:firstLineChars="200"/>
        <w:rPr>
          <w:rFonts w:ascii="宋体" w:hAnsi="宋体" w:cs="宋体"/>
          <w:szCs w:val="21"/>
        </w:rPr>
      </w:pPr>
      <w:r>
        <w:rPr>
          <w:rFonts w:hint="eastAsia" w:ascii="宋体" w:hAnsi="宋体" w:cs="宋体"/>
          <w:szCs w:val="21"/>
        </w:rPr>
        <w:t>3.1、参与本项目的谈判响应人必须满足的要求：详见谈判响应人须知前附表。</w:t>
      </w:r>
    </w:p>
    <w:p>
      <w:pPr>
        <w:spacing w:line="500" w:lineRule="exact"/>
        <w:ind w:firstLine="420" w:firstLineChars="200"/>
        <w:rPr>
          <w:rFonts w:ascii="宋体" w:hAnsi="宋体" w:cs="宋体"/>
          <w:szCs w:val="21"/>
        </w:rPr>
      </w:pPr>
      <w:r>
        <w:rPr>
          <w:rFonts w:hint="eastAsia" w:ascii="宋体" w:hAnsi="宋体" w:cs="宋体"/>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rPr>
        <w:t>单位负责人为同一人或者存在直接控股、管理关系的不同供应商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rPr>
        <w:t>除单一来源采购项目外，为采购项目提供整体设计、规范编制或者项目管理、监理、检测等服务的供应商</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szCs w:val="21"/>
        </w:rPr>
        <w:t>谈判</w:t>
      </w:r>
      <w:r>
        <w:rPr>
          <w:rFonts w:hint="eastAsia" w:ascii="Arial" w:hAnsi="Arial" w:cs="Arial"/>
        </w:rPr>
        <w:t>，须取得总公司的相关授权（</w:t>
      </w:r>
      <w:r>
        <w:rPr>
          <w:rFonts w:hint="eastAsia" w:ascii="宋体" w:hAnsi="宋体" w:cs="宋体"/>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4</w:t>
      </w:r>
      <w:r>
        <w:rPr>
          <w:rFonts w:hint="eastAsia" w:ascii="宋体" w:hAnsi="宋体" w:cs="宋体"/>
          <w:szCs w:val="21"/>
        </w:rPr>
        <w:t>、谈判响应人必须确保自己信息真实、准确，否则，谈判响应人因此蒙受损失，采购单位概不负责。</w:t>
      </w:r>
    </w:p>
    <w:p>
      <w:pPr>
        <w:spacing w:line="360" w:lineRule="auto"/>
        <w:ind w:firstLine="422" w:firstLineChars="200"/>
        <w:rPr>
          <w:rFonts w:ascii="宋体" w:hAnsi="宋体" w:cs="宋体"/>
          <w:szCs w:val="21"/>
        </w:rPr>
      </w:pPr>
      <w:r>
        <w:rPr>
          <w:rFonts w:hint="eastAsia" w:ascii="宋体" w:hAnsi="宋体" w:cs="宋体"/>
          <w:b/>
        </w:rPr>
        <w:t>4、踏勘现场：</w:t>
      </w:r>
      <w:r>
        <w:rPr>
          <w:rFonts w:hint="eastAsia" w:ascii="宋体" w:hAnsi="宋体" w:cs="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szCs w:val="21"/>
        </w:rPr>
      </w:pPr>
      <w:r>
        <w:rPr>
          <w:rFonts w:hint="eastAsia" w:ascii="宋体" w:hAnsi="宋体" w:cs="宋体"/>
          <w:b/>
          <w:szCs w:val="21"/>
        </w:rPr>
        <w:t>5、联合体响应</w:t>
      </w:r>
    </w:p>
    <w:p>
      <w:pPr>
        <w:spacing w:line="360" w:lineRule="auto"/>
        <w:rPr>
          <w:rFonts w:ascii="宋体" w:hAnsi="宋体" w:cs="宋体"/>
          <w:szCs w:val="21"/>
        </w:rPr>
      </w:pPr>
      <w:r>
        <w:rPr>
          <w:rFonts w:hint="eastAsia" w:ascii="宋体" w:hAnsi="宋体" w:cs="宋体"/>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szCs w:val="21"/>
        </w:rPr>
      </w:pPr>
      <w:r>
        <w:rPr>
          <w:rFonts w:hint="eastAsia" w:ascii="宋体" w:hAnsi="宋体" w:cs="宋体"/>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szCs w:val="21"/>
        </w:rPr>
      </w:pPr>
      <w:r>
        <w:rPr>
          <w:rFonts w:hint="eastAsia" w:ascii="宋体" w:hAnsi="宋体" w:cs="宋体"/>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szCs w:val="21"/>
        </w:rPr>
      </w:pPr>
      <w:r>
        <w:rPr>
          <w:rFonts w:hint="eastAsia" w:ascii="宋体" w:hAnsi="宋体" w:cs="宋体"/>
          <w:b/>
        </w:rPr>
        <w:t>6、谈判响应费用：</w:t>
      </w:r>
      <w:r>
        <w:rPr>
          <w:rFonts w:hint="eastAsia" w:ascii="宋体" w:hAnsi="宋体" w:cs="宋体"/>
          <w:b/>
          <w:szCs w:val="21"/>
        </w:rPr>
        <w:t>谈判响应人必须自行承担参加谈判响应的所有费用。</w:t>
      </w:r>
      <w:r>
        <w:rPr>
          <w:rFonts w:hint="eastAsia" w:ascii="宋体" w:hAnsi="宋体" w:cs="宋体"/>
          <w:szCs w:val="21"/>
        </w:rPr>
        <w:t>不论成交与否，采购单位在任何情况下均无义务和责任承担这些费用。</w:t>
      </w:r>
    </w:p>
    <w:p>
      <w:pPr>
        <w:pStyle w:val="6"/>
        <w:ind w:firstLine="472" w:firstLineChars="196"/>
        <w:rPr>
          <w:rFonts w:hAnsi="宋体" w:cs="宋体"/>
        </w:rPr>
      </w:pPr>
      <w:bookmarkStart w:id="53" w:name="_Toc8536"/>
      <w:bookmarkStart w:id="54" w:name="_Toc54939192"/>
      <w:r>
        <w:rPr>
          <w:rFonts w:hint="eastAsia" w:hAnsi="宋体" w:cs="宋体"/>
        </w:rPr>
        <w:t>二、竞争性谈判文件</w:t>
      </w:r>
      <w:bookmarkEnd w:id="53"/>
      <w:bookmarkEnd w:id="54"/>
    </w:p>
    <w:p>
      <w:pPr>
        <w:spacing w:line="360" w:lineRule="auto"/>
        <w:ind w:firstLine="422" w:firstLineChars="200"/>
        <w:rPr>
          <w:rFonts w:ascii="宋体" w:hAnsi="宋体" w:cs="宋体"/>
          <w:b/>
          <w:szCs w:val="21"/>
        </w:rPr>
      </w:pPr>
      <w:r>
        <w:rPr>
          <w:rFonts w:hint="eastAsia" w:ascii="宋体" w:hAnsi="宋体" w:cs="宋体"/>
          <w:b/>
          <w:szCs w:val="21"/>
        </w:rPr>
        <w:t>7、竞争性谈判文件的构成</w:t>
      </w:r>
    </w:p>
    <w:p>
      <w:pPr>
        <w:spacing w:line="360" w:lineRule="auto"/>
        <w:ind w:firstLine="420" w:firstLineChars="200"/>
        <w:rPr>
          <w:rFonts w:ascii="宋体" w:hAnsi="宋体" w:cs="宋体"/>
          <w:szCs w:val="21"/>
        </w:rPr>
      </w:pPr>
      <w:r>
        <w:rPr>
          <w:rFonts w:hint="eastAsia" w:ascii="宋体" w:hAnsi="宋体" w:cs="宋体"/>
          <w:szCs w:val="21"/>
        </w:rPr>
        <w:t>7.1、竞争性谈判文件包括：</w:t>
      </w:r>
    </w:p>
    <w:p>
      <w:pPr>
        <w:spacing w:line="360" w:lineRule="auto"/>
        <w:ind w:firstLine="420" w:firstLineChars="200"/>
        <w:rPr>
          <w:rFonts w:ascii="宋体" w:hAnsi="宋体" w:cs="宋体"/>
          <w:szCs w:val="21"/>
        </w:rPr>
      </w:pPr>
      <w:r>
        <w:rPr>
          <w:rFonts w:hint="eastAsia" w:ascii="宋体" w:hAnsi="宋体" w:cs="宋体"/>
          <w:szCs w:val="21"/>
        </w:rPr>
        <w:t>（1）第一章  竞争性谈判公告；</w:t>
      </w:r>
    </w:p>
    <w:p>
      <w:pPr>
        <w:spacing w:line="360" w:lineRule="auto"/>
        <w:ind w:firstLine="420" w:firstLineChars="200"/>
        <w:rPr>
          <w:rFonts w:ascii="宋体" w:hAnsi="宋体" w:cs="宋体"/>
          <w:szCs w:val="21"/>
        </w:rPr>
      </w:pPr>
      <w:r>
        <w:rPr>
          <w:rFonts w:hint="eastAsia" w:ascii="宋体" w:hAnsi="宋体" w:cs="宋体"/>
          <w:szCs w:val="21"/>
        </w:rPr>
        <w:t>（2）第二章  谈判响应人须知；</w:t>
      </w:r>
    </w:p>
    <w:p>
      <w:pPr>
        <w:spacing w:line="360" w:lineRule="auto"/>
        <w:ind w:firstLine="420" w:firstLineChars="200"/>
        <w:rPr>
          <w:rFonts w:ascii="宋体" w:hAnsi="宋体" w:cs="宋体"/>
          <w:szCs w:val="21"/>
        </w:rPr>
      </w:pPr>
      <w:r>
        <w:rPr>
          <w:rFonts w:hint="eastAsia" w:ascii="宋体" w:hAnsi="宋体" w:cs="宋体"/>
          <w:szCs w:val="21"/>
        </w:rPr>
        <w:t xml:space="preserve">（3）第三章  </w:t>
      </w:r>
      <w:r>
        <w:rPr>
          <w:rFonts w:hint="eastAsia" w:ascii="宋体" w:hAnsi="宋体" w:cs="宋体"/>
          <w:color w:val="000000"/>
          <w:szCs w:val="21"/>
        </w:rPr>
        <w:t>货物需求及技术要求</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（4）第四章  合同主要条款；</w:t>
      </w:r>
    </w:p>
    <w:p>
      <w:pPr>
        <w:spacing w:line="360" w:lineRule="auto"/>
        <w:ind w:firstLine="420" w:firstLineChars="200"/>
        <w:rPr>
          <w:rFonts w:ascii="宋体" w:hAnsi="宋体" w:cs="宋体"/>
          <w:szCs w:val="21"/>
        </w:rPr>
      </w:pPr>
      <w:r>
        <w:rPr>
          <w:rFonts w:hint="eastAsia" w:ascii="宋体" w:hAnsi="宋体" w:cs="宋体"/>
          <w:szCs w:val="21"/>
        </w:rPr>
        <w:t>（5）第五章  谈判响应文件格式。</w:t>
      </w:r>
    </w:p>
    <w:p>
      <w:pPr>
        <w:spacing w:line="360" w:lineRule="auto"/>
        <w:rPr>
          <w:rFonts w:ascii="宋体" w:hAnsi="宋体" w:cs="宋体"/>
          <w:szCs w:val="21"/>
        </w:rPr>
      </w:pPr>
      <w:r>
        <w:rPr>
          <w:rFonts w:hint="eastAsia" w:ascii="宋体" w:hAnsi="宋体" w:cs="宋体"/>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504476178@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szCs w:val="21"/>
        </w:rPr>
      </w:pPr>
      <w:r>
        <w:rPr>
          <w:rFonts w:hint="eastAsia" w:ascii="宋体" w:hAnsi="宋体" w:cs="宋体"/>
          <w:b/>
          <w:szCs w:val="21"/>
        </w:rPr>
        <w:t>8、竞争性谈判文件的澄清</w:t>
      </w:r>
    </w:p>
    <w:p>
      <w:pPr>
        <w:spacing w:line="360" w:lineRule="auto"/>
        <w:rPr>
          <w:rFonts w:ascii="宋体" w:hAnsi="宋体" w:cs="宋体"/>
          <w:szCs w:val="21"/>
        </w:rPr>
      </w:pP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8.2、谈判响应人对竞争性谈判文件如有质疑，应在提交响应文件截止时间2个工作日前向采购单位提出并将问题发送至邮箱504476178@qq.com。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时间收到的、且需要做出澄清的问题，将以本须知所述方式进行答复，但不说明问题的来源。</w:t>
      </w:r>
    </w:p>
    <w:p>
      <w:pPr>
        <w:spacing w:line="360" w:lineRule="auto"/>
        <w:ind w:firstLine="422" w:firstLineChars="200"/>
        <w:rPr>
          <w:rFonts w:ascii="宋体" w:hAnsi="宋体" w:cs="宋体"/>
          <w:b/>
          <w:szCs w:val="21"/>
        </w:rPr>
      </w:pPr>
      <w:r>
        <w:rPr>
          <w:rFonts w:hint="eastAsia" w:ascii="宋体" w:hAnsi="宋体" w:cs="宋体"/>
          <w:b/>
          <w:szCs w:val="21"/>
        </w:rPr>
        <w:t>9、竞争性谈判文件的修改</w:t>
      </w:r>
    </w:p>
    <w:p>
      <w:pPr>
        <w:spacing w:line="360" w:lineRule="auto"/>
        <w:rPr>
          <w:rFonts w:ascii="宋体" w:hAnsi="宋体" w:cs="宋体"/>
          <w:szCs w:val="21"/>
        </w:rPr>
      </w:pPr>
      <w:r>
        <w:rPr>
          <w:rFonts w:hint="eastAsia" w:ascii="宋体" w:hAnsi="宋体" w:cs="宋体"/>
          <w:szCs w:val="21"/>
        </w:rPr>
        <w:t xml:space="preserve">    9.1、采购单位可以对竞争性谈判文件进行修改。</w:t>
      </w:r>
    </w:p>
    <w:p>
      <w:pPr>
        <w:spacing w:line="360" w:lineRule="auto"/>
        <w:ind w:firstLine="422" w:firstLineChars="200"/>
        <w:rPr>
          <w:rFonts w:ascii="宋体" w:hAnsi="宋体" w:cs="宋体"/>
          <w:b/>
          <w:bCs/>
          <w:szCs w:val="21"/>
        </w:rPr>
      </w:pPr>
      <w:r>
        <w:rPr>
          <w:rFonts w:hint="eastAsia" w:ascii="宋体" w:hAnsi="宋体" w:cs="宋体"/>
          <w:b/>
          <w:bCs/>
          <w:szCs w:val="21"/>
        </w:rPr>
        <w:t>9.2、采购单位对谈判响应人质疑的答复和对竞争性谈判文件的澄清、修改、补充说明等内容均通过安庆职业技术学院（https://www.aqvtc.edu.cn/）招标采购栏目发布，该修改内容作为竞争性谈判文件的组成部分，具有约束作用。</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rPr>
          <w:rFonts w:ascii="宋体" w:hAnsi="宋体" w:cs="宋体"/>
          <w:szCs w:val="21"/>
        </w:rPr>
      </w:pPr>
      <w:r>
        <w:rPr>
          <w:rFonts w:hint="eastAsia" w:ascii="宋体" w:hAnsi="宋体" w:cs="宋体"/>
          <w:szCs w:val="21"/>
        </w:rPr>
        <w:t xml:space="preserve">    9.4、为使谈判响应人有充分时间对竞争性谈判文件的澄清、修改、补充部分进行研究，或是由于其他原因，采购单位可以决定顺延提交响应文件截止时间，具体时间通过安庆职业技术学院网站发布。</w:t>
      </w:r>
    </w:p>
    <w:p>
      <w:pPr>
        <w:pStyle w:val="6"/>
        <w:ind w:firstLine="482" w:firstLineChars="200"/>
        <w:rPr>
          <w:rFonts w:hAnsi="宋体" w:cs="宋体"/>
        </w:rPr>
      </w:pPr>
      <w:bookmarkStart w:id="55" w:name="_Toc54939193"/>
      <w:bookmarkStart w:id="56" w:name="_Toc9821"/>
      <w:r>
        <w:rPr>
          <w:rFonts w:hint="eastAsia" w:hAnsi="宋体" w:cs="宋体"/>
        </w:rPr>
        <w:t>三、谈判响应文件的编制</w:t>
      </w:r>
      <w:bookmarkEnd w:id="55"/>
      <w:bookmarkEnd w:id="56"/>
    </w:p>
    <w:p>
      <w:pPr>
        <w:spacing w:line="360" w:lineRule="auto"/>
        <w:rPr>
          <w:rFonts w:ascii="宋体" w:hAnsi="宋体" w:cs="宋体"/>
          <w:b/>
          <w:szCs w:val="21"/>
        </w:rPr>
      </w:pPr>
      <w:r>
        <w:rPr>
          <w:rFonts w:hint="eastAsia" w:ascii="宋体" w:hAnsi="宋体" w:cs="宋体"/>
          <w:b/>
          <w:szCs w:val="21"/>
        </w:rPr>
        <w:t xml:space="preserve">    10、谈判响应的语言及度量衡单位</w:t>
      </w:r>
    </w:p>
    <w:p>
      <w:pPr>
        <w:spacing w:line="360" w:lineRule="auto"/>
        <w:rPr>
          <w:rFonts w:ascii="宋体" w:hAnsi="宋体" w:cs="宋体"/>
          <w:szCs w:val="21"/>
        </w:rPr>
      </w:pPr>
      <w:r>
        <w:rPr>
          <w:rFonts w:hint="eastAsia" w:ascii="宋体" w:hAnsi="宋体" w:cs="宋体"/>
          <w:szCs w:val="21"/>
        </w:rPr>
        <w:t xml:space="preserve">    10.1、谈判响应人的谈判响应文件、谈判响应人与采购单位就谈判响应的所有往来函电，均须使用简体中文。</w:t>
      </w:r>
    </w:p>
    <w:p>
      <w:pPr>
        <w:spacing w:line="360" w:lineRule="auto"/>
        <w:rPr>
          <w:rFonts w:ascii="宋体" w:hAnsi="宋体" w:cs="宋体"/>
          <w:szCs w:val="21"/>
        </w:rPr>
      </w:pPr>
      <w:r>
        <w:rPr>
          <w:rFonts w:hint="eastAsia" w:ascii="宋体" w:hAnsi="宋体" w:cs="宋体"/>
          <w:szCs w:val="21"/>
        </w:rPr>
        <w:t xml:space="preserve">    10.2、除竞争性谈判文件中另有</w:t>
      </w:r>
      <w:r>
        <w:rPr>
          <w:rFonts w:hint="eastAsia" w:ascii="宋体" w:hAnsi="宋体" w:cs="宋体"/>
        </w:rPr>
        <w:t>约定</w:t>
      </w:r>
      <w:r>
        <w:rPr>
          <w:rFonts w:hint="eastAsia" w:ascii="宋体" w:hAnsi="宋体" w:cs="宋体"/>
          <w:szCs w:val="21"/>
        </w:rPr>
        <w:t>外，谈判响应文件所使用的度量衡均须采用中华人民共和国法定计量单位。</w:t>
      </w:r>
    </w:p>
    <w:p>
      <w:pPr>
        <w:spacing w:line="360" w:lineRule="auto"/>
        <w:ind w:firstLine="422" w:firstLineChars="200"/>
        <w:rPr>
          <w:rFonts w:ascii="宋体" w:hAnsi="宋体" w:cs="宋体"/>
          <w:b/>
          <w:szCs w:val="21"/>
        </w:rPr>
      </w:pPr>
      <w:r>
        <w:rPr>
          <w:rFonts w:hint="eastAsia" w:ascii="宋体" w:hAnsi="宋体" w:cs="宋体"/>
          <w:b/>
          <w:szCs w:val="21"/>
        </w:rPr>
        <w:t>11、谈判响应文件的构成</w:t>
      </w:r>
    </w:p>
    <w:p>
      <w:pPr>
        <w:spacing w:line="360" w:lineRule="auto"/>
        <w:ind w:firstLine="420" w:firstLineChars="200"/>
        <w:rPr>
          <w:rFonts w:ascii="宋体" w:hAnsi="宋体" w:cs="宋体"/>
          <w:szCs w:val="21"/>
        </w:rPr>
      </w:pPr>
      <w:r>
        <w:rPr>
          <w:rFonts w:hint="eastAsia" w:ascii="宋体" w:hAnsi="宋体" w:cs="宋体"/>
          <w:szCs w:val="21"/>
        </w:rPr>
        <w:t>11.1、谈判响应文件应该按照“谈判响应文件格式”</w:t>
      </w:r>
      <w:r>
        <w:rPr>
          <w:rFonts w:hint="eastAsia" w:ascii="宋体" w:hAnsi="宋体" w:cs="宋体"/>
        </w:rPr>
        <w:t>约定</w:t>
      </w:r>
      <w:r>
        <w:rPr>
          <w:rFonts w:hint="eastAsia" w:ascii="宋体" w:hAnsi="宋体" w:cs="宋体"/>
          <w:szCs w:val="21"/>
        </w:rPr>
        <w:t>的内容和顺序进行编写。</w:t>
      </w:r>
    </w:p>
    <w:p>
      <w:pPr>
        <w:spacing w:line="360" w:lineRule="auto"/>
        <w:ind w:firstLine="420" w:firstLineChars="200"/>
        <w:rPr>
          <w:rFonts w:ascii="宋体" w:hAnsi="宋体" w:cs="宋体"/>
          <w:szCs w:val="21"/>
        </w:rPr>
      </w:pPr>
      <w:r>
        <w:rPr>
          <w:rFonts w:hint="eastAsia" w:ascii="宋体" w:hAnsi="宋体" w:cs="宋体"/>
          <w:szCs w:val="21"/>
        </w:rPr>
        <w:t>11.2、谈判响应人应提交“谈判响应人须知前附表”中</w:t>
      </w:r>
      <w:r>
        <w:rPr>
          <w:rFonts w:hint="eastAsia" w:ascii="宋体" w:hAnsi="宋体" w:cs="宋体"/>
        </w:rPr>
        <w:t>约定</w:t>
      </w:r>
      <w:r>
        <w:rPr>
          <w:rFonts w:hint="eastAsia" w:ascii="宋体" w:hAnsi="宋体" w:cs="宋体"/>
          <w:szCs w:val="21"/>
        </w:rPr>
        <w:t>的谈判响应文件。</w:t>
      </w:r>
    </w:p>
    <w:p>
      <w:pPr>
        <w:spacing w:line="360" w:lineRule="auto"/>
        <w:ind w:firstLine="420" w:firstLineChars="200"/>
        <w:rPr>
          <w:rFonts w:ascii="宋体" w:hAnsi="宋体" w:cs="宋体"/>
          <w:szCs w:val="21"/>
        </w:rPr>
      </w:pPr>
      <w:r>
        <w:rPr>
          <w:rFonts w:hint="eastAsia" w:ascii="宋体" w:hAnsi="宋体" w:cs="宋体"/>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szCs w:val="21"/>
        </w:rPr>
      </w:pPr>
      <w:r>
        <w:rPr>
          <w:rFonts w:hint="eastAsia" w:ascii="宋体" w:hAnsi="宋体" w:cs="宋体"/>
          <w:szCs w:val="21"/>
        </w:rPr>
        <w:t>11.4、谈判响应人提供的产品质量和服务均能满足竞争性谈判文件</w:t>
      </w:r>
      <w:r>
        <w:rPr>
          <w:rFonts w:hint="eastAsia" w:ascii="宋体" w:hAnsi="宋体" w:cs="宋体"/>
        </w:rPr>
        <w:t>约定</w:t>
      </w:r>
      <w:r>
        <w:rPr>
          <w:rFonts w:hint="eastAsia" w:ascii="宋体" w:hAnsi="宋体" w:cs="宋体"/>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szCs w:val="21"/>
        </w:rPr>
      </w:pPr>
      <w:r>
        <w:rPr>
          <w:rFonts w:hint="eastAsia" w:ascii="宋体" w:hAnsi="宋体" w:cs="宋体"/>
          <w:b/>
          <w:szCs w:val="21"/>
        </w:rPr>
        <w:t>12、谈判响应报价</w:t>
      </w:r>
    </w:p>
    <w:p>
      <w:pPr>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color w:val="000000"/>
          <w:szCs w:val="21"/>
        </w:rPr>
        <w:t>谈判响应文件的货物报价表(首轮）上应清楚地标明谈判响应人拟提供货物的名称、生产厂家</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r>
        <w:rPr>
          <w:rFonts w:hint="eastAsia" w:ascii="宋体" w:hAnsi="宋体" w:cs="宋体"/>
          <w:color w:val="000000"/>
          <w:szCs w:val="21"/>
        </w:rPr>
        <w:t>、品牌</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r>
        <w:rPr>
          <w:rFonts w:hint="eastAsia" w:ascii="宋体" w:hAnsi="宋体" w:cs="宋体"/>
          <w:color w:val="000000"/>
          <w:szCs w:val="21"/>
        </w:rPr>
        <w:t>、型号</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r>
        <w:rPr>
          <w:rFonts w:hint="eastAsia" w:ascii="宋体" w:hAnsi="宋体" w:cs="宋体"/>
          <w:color w:val="000000"/>
          <w:szCs w:val="21"/>
        </w:rPr>
        <w:t>、单位、数量、单价和总价等内容。单价不作为合同结算依据</w:t>
      </w:r>
      <w:r>
        <w:rPr>
          <w:rFonts w:hint="eastAsia" w:ascii="宋体" w:hAnsi="宋体"/>
          <w:szCs w:val="21"/>
        </w:rPr>
        <w:t>。</w:t>
      </w:r>
    </w:p>
    <w:p>
      <w:pPr>
        <w:spacing w:line="360" w:lineRule="auto"/>
        <w:ind w:firstLine="420" w:firstLineChars="200"/>
        <w:rPr>
          <w:rFonts w:ascii="宋体" w:hAnsi="宋体" w:cs="宋体"/>
          <w:szCs w:val="21"/>
        </w:rPr>
      </w:pPr>
      <w:r>
        <w:rPr>
          <w:rFonts w:hint="eastAsia" w:ascii="宋体" w:hAnsi="宋体" w:cs="宋体"/>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szCs w:val="21"/>
        </w:rPr>
      </w:pPr>
      <w:r>
        <w:rPr>
          <w:rFonts w:hint="eastAsia" w:ascii="宋体" w:hAnsi="宋体" w:cs="宋体"/>
          <w:szCs w:val="21"/>
        </w:rPr>
        <w:t>12.3、</w:t>
      </w:r>
      <w:r>
        <w:rPr>
          <w:rFonts w:hint="eastAsia" w:ascii="宋体" w:hAnsi="宋体" w:cs="宋体"/>
          <w:color w:val="000000"/>
          <w:szCs w:val="21"/>
        </w:rPr>
        <w:t>谈判响应人的报价应包含满足本次采购需求的所有费用（包括但不限于：所投货物、装修、保险、税费、包装、加工及加工损耗、运输、现场落地、安装及安装损耗、调试、检测验收和交付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.5</w:t>
      </w:r>
      <w:r>
        <w:rPr>
          <w:rFonts w:ascii="宋体" w:hAnsi="宋体" w:cs="宋体"/>
          <w:szCs w:val="21"/>
        </w:rPr>
        <w:t>.1</w:t>
      </w:r>
      <w:r>
        <w:rPr>
          <w:rFonts w:hint="eastAsia" w:ascii="宋体" w:hAnsi="宋体" w:cs="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w:t>
      </w:r>
      <w:r>
        <w:rPr>
          <w:rFonts w:ascii="宋体" w:hAnsi="宋体" w:cs="宋体"/>
          <w:szCs w:val="21"/>
        </w:rPr>
        <w:t>5.2</w:t>
      </w:r>
      <w:r>
        <w:rPr>
          <w:rFonts w:hint="eastAsia" w:ascii="宋体" w:hAnsi="宋体" w:cs="宋体"/>
          <w:szCs w:val="21"/>
        </w:rPr>
        <w:t>、若大写金额和小写金额不一致的，以大写金额为准;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w:t>
      </w:r>
      <w:r>
        <w:rPr>
          <w:rFonts w:ascii="宋体" w:hAnsi="宋体" w:cs="宋体"/>
          <w:szCs w:val="21"/>
        </w:rPr>
        <w:t>5.3</w:t>
      </w:r>
      <w:r>
        <w:rPr>
          <w:rFonts w:hint="eastAsia" w:ascii="宋体" w:hAnsi="宋体" w:cs="宋体"/>
          <w:szCs w:val="21"/>
        </w:rPr>
        <w:t>、单价金额小数点或者百分比有明显错位的，应以谈判响应函(谈判响应报价)为准，并修正单价。</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谈判响应货币：</w:t>
      </w:r>
      <w:r>
        <w:rPr>
          <w:rFonts w:hint="eastAsia" w:ascii="宋体" w:hAnsi="宋体" w:cs="宋体"/>
          <w:szCs w:val="21"/>
        </w:rPr>
        <w:t>人民币。</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szCs w:val="21"/>
        </w:rPr>
      </w:pPr>
      <w:r>
        <w:rPr>
          <w:rFonts w:hint="eastAsia" w:ascii="宋体" w:hAnsi="宋体"/>
          <w:szCs w:val="21"/>
        </w:rPr>
        <w:t>（6）不同谈判响应人的谈判保证金从同一单位或者个人的账户转出。</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szCs w:val="21"/>
        </w:rPr>
      </w:pPr>
      <w:r>
        <w:rPr>
          <w:rFonts w:hint="eastAsia" w:ascii="宋体" w:hAnsi="宋体" w:cs="宋体"/>
          <w:b/>
          <w:szCs w:val="21"/>
        </w:rPr>
        <w:t>15、谈判响应有效期</w:t>
      </w:r>
    </w:p>
    <w:p>
      <w:pPr>
        <w:widowControl/>
        <w:spacing w:line="500" w:lineRule="exact"/>
        <w:ind w:firstLine="420" w:firstLineChars="200"/>
        <w:jc w:val="left"/>
        <w:rPr>
          <w:rFonts w:ascii="宋体" w:hAnsi="宋体" w:cs="宋体"/>
          <w:szCs w:val="21"/>
        </w:rPr>
      </w:pPr>
      <w:r>
        <w:rPr>
          <w:rFonts w:hint="eastAsia" w:ascii="宋体" w:hAnsi="宋体" w:cs="宋体"/>
          <w:szCs w:val="21"/>
        </w:rPr>
        <w:t>15.1、谈判响应有效期见“谈判响应人须知前附表”的约定。</w:t>
      </w:r>
    </w:p>
    <w:p>
      <w:pPr>
        <w:widowControl/>
        <w:spacing w:line="500" w:lineRule="exact"/>
        <w:ind w:firstLine="420" w:firstLineChars="200"/>
        <w:jc w:val="left"/>
        <w:rPr>
          <w:rFonts w:ascii="宋体" w:hAnsi="宋体" w:cs="宋体"/>
          <w:szCs w:val="21"/>
        </w:rPr>
      </w:pPr>
      <w:r>
        <w:rPr>
          <w:rFonts w:hint="eastAsia" w:ascii="宋体" w:hAnsi="宋体" w:cs="宋体"/>
          <w:szCs w:val="21"/>
        </w:rPr>
        <w:t>15.2、在谈判响应有效期内，谈判响应人不得要求撤销或修改其谈判响应文件。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szCs w:val="21"/>
        </w:rPr>
      </w:pPr>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表、声明均应加盖谈判响应人公章并经法定代表人或委托代理人签字或加盖印章。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技术参数响应表、声明的签字或盖章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6"/>
        <w:numPr>
          <w:ilvl w:val="0"/>
          <w:numId w:val="2"/>
        </w:numPr>
        <w:ind w:firstLine="472" w:firstLineChars="196"/>
        <w:rPr>
          <w:rFonts w:hAnsi="宋体" w:cs="宋体"/>
        </w:rPr>
      </w:pPr>
      <w:bookmarkStart w:id="57" w:name="_Toc25319"/>
      <w:bookmarkStart w:id="58" w:name="_Toc54939194"/>
      <w:r>
        <w:rPr>
          <w:rFonts w:hint="eastAsia" w:hAnsi="宋体" w:cs="宋体"/>
        </w:rPr>
        <w:t>谈判响应文件的提交</w:t>
      </w:r>
      <w:bookmarkEnd w:id="57"/>
      <w:bookmarkEnd w:id="58"/>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17.3密封袋上应写明：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szCs w:val="21"/>
        </w:rPr>
      </w:pPr>
      <w:r>
        <w:rPr>
          <w:rFonts w:hint="eastAsia" w:ascii="宋体" w:hAnsi="宋体" w:cs="宋体"/>
          <w:b/>
          <w:szCs w:val="21"/>
        </w:rPr>
        <w:t>19、谈判响应文件的修改与撤回</w:t>
      </w:r>
    </w:p>
    <w:p>
      <w:pPr>
        <w:widowControl/>
        <w:spacing w:line="500" w:lineRule="exact"/>
        <w:ind w:firstLine="420" w:firstLineChars="200"/>
        <w:jc w:val="left"/>
        <w:rPr>
          <w:rFonts w:ascii="宋体" w:hAnsi="宋体" w:cs="宋体"/>
          <w:szCs w:val="21"/>
        </w:rPr>
      </w:pPr>
      <w:bookmarkStart w:id="59" w:name="_Toc23598"/>
      <w:bookmarkStart w:id="60" w:name="_Toc54939195"/>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rPr>
      </w:pPr>
      <w:r>
        <w:rPr>
          <w:rFonts w:hint="eastAsia" w:hAnsi="宋体" w:cs="宋体"/>
        </w:rPr>
        <w:t>五、</w:t>
      </w:r>
      <w:bookmarkEnd w:id="59"/>
      <w:r>
        <w:rPr>
          <w:rFonts w:hint="eastAsia" w:hAnsi="宋体" w:cs="宋体"/>
        </w:rPr>
        <w:t>谈判程序</w:t>
      </w:r>
      <w:bookmarkEnd w:id="60"/>
    </w:p>
    <w:p>
      <w:pPr>
        <w:widowControl/>
        <w:spacing w:line="500" w:lineRule="exact"/>
        <w:ind w:firstLine="422" w:firstLineChars="200"/>
        <w:jc w:val="left"/>
        <w:rPr>
          <w:rFonts w:ascii="宋体" w:hAnsi="宋体" w:cs="宋体"/>
          <w:szCs w:val="21"/>
        </w:rPr>
      </w:pPr>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21.1.3、由采购人代表查验谈判响应人相关证件资料并宣布查验结果；</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21.1.4、由各谈判响应人互相检查谈判响应文件的密封情况，并确认谈判响应人是否存在异议； </w:t>
      </w:r>
    </w:p>
    <w:p>
      <w:pPr>
        <w:widowControl/>
        <w:spacing w:line="500" w:lineRule="exact"/>
        <w:ind w:firstLine="420" w:firstLineChars="200"/>
        <w:jc w:val="left"/>
        <w:rPr>
          <w:rFonts w:ascii="宋体" w:hAnsi="宋体" w:cs="宋体"/>
          <w:szCs w:val="21"/>
        </w:rPr>
      </w:pPr>
      <w:r>
        <w:rPr>
          <w:rFonts w:hint="eastAsia" w:ascii="宋体" w:hAnsi="宋体" w:cs="宋体"/>
          <w:szCs w:val="21"/>
        </w:rPr>
        <w:t>21.1.5现场开启响应文件；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21.1.6依次当众唱标，公布谈判响应人名称、谈判响应首轮报价及谈判响应函其他内容，并记录在案；　</w:t>
      </w:r>
    </w:p>
    <w:p>
      <w:pPr>
        <w:widowControl/>
        <w:spacing w:line="500" w:lineRule="exact"/>
        <w:ind w:firstLine="420" w:firstLineChars="200"/>
        <w:jc w:val="left"/>
        <w:rPr>
          <w:rFonts w:ascii="宋体" w:hAnsi="宋体" w:cs="宋体"/>
          <w:szCs w:val="21"/>
        </w:rPr>
      </w:pPr>
      <w:r>
        <w:rPr>
          <w:rFonts w:hint="eastAsia" w:ascii="宋体" w:hAnsi="宋体" w:cs="宋体"/>
          <w:szCs w:val="21"/>
        </w:rPr>
        <w:t>21.1.6谈判响应人代表、采购人代表、记录人等有关人员在开标记录表上签字确认；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21.1.7暂时休会，进入评审阶段；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21.1.8谈判小组与各个谈判响应人进行谈判；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21.1.9各个谈判响应人进行最终报价；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21.1.10 复会，宣布评审结果。</w:t>
      </w:r>
    </w:p>
    <w:p>
      <w:pPr>
        <w:widowControl/>
        <w:spacing w:line="500" w:lineRule="exact"/>
        <w:ind w:firstLine="420" w:firstLineChars="200"/>
        <w:jc w:val="left"/>
        <w:rPr>
          <w:rFonts w:ascii="宋体" w:hAnsi="宋体" w:cs="宋体"/>
          <w:szCs w:val="21"/>
        </w:rPr>
      </w:pPr>
      <w:r>
        <w:rPr>
          <w:rFonts w:hint="eastAsia" w:ascii="宋体" w:hAnsi="宋体" w:cs="宋体"/>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rPr>
      </w:pPr>
      <w:bookmarkStart w:id="61" w:name="_Toc28310"/>
      <w:bookmarkStart w:id="62" w:name="_Toc54939196"/>
      <w:r>
        <w:rPr>
          <w:rFonts w:hint="eastAsia" w:hAnsi="宋体" w:cs="宋体"/>
        </w:rPr>
        <w:t>六、</w:t>
      </w:r>
      <w:bookmarkEnd w:id="61"/>
      <w:r>
        <w:rPr>
          <w:rFonts w:hint="eastAsia" w:hAnsi="宋体" w:cs="宋体"/>
        </w:rPr>
        <w:t>谈判</w:t>
      </w:r>
      <w:bookmarkEnd w:id="62"/>
    </w:p>
    <w:p>
      <w:pPr>
        <w:widowControl/>
        <w:spacing w:line="360" w:lineRule="auto"/>
        <w:jc w:val="left"/>
        <w:rPr>
          <w:rFonts w:ascii="宋体" w:hAnsi="宋体" w:cs="宋体"/>
          <w:szCs w:val="21"/>
        </w:rPr>
      </w:pPr>
      <w:r>
        <w:rPr>
          <w:rFonts w:hint="eastAsia" w:ascii="宋体" w:hAnsi="宋体" w:cs="宋体"/>
          <w:b/>
          <w:bCs/>
          <w:szCs w:val="21"/>
        </w:rPr>
        <w:t xml:space="preserve">    23、谈判小组</w:t>
      </w:r>
      <w:r>
        <w:rPr>
          <w:rFonts w:hint="eastAsia" w:ascii="宋体" w:hAnsi="宋体" w:cs="宋体"/>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szCs w:val="21"/>
        </w:rPr>
      </w:pPr>
      <w:r>
        <w:rPr>
          <w:rFonts w:hint="eastAsia" w:ascii="宋体" w:hAnsi="宋体" w:cs="宋体"/>
          <w:b/>
          <w:szCs w:val="21"/>
        </w:rPr>
        <w:t>24、评审方法：</w:t>
      </w:r>
      <w:r>
        <w:rPr>
          <w:rFonts w:hint="eastAsia" w:ascii="宋体" w:hAnsi="宋体" w:cs="宋体"/>
          <w:szCs w:val="21"/>
        </w:rPr>
        <w:t>本次谈判采用符合性评审的有效最低价评审方法。</w:t>
      </w:r>
    </w:p>
    <w:p>
      <w:pPr>
        <w:spacing w:line="360" w:lineRule="auto"/>
        <w:ind w:firstLine="422" w:firstLineChars="200"/>
        <w:rPr>
          <w:rFonts w:ascii="宋体" w:hAnsi="宋体" w:cs="宋体"/>
          <w:b/>
          <w:bCs/>
          <w:szCs w:val="21"/>
        </w:rPr>
      </w:pPr>
      <w:r>
        <w:rPr>
          <w:rFonts w:hint="eastAsia" w:ascii="宋体" w:hAnsi="宋体" w:cs="宋体"/>
          <w:b/>
          <w:bCs/>
          <w:szCs w:val="21"/>
        </w:rPr>
        <w:t>25、评审程序</w:t>
      </w:r>
      <w:r>
        <w:rPr>
          <w:rFonts w:hint="eastAsia" w:ascii="宋体" w:hAnsi="宋体" w:cs="宋体"/>
          <w:szCs w:val="21"/>
        </w:rPr>
        <w:t>：评审按照谈判响应文件符合性审查、报价评审、澄清有关问题、失信核查和确定成交候选人排序进行评审。</w:t>
      </w:r>
      <w:r>
        <w:rPr>
          <w:rFonts w:hint="eastAsia" w:ascii="宋体" w:hAnsi="宋体" w:cs="宋体"/>
          <w:b/>
          <w:bCs/>
          <w:szCs w:val="21"/>
        </w:rPr>
        <w:t>如有任一项未通过的则不进入下一项评审。</w:t>
      </w:r>
    </w:p>
    <w:p>
      <w:pPr>
        <w:widowControl/>
        <w:spacing w:line="360" w:lineRule="auto"/>
        <w:ind w:firstLine="420" w:firstLineChars="200"/>
        <w:jc w:val="left"/>
        <w:rPr>
          <w:rFonts w:ascii="宋体" w:hAnsi="宋体" w:cs="宋体"/>
          <w:szCs w:val="21"/>
        </w:rPr>
      </w:pPr>
      <w:r>
        <w:rPr>
          <w:rFonts w:hint="eastAsia" w:ascii="宋体" w:hAnsi="宋体" w:cs="宋体"/>
          <w:szCs w:val="21"/>
        </w:rPr>
        <w:t>25.1、谈判响应文件符合性审查，包括但不限于以下内容：</w:t>
      </w:r>
    </w:p>
    <w:p>
      <w:pPr>
        <w:widowControl/>
        <w:spacing w:line="360" w:lineRule="auto"/>
        <w:jc w:val="left"/>
        <w:rPr>
          <w:rFonts w:ascii="宋体" w:hAnsi="宋体" w:cs="宋体"/>
          <w:color w:val="000000"/>
          <w:szCs w:val="21"/>
        </w:rPr>
      </w:pPr>
      <w:r>
        <w:rPr>
          <w:rFonts w:hint="eastAsia" w:ascii="宋体" w:hAnsi="宋体" w:cs="宋体"/>
          <w:szCs w:val="21"/>
        </w:rPr>
        <w:t xml:space="preserve">   </w:t>
      </w:r>
      <w:r>
        <w:rPr>
          <w:rFonts w:hint="eastAsia" w:ascii="宋体" w:hAnsi="宋体" w:cs="宋体"/>
          <w:color w:val="000000"/>
          <w:szCs w:val="21"/>
        </w:rPr>
        <w:t>（1）谈判响应人资格是否符合竞争性谈判文件要求；</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（3）竞争性谈判文件要求提交的各种资格证明文件是否真实、完整、合法、有效；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（4）所提供的货物是否有缺少；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（9）谈判响应文件是否附有采购人不能接受的条件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（10）</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szCs w:val="21"/>
        </w:rPr>
      </w:pPr>
      <w:r>
        <w:rPr>
          <w:rFonts w:hint="eastAsia" w:ascii="宋体" w:hAnsi="宋体" w:cs="宋体"/>
          <w:szCs w:val="21"/>
        </w:rPr>
        <w:t>（11）谈判响应文件是否符合竞争性谈判文件的要求；</w:t>
      </w:r>
    </w:p>
    <w:p>
      <w:pPr>
        <w:widowControl/>
        <w:spacing w:line="500" w:lineRule="exact"/>
        <w:ind w:firstLine="420" w:firstLineChars="200"/>
        <w:jc w:val="left"/>
        <w:rPr>
          <w:rFonts w:ascii="宋体" w:hAnsi="宋体" w:cs="宋体"/>
          <w:b/>
          <w:szCs w:val="21"/>
        </w:rPr>
      </w:pPr>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9"/>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9"/>
          <w:rFonts w:hint="eastAsia"/>
          <w:color w:val="auto"/>
          <w:szCs w:val="21"/>
          <w:u w:val="none"/>
        </w:rPr>
        <w:t>不得将其推荐为成交候选人，依序递补，并再次对递补的谈判响应人进行核查。</w:t>
      </w:r>
      <w:r>
        <w:rPr>
          <w:rStyle w:val="29"/>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ascii="宋体" w:hAnsi="宋体" w:cs="宋体"/>
          <w:szCs w:val="21"/>
        </w:rPr>
      </w:pPr>
      <w:r>
        <w:rPr>
          <w:rFonts w:hint="eastAsia" w:ascii="宋体" w:hAnsi="宋体" w:cs="宋体"/>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szCs w:val="21"/>
        </w:rPr>
      </w:pPr>
      <w:r>
        <w:rPr>
          <w:rFonts w:hint="eastAsia" w:ascii="宋体" w:hAnsi="宋体" w:cs="宋体"/>
          <w:szCs w:val="21"/>
        </w:rPr>
        <w:t xml:space="preserve">    (2)</w:t>
      </w:r>
      <w:r>
        <w:rPr>
          <w:rFonts w:hint="eastAsia" w:ascii="宋体" w:hAnsi="宋体" w:cs="宋体"/>
          <w:szCs w:val="21"/>
        </w:rPr>
        <w:tab/>
      </w:r>
      <w:r>
        <w:rPr>
          <w:rFonts w:hint="eastAsia" w:ascii="宋体" w:hAnsi="宋体" w:cs="宋体"/>
          <w:szCs w:val="21"/>
        </w:rPr>
        <w:t>出现影响采购公正的违法、违规行为的；</w:t>
      </w:r>
    </w:p>
    <w:p>
      <w:pPr>
        <w:widowControl/>
        <w:spacing w:line="360" w:lineRule="auto"/>
        <w:jc w:val="left"/>
        <w:rPr>
          <w:rFonts w:ascii="宋体" w:hAnsi="宋体" w:cs="宋体"/>
          <w:szCs w:val="21"/>
        </w:rPr>
      </w:pPr>
      <w:r>
        <w:rPr>
          <w:rFonts w:hint="eastAsia" w:ascii="宋体" w:hAnsi="宋体" w:cs="宋体"/>
          <w:szCs w:val="21"/>
        </w:rPr>
        <w:t xml:space="preserve">    (3)</w:t>
      </w:r>
      <w:r>
        <w:rPr>
          <w:rFonts w:hint="eastAsia" w:ascii="宋体" w:hAnsi="宋体" w:cs="宋体"/>
          <w:szCs w:val="21"/>
        </w:rPr>
        <w:tab/>
      </w:r>
      <w:r>
        <w:rPr>
          <w:rFonts w:hint="eastAsia" w:ascii="宋体" w:hAnsi="宋体" w:cs="宋体"/>
          <w:szCs w:val="21"/>
        </w:rPr>
        <w:t>谈判响应人的总报价均超过了谈判最高限价，采购人不能支付的；</w:t>
      </w:r>
    </w:p>
    <w:p>
      <w:pPr>
        <w:widowControl/>
        <w:spacing w:line="360" w:lineRule="auto"/>
        <w:ind w:firstLine="42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15032"/>
      <w:bookmarkStart w:id="64" w:name="_Toc417655921"/>
      <w:bookmarkStart w:id="65" w:name="_Toc418517858"/>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w:t>
      </w:r>
      <w:r>
        <w:rPr>
          <w:rFonts w:hint="eastAsia" w:ascii="宋体" w:hAnsi="宋体"/>
          <w:szCs w:val="21"/>
        </w:rPr>
        <w:t>，完成缴费后请</w:t>
      </w:r>
      <w:r>
        <w:rPr>
          <w:rFonts w:ascii="宋体" w:hAnsi="宋体"/>
          <w:szCs w:val="21"/>
        </w:rPr>
        <w:t>在</w:t>
      </w:r>
      <w:r>
        <w:rPr>
          <w:rFonts w:hint="eastAsia" w:ascii="宋体" w:hAnsi="宋体"/>
          <w:szCs w:val="21"/>
        </w:rPr>
        <w:t>7</w:t>
      </w:r>
      <w:r>
        <w:rPr>
          <w:rFonts w:ascii="宋体" w:hAnsi="宋体"/>
          <w:szCs w:val="21"/>
        </w:rPr>
        <w:t>个工作日内前来开具增值税发票，逾期按普票开具，不再开具专票。</w:t>
      </w:r>
    </w:p>
    <w:p>
      <w:pPr>
        <w:widowControl/>
        <w:spacing w:line="360" w:lineRule="auto"/>
        <w:ind w:firstLine="405"/>
        <w:jc w:val="left"/>
        <w:rPr>
          <w:rFonts w:ascii="宋体" w:hAnsi="宋体" w:cs="宋体"/>
          <w:szCs w:val="21"/>
        </w:rPr>
      </w:pPr>
      <w:r>
        <w:rPr>
          <w:rFonts w:hint="eastAsia" w:ascii="宋体" w:hAnsi="宋体" w:cs="宋体"/>
          <w:szCs w:val="21"/>
        </w:rPr>
        <w:t>27.4.2、服务费按差额定率累进法计算。以成交价计算基数，按下表约定的货物标准的80%收取。</w:t>
      </w:r>
    </w:p>
    <w:tbl>
      <w:tblPr>
        <w:tblStyle w:val="2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widowControl/>
        <w:spacing w:line="500" w:lineRule="exact"/>
        <w:ind w:firstLine="421"/>
        <w:jc w:val="left"/>
        <w:rPr>
          <w:rFonts w:ascii="宋体" w:hAnsi="宋体" w:cs="宋体"/>
          <w:b/>
        </w:rPr>
      </w:pPr>
      <w:r>
        <w:rPr>
          <w:rFonts w:hint="eastAsia" w:ascii="宋体" w:hAnsi="宋体" w:cs="宋体"/>
          <w:b/>
        </w:rPr>
        <w:t xml:space="preserve">  </w:t>
      </w:r>
      <w:r>
        <w:rPr>
          <w:rFonts w:hint="eastAsia" w:ascii="宋体" w:hAnsi="宋体" w:cs="宋体"/>
          <w:szCs w:val="21"/>
        </w:rPr>
        <w:t>注：按上述收费标准计算不足1500元的，按1500元计费。</w:t>
      </w:r>
    </w:p>
    <w:p>
      <w:pPr>
        <w:widowControl/>
        <w:spacing w:line="500" w:lineRule="exact"/>
        <w:ind w:firstLine="420" w:firstLineChars="200"/>
        <w:jc w:val="left"/>
        <w:rPr>
          <w:rFonts w:ascii="宋体" w:hAnsi="宋体" w:cs="宋体"/>
          <w:szCs w:val="21"/>
        </w:rPr>
      </w:pPr>
      <w:r>
        <w:rPr>
          <w:rFonts w:hint="eastAsia" w:ascii="宋体" w:hAnsi="宋体" w:cs="宋体"/>
          <w:szCs w:val="21"/>
        </w:rPr>
        <w:t>27.5、成交通知书</w:t>
      </w:r>
      <w:bookmarkEnd w:id="63"/>
      <w:bookmarkEnd w:id="64"/>
      <w:bookmarkEnd w:id="65"/>
    </w:p>
    <w:p>
      <w:pPr>
        <w:widowControl/>
        <w:spacing w:line="500" w:lineRule="exact"/>
        <w:ind w:firstLine="420"/>
        <w:jc w:val="left"/>
        <w:rPr>
          <w:rFonts w:ascii="宋体" w:hAnsi="宋体" w:cs="宋体"/>
          <w:szCs w:val="21"/>
        </w:rPr>
      </w:pPr>
      <w:r>
        <w:rPr>
          <w:rFonts w:hint="eastAsia" w:ascii="宋体" w:hAnsi="宋体" w:cs="宋体"/>
          <w:szCs w:val="21"/>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p>
    <w:p>
      <w:pPr>
        <w:widowControl/>
        <w:spacing w:line="360" w:lineRule="auto"/>
        <w:ind w:firstLine="420" w:firstLineChars="200"/>
        <w:jc w:val="left"/>
        <w:rPr>
          <w:rFonts w:ascii="宋体" w:hAnsi="宋体" w:cs="宋体"/>
          <w:szCs w:val="21"/>
        </w:rPr>
      </w:pPr>
      <w:r>
        <w:rPr>
          <w:rFonts w:hint="eastAsia" w:ascii="宋体" w:hAnsi="宋体" w:cs="宋体"/>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szCs w:val="21"/>
        </w:rPr>
      </w:pPr>
      <w:bookmarkStart w:id="66" w:name="_Toc2342"/>
      <w:bookmarkStart w:id="67" w:name="_Toc417655920"/>
      <w:bookmarkStart w:id="68" w:name="_Toc418517857"/>
      <w:r>
        <w:rPr>
          <w:rFonts w:hint="eastAsia" w:ascii="宋体" w:hAnsi="宋体" w:cs="宋体"/>
          <w:b/>
          <w:bCs/>
          <w:szCs w:val="20"/>
        </w:rPr>
        <w:t xml:space="preserve">   </w:t>
      </w:r>
      <w:r>
        <w:rPr>
          <w:rFonts w:hint="eastAsia" w:ascii="宋体" w:hAnsi="宋体" w:cs="宋体"/>
          <w:szCs w:val="21"/>
        </w:rPr>
        <w:t xml:space="preserve"> 27.</w:t>
      </w:r>
      <w:bookmarkEnd w:id="66"/>
      <w:bookmarkEnd w:id="67"/>
      <w:bookmarkEnd w:id="68"/>
      <w:r>
        <w:rPr>
          <w:rFonts w:hint="eastAsia" w:ascii="宋体" w:hAnsi="宋体" w:cs="宋体"/>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bookmarkStart w:id="69" w:name="_Toc23509"/>
      <w:r>
        <w:rPr>
          <w:rFonts w:hint="eastAsia" w:ascii="宋体" w:hAnsi="宋体" w:cs="宋体"/>
          <w:b/>
          <w:bCs/>
          <w:szCs w:val="21"/>
        </w:rPr>
        <w:t xml:space="preserve">    </w:t>
      </w:r>
      <w:bookmarkStart w:id="70" w:name="_Toc54939197"/>
      <w:r>
        <w:rPr>
          <w:rFonts w:hint="eastAsia" w:ascii="宋体" w:hAnsi="宋体" w:cs="宋体"/>
          <w:b/>
          <w:bCs/>
          <w:szCs w:val="21"/>
        </w:rPr>
        <w:t>七、合同授予</w:t>
      </w:r>
      <w:bookmarkEnd w:id="69"/>
      <w:bookmarkEnd w:id="70"/>
    </w:p>
    <w:p>
      <w:pPr>
        <w:widowControl/>
        <w:spacing w:line="500" w:lineRule="exact"/>
        <w:jc w:val="left"/>
        <w:rPr>
          <w:rFonts w:ascii="宋体" w:hAnsi="宋体" w:cs="宋体"/>
          <w:szCs w:val="21"/>
        </w:rPr>
      </w:pPr>
      <w:r>
        <w:rPr>
          <w:rFonts w:hint="eastAsia" w:ascii="宋体" w:hAnsi="宋体" w:cs="宋体"/>
          <w:szCs w:val="21"/>
        </w:rPr>
        <w:t xml:space="preserve">    28、</w:t>
      </w:r>
      <w:bookmarkStart w:id="71" w:name="_Toc418517860"/>
      <w:bookmarkStart w:id="72" w:name="_Toc21358"/>
      <w:bookmarkStart w:id="73" w:name="_Toc417655923"/>
      <w:r>
        <w:rPr>
          <w:rFonts w:hint="eastAsia" w:ascii="宋体" w:hAnsi="宋体" w:cs="宋体"/>
          <w:szCs w:val="21"/>
        </w:rPr>
        <w:t>签订合同</w:t>
      </w:r>
      <w:bookmarkEnd w:id="71"/>
      <w:bookmarkEnd w:id="72"/>
      <w:bookmarkEnd w:id="73"/>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28.2、成交人在收到成交通知书起</w:t>
      </w:r>
      <w:r>
        <w:rPr>
          <w:rFonts w:hint="eastAsia" w:ascii="宋体" w:hAnsi="宋体" w:cs="宋体"/>
          <w:szCs w:val="21"/>
          <w:lang w:val="en-US" w:eastAsia="zh-CN"/>
        </w:rPr>
        <w:t>10工作</w:t>
      </w:r>
      <w:r>
        <w:rPr>
          <w:rFonts w:hint="eastAsia" w:ascii="宋体" w:hAnsi="宋体" w:cs="宋体"/>
          <w:szCs w:val="21"/>
        </w:rPr>
        <w:t xml:space="preserve">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pStyle w:val="3"/>
        <w:rPr>
          <w:rFonts w:ascii="宋体" w:hAnsi="宋体"/>
          <w:b/>
          <w:bCs/>
          <w:szCs w:val="21"/>
        </w:rPr>
      </w:pPr>
      <w:bookmarkStart w:id="74" w:name="_Toc18076"/>
      <w:bookmarkStart w:id="75" w:name="_Toc54939198"/>
      <w:r>
        <w:rPr>
          <w:rFonts w:hint="eastAsia" w:ascii="宋体" w:hAnsi="宋体" w:cs="宋体"/>
        </w:rPr>
        <w:t xml:space="preserve">第三章 </w:t>
      </w:r>
      <w:bookmarkEnd w:id="74"/>
      <w:bookmarkEnd w:id="75"/>
      <w:r>
        <w:rPr>
          <w:rFonts w:hint="eastAsia" w:ascii="宋体" w:hAnsi="宋体" w:cs="宋体"/>
          <w:color w:val="000000"/>
        </w:rPr>
        <w:t>货物需求及技术要求</w:t>
      </w:r>
      <w:bookmarkStart w:id="76" w:name="_Toc54938481"/>
      <w:bookmarkStart w:id="77" w:name="_Toc7241"/>
      <w:bookmarkStart w:id="78" w:name="_Toc54939199"/>
    </w:p>
    <w:p>
      <w:pPr>
        <w:spacing w:line="360" w:lineRule="auto"/>
        <w:rPr>
          <w:rFonts w:ascii="宋体" w:hAnsi="宋体"/>
          <w:b/>
          <w:bCs/>
          <w:szCs w:val="21"/>
        </w:rPr>
      </w:pPr>
      <w:r>
        <w:rPr>
          <w:rFonts w:hint="eastAsia" w:ascii="宋体" w:hAnsi="宋体"/>
          <w:b/>
          <w:bCs/>
          <w:szCs w:val="21"/>
          <w:lang w:val="en-US" w:eastAsia="zh-CN"/>
        </w:rPr>
        <w:t>一</w:t>
      </w:r>
      <w:r>
        <w:rPr>
          <w:rFonts w:hint="eastAsia" w:ascii="宋体" w:hAnsi="宋体"/>
          <w:b/>
          <w:bCs/>
          <w:szCs w:val="21"/>
        </w:rPr>
        <w:t>、货物需求及技术要求一览表</w:t>
      </w:r>
    </w:p>
    <w:bookmarkEnd w:id="76"/>
    <w:tbl>
      <w:tblPr>
        <w:tblStyle w:val="23"/>
        <w:tblW w:w="10425" w:type="dxa"/>
        <w:tblInd w:w="-80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7"/>
        <w:gridCol w:w="878"/>
        <w:gridCol w:w="5711"/>
        <w:gridCol w:w="667"/>
        <w:gridCol w:w="800"/>
        <w:gridCol w:w="17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577" w:type="dxa"/>
            <w:noWrap w:val="0"/>
            <w:vAlign w:val="center"/>
          </w:tcPr>
          <w:p>
            <w:pPr>
              <w:widowControl/>
              <w:jc w:val="center"/>
              <w:rPr>
                <w:rFonts w:hint="default" w:ascii="Times New Roman" w:hAnsi="Times New Roman" w:eastAsia="宋体" w:cs="Times New Roman"/>
                <w:b/>
                <w:bCs w:val="0"/>
                <w:color w:val="auto"/>
                <w:kern w:val="0"/>
                <w:sz w:val="21"/>
                <w:szCs w:val="21"/>
              </w:rPr>
            </w:pPr>
            <w:bookmarkStart w:id="79" w:name="_Toc4579"/>
            <w:bookmarkStart w:id="80" w:name="_Toc54938482"/>
            <w:r>
              <w:rPr>
                <w:rFonts w:hint="default" w:ascii="Times New Roman" w:hAnsi="Times New Roman" w:eastAsia="宋体" w:cs="Times New Roman"/>
                <w:b/>
                <w:bCs w:val="0"/>
                <w:color w:val="auto"/>
                <w:kern w:val="0"/>
                <w:sz w:val="21"/>
                <w:szCs w:val="21"/>
              </w:rPr>
              <w:t>序号</w:t>
            </w:r>
          </w:p>
        </w:tc>
        <w:tc>
          <w:tcPr>
            <w:tcW w:w="878" w:type="dxa"/>
            <w:noWrap w:val="0"/>
            <w:vAlign w:val="center"/>
          </w:tcPr>
          <w:p>
            <w:pPr>
              <w:widowControl/>
              <w:jc w:val="center"/>
              <w:rPr>
                <w:rFonts w:hint="default"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kern w:val="0"/>
                <w:sz w:val="21"/>
                <w:szCs w:val="21"/>
              </w:rPr>
              <w:t>设备名称</w:t>
            </w:r>
          </w:p>
        </w:tc>
        <w:tc>
          <w:tcPr>
            <w:tcW w:w="5711" w:type="dxa"/>
            <w:noWrap w:val="0"/>
            <w:vAlign w:val="center"/>
          </w:tcPr>
          <w:p>
            <w:pPr>
              <w:widowControl/>
              <w:spacing w:line="340" w:lineRule="exact"/>
              <w:jc w:val="center"/>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竞争性谈判技术参数</w:t>
            </w:r>
          </w:p>
        </w:tc>
        <w:tc>
          <w:tcPr>
            <w:tcW w:w="667" w:type="dxa"/>
            <w:noWrap w:val="0"/>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val="0"/>
                <w:color w:val="auto"/>
                <w:kern w:val="0"/>
                <w:sz w:val="21"/>
                <w:szCs w:val="21"/>
              </w:rPr>
              <w:t>数量</w:t>
            </w:r>
          </w:p>
        </w:tc>
        <w:tc>
          <w:tcPr>
            <w:tcW w:w="800" w:type="dxa"/>
            <w:noWrap w:val="0"/>
            <w:vAlign w:val="center"/>
          </w:tcPr>
          <w:p>
            <w:pPr>
              <w:widowControl/>
              <w:jc w:val="center"/>
              <w:rPr>
                <w:rFonts w:hint="default" w:ascii="Times New Roman" w:hAnsi="Times New Roman" w:eastAsia="宋体" w:cs="Times New Roman"/>
                <w:b/>
                <w:bCs w:val="0"/>
                <w:color w:val="auto"/>
                <w:kern w:val="0"/>
                <w:sz w:val="21"/>
                <w:szCs w:val="21"/>
                <w:lang w:val="en-US" w:eastAsia="zh-CN"/>
              </w:rPr>
            </w:pPr>
            <w:r>
              <w:rPr>
                <w:rFonts w:hint="eastAsia" w:cs="Times New Roman"/>
                <w:b/>
                <w:bCs w:val="0"/>
                <w:color w:val="auto"/>
                <w:kern w:val="0"/>
                <w:sz w:val="21"/>
                <w:szCs w:val="21"/>
                <w:lang w:val="en-US" w:eastAsia="zh-CN"/>
              </w:rPr>
              <w:t>单位</w:t>
            </w:r>
          </w:p>
        </w:tc>
        <w:tc>
          <w:tcPr>
            <w:tcW w:w="1792" w:type="dxa"/>
            <w:noWrap w:val="0"/>
            <w:vAlign w:val="center"/>
          </w:tcPr>
          <w:p>
            <w:pPr>
              <w:widowControl/>
              <w:jc w:val="center"/>
              <w:rPr>
                <w:rFonts w:hint="default" w:ascii="Times New Roman" w:hAnsi="Times New Roman" w:eastAsia="宋体" w:cs="Times New Roman"/>
                <w:b/>
                <w:bCs w:val="0"/>
                <w:color w:val="auto"/>
                <w:kern w:val="0"/>
                <w:sz w:val="21"/>
                <w:szCs w:val="21"/>
                <w:lang w:val="en-US" w:eastAsia="zh-CN"/>
              </w:rPr>
            </w:pPr>
            <w:r>
              <w:rPr>
                <w:rFonts w:hint="eastAsia" w:cs="Times New Roman"/>
                <w:b/>
                <w:bCs w:val="0"/>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c>
          <w:tcPr>
            <w:tcW w:w="878"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空调</w:t>
            </w:r>
          </w:p>
        </w:tc>
        <w:tc>
          <w:tcPr>
            <w:tcW w:w="5711" w:type="dxa"/>
            <w:noWrap w:val="0"/>
            <w:vAlign w:val="center"/>
          </w:tcPr>
          <w:p>
            <w:pPr>
              <w:pStyle w:val="2"/>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lang w:val="en-US" w:eastAsia="zh-CN"/>
              </w:rPr>
              <w:t xml:space="preserve">冷暖电辅 定频  能效比值：3.12 额定制冷量 12000W 额定制冷功率 3850W 额定制热量12500(14360）W 循环风量 1750M3/h   </w:t>
            </w:r>
            <w:r>
              <w:rPr>
                <w:rFonts w:hint="eastAsia" w:ascii="Times New Roman" w:hAnsi="Times New Roman" w:cs="Times New Roman"/>
                <w:sz w:val="21"/>
                <w:szCs w:val="21"/>
                <w:lang w:val="en-US" w:eastAsia="zh-CN"/>
              </w:rPr>
              <w:t>5匹</w:t>
            </w: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台</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0"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w:t>
            </w:r>
          </w:p>
        </w:tc>
        <w:tc>
          <w:tcPr>
            <w:tcW w:w="878" w:type="dxa"/>
            <w:noWrap w:val="0"/>
            <w:vAlign w:val="center"/>
          </w:tcPr>
          <w:p>
            <w:pPr>
              <w:widowControl/>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水槽台</w:t>
            </w:r>
          </w:p>
        </w:tc>
        <w:tc>
          <w:tcPr>
            <w:tcW w:w="5711" w:type="dxa"/>
            <w:noWrap w:val="0"/>
            <w:vAlign w:val="center"/>
          </w:tcPr>
          <w:p>
            <w:pPr>
              <w:pStyle w:val="20"/>
              <w:snapToGrid w:val="0"/>
              <w:spacing w:before="0" w:beforeAutospacing="0" w:after="0" w:afterAutospacing="0" w:line="360" w:lineRule="auto"/>
              <w:rPr>
                <w:rFonts w:hint="eastAsia" w:cs="Times New Roman"/>
                <w:sz w:val="21"/>
                <w:szCs w:val="21"/>
                <w:vertAlign w:val="baseline"/>
                <w:lang w:val="en-US" w:eastAsia="zh-CN"/>
              </w:rPr>
            </w:pPr>
            <w:r>
              <w:rPr>
                <w:rFonts w:hint="eastAsia" w:cs="Times New Roman"/>
                <w:sz w:val="21"/>
                <w:szCs w:val="21"/>
                <w:vertAlign w:val="baseline"/>
                <w:lang w:val="en-US" w:eastAsia="zh-CN"/>
              </w:rPr>
              <w:t>古盆材质：陶瓷 镜子材质：黄铜 盆内部尺寸：盆口径：40CM</w:t>
            </w:r>
          </w:p>
          <w:p>
            <w:pPr>
              <w:pStyle w:val="20"/>
              <w:snapToGrid w:val="0"/>
              <w:spacing w:before="0" w:beforeAutospacing="0" w:after="0" w:afterAutospacing="0" w:line="360" w:lineRule="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盆深 12.5  盆体尺寸 高：82CM  底部直径：34CM 搭配竹节水龙头 纯铜下水器 白角阀 冷热进水管 防臭软管  搭配黄铜复古镜子 直径 50CM</w:t>
            </w:r>
          </w:p>
          <w:p>
            <w:pPr>
              <w:pStyle w:val="2"/>
              <w:rPr>
                <w:rFonts w:hint="default" w:ascii="Times New Roman" w:hAnsi="Times New Roman" w:eastAsia="宋体" w:cs="Times New Roman"/>
                <w:color w:val="auto"/>
                <w:sz w:val="21"/>
                <w:szCs w:val="21"/>
                <w:lang w:val="en-US" w:eastAsia="zh-CN"/>
              </w:rPr>
            </w:pP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组</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参考图片：</w:t>
            </w:r>
            <w:r>
              <w:rPr>
                <w:rFonts w:hint="default" w:ascii="Times New Roman" w:hAnsi="Times New Roman" w:eastAsia="宋体" w:cs="Times New Roman"/>
                <w:b w:val="0"/>
                <w:bCs/>
                <w:color w:val="auto"/>
                <w:kern w:val="0"/>
                <w:sz w:val="21"/>
                <w:szCs w:val="21"/>
                <w:lang w:val="en-US" w:eastAsia="zh-CN"/>
              </w:rPr>
              <w:drawing>
                <wp:inline distT="0" distB="0" distL="114300" distR="114300">
                  <wp:extent cx="1186180" cy="1186180"/>
                  <wp:effectExtent l="0" t="0" r="13970" b="13970"/>
                  <wp:docPr id="12" name="图片 12" descr="QQ图片2021070118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图片20210701180036"/>
                          <pic:cNvPicPr>
                            <a:picLocks noChangeAspect="1"/>
                          </pic:cNvPicPr>
                        </pic:nvPicPr>
                        <pic:blipFill>
                          <a:blip r:embed="rId7"/>
                          <a:stretch>
                            <a:fillRect/>
                          </a:stretch>
                        </pic:blipFill>
                        <pic:spPr>
                          <a:xfrm>
                            <a:off x="0" y="0"/>
                            <a:ext cx="1186180" cy="11861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w:t>
            </w:r>
          </w:p>
        </w:tc>
        <w:tc>
          <w:tcPr>
            <w:tcW w:w="878"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水电改造、</w:t>
            </w:r>
            <w:r>
              <w:rPr>
                <w:rFonts w:hint="default" w:ascii="Times New Roman" w:hAnsi="Times New Roman" w:eastAsia="宋体" w:cs="Times New Roman"/>
                <w:b w:val="0"/>
                <w:bCs/>
                <w:color w:val="auto"/>
                <w:kern w:val="0"/>
                <w:sz w:val="21"/>
                <w:szCs w:val="21"/>
                <w:lang w:val="en-US" w:eastAsia="zh-CN"/>
              </w:rPr>
              <w:t>墙面刷新等</w:t>
            </w:r>
          </w:p>
        </w:tc>
        <w:tc>
          <w:tcPr>
            <w:tcW w:w="5711" w:type="dxa"/>
            <w:noWrap w:val="0"/>
            <w:vAlign w:val="center"/>
          </w:tcPr>
          <w:p>
            <w:pPr>
              <w:pStyle w:val="20"/>
              <w:snapToGrid w:val="0"/>
              <w:spacing w:before="0" w:beforeAutospacing="0" w:after="0" w:afterAutospacing="0" w:line="360" w:lineRule="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1、给水安装，进水需从卫生间重新女装水官了及水管，PPR 上水管道等所有施工改造材料;</w:t>
            </w:r>
          </w:p>
          <w:p>
            <w:pPr>
              <w:pStyle w:val="20"/>
              <w:snapToGrid w:val="0"/>
              <w:spacing w:before="0" w:beforeAutospacing="0" w:after="0" w:afterAutospacing="0" w:line="360" w:lineRule="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2、</w:t>
            </w:r>
            <w:r>
              <w:rPr>
                <w:rFonts w:hint="default" w:ascii="Times New Roman" w:hAnsi="Times New Roman" w:eastAsia="宋体" w:cs="Times New Roman"/>
                <w:sz w:val="21"/>
                <w:szCs w:val="21"/>
                <w:vertAlign w:val="baseline"/>
                <w:lang w:val="en-US" w:eastAsia="zh-CN"/>
              </w:rPr>
              <w:t>2</w:t>
            </w:r>
            <w:r>
              <w:rPr>
                <w:rFonts w:hint="default" w:ascii="Times New Roman" w:hAnsi="Times New Roman" w:eastAsia="宋体" w:cs="Times New Roman"/>
                <w:sz w:val="21"/>
                <w:szCs w:val="21"/>
                <w:vertAlign w:val="baseline"/>
              </w:rPr>
              <w:t>套水槽台上下水配件及安装</w:t>
            </w:r>
          </w:p>
          <w:p>
            <w:pPr>
              <w:pStyle w:val="20"/>
              <w:snapToGrid w:val="0"/>
              <w:spacing w:before="0" w:beforeAutospacing="0" w:after="0" w:afterAutospacing="0" w:line="360" w:lineRule="auto"/>
              <w:rPr>
                <w:rFonts w:hint="default" w:ascii="Times New Roman" w:hAnsi="Times New Roman" w:eastAsia="宋体" w:cs="Times New Roman"/>
                <w:strike/>
                <w:dstrike w:val="0"/>
                <w:color w:val="0000FF"/>
                <w:sz w:val="21"/>
                <w:szCs w:val="21"/>
                <w:vertAlign w:val="baseline"/>
              </w:rPr>
            </w:pPr>
            <w:r>
              <w:rPr>
                <w:rFonts w:hint="default" w:ascii="Times New Roman" w:hAnsi="Times New Roman" w:eastAsia="宋体" w:cs="Times New Roman"/>
                <w:sz w:val="21"/>
                <w:szCs w:val="21"/>
                <w:vertAlign w:val="baseline"/>
              </w:rPr>
              <w:t>水电改造、墙面</w:t>
            </w:r>
            <w:r>
              <w:rPr>
                <w:rFonts w:hint="eastAsia" w:cs="Times New Roman"/>
                <w:sz w:val="21"/>
                <w:szCs w:val="21"/>
                <w:vertAlign w:val="baseline"/>
                <w:lang w:eastAsia="zh-CN"/>
              </w:rPr>
              <w:t>、</w:t>
            </w:r>
            <w:r>
              <w:rPr>
                <w:rFonts w:hint="default" w:ascii="Times New Roman" w:hAnsi="Times New Roman" w:eastAsia="宋体" w:cs="Times New Roman"/>
                <w:sz w:val="21"/>
                <w:szCs w:val="21"/>
                <w:vertAlign w:val="baseline"/>
              </w:rPr>
              <w:t xml:space="preserve">下水管道施工，墙面打孔排出 </w:t>
            </w:r>
          </w:p>
          <w:p>
            <w:pPr>
              <w:pStyle w:val="20"/>
              <w:snapToGrid w:val="0"/>
              <w:spacing w:before="0" w:beforeAutospacing="0" w:after="0" w:afterAutospacing="0" w:line="360" w:lineRule="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4、从配电箱用2.5 平方电线穿线管至10个指定位置并安装5孔插座。</w:t>
            </w:r>
          </w:p>
          <w:p>
            <w:pPr>
              <w:pStyle w:val="20"/>
              <w:snapToGrid w:val="0"/>
              <w:spacing w:before="0" w:beforeAutospacing="0" w:after="0" w:afterAutospacing="0" w:line="360" w:lineRule="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sz w:val="21"/>
                <w:szCs w:val="21"/>
                <w:vertAlign w:val="baseline"/>
              </w:rPr>
              <w:t>5、墙面局部脱落 受潮部位修补，整体刷一遍乳胶漆(共约</w:t>
            </w:r>
            <w:r>
              <w:rPr>
                <w:rFonts w:hint="default" w:ascii="Times New Roman" w:hAnsi="Times New Roman" w:eastAsia="宋体" w:cs="Times New Roman"/>
                <w:sz w:val="21"/>
                <w:szCs w:val="21"/>
                <w:vertAlign w:val="baseline"/>
                <w:lang w:val="en-US" w:eastAsia="zh-CN"/>
              </w:rPr>
              <w:t>75</w:t>
            </w:r>
            <w:r>
              <w:rPr>
                <w:rFonts w:hint="default" w:ascii="Times New Roman" w:hAnsi="Times New Roman" w:eastAsia="宋体" w:cs="Times New Roman"/>
                <w:sz w:val="21"/>
                <w:szCs w:val="21"/>
                <w:vertAlign w:val="baseline"/>
              </w:rPr>
              <w:t>平米)</w:t>
            </w:r>
            <w:r>
              <w:rPr>
                <w:rFonts w:hint="eastAsia" w:cs="Times New Roman"/>
                <w:sz w:val="21"/>
                <w:szCs w:val="21"/>
                <w:vertAlign w:val="baseline"/>
                <w:lang w:eastAsia="zh-CN"/>
              </w:rPr>
              <w:t>、</w:t>
            </w:r>
            <w:r>
              <w:rPr>
                <w:rFonts w:hint="eastAsia" w:cs="Times New Roman"/>
                <w:sz w:val="21"/>
                <w:szCs w:val="21"/>
                <w:vertAlign w:val="baseline"/>
                <w:lang w:val="en-US" w:eastAsia="zh-CN"/>
              </w:rPr>
              <w:t>墙面</w:t>
            </w:r>
            <w:r>
              <w:rPr>
                <w:rFonts w:hint="eastAsia" w:cs="Times New Roman"/>
                <w:color w:val="auto"/>
                <w:sz w:val="21"/>
                <w:szCs w:val="21"/>
                <w:vertAlign w:val="baseline"/>
                <w:lang w:val="en-US" w:eastAsia="zh-CN"/>
              </w:rPr>
              <w:t>刷新等</w:t>
            </w:r>
          </w:p>
          <w:p>
            <w:pPr>
              <w:pStyle w:val="20"/>
              <w:snapToGrid w:val="0"/>
              <w:spacing w:before="0" w:beforeAutospacing="0" w:after="0" w:afterAutospacing="0" w:line="360" w:lineRule="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6、</w:t>
            </w:r>
            <w:r>
              <w:rPr>
                <w:rFonts w:hint="default" w:ascii="Times New Roman" w:hAnsi="Times New Roman" w:eastAsia="宋体" w:cs="Times New Roman"/>
                <w:color w:val="auto"/>
                <w:sz w:val="21"/>
                <w:szCs w:val="21"/>
                <w:highlight w:val="none"/>
                <w:vertAlign w:val="baseline"/>
              </w:rPr>
              <w:t>摄像头</w:t>
            </w:r>
            <w:r>
              <w:rPr>
                <w:rFonts w:hint="eastAsia" w:cs="Times New Roman"/>
                <w:color w:val="auto"/>
                <w:sz w:val="21"/>
                <w:szCs w:val="21"/>
                <w:highlight w:val="none"/>
                <w:vertAlign w:val="baseline"/>
                <w:lang w:val="en-US" w:eastAsia="zh-CN"/>
              </w:rPr>
              <w:t xml:space="preserve"> </w:t>
            </w:r>
            <w:r>
              <w:rPr>
                <w:rFonts w:hint="default" w:ascii="Times New Roman" w:hAnsi="Times New Roman" w:eastAsia="宋体" w:cs="Times New Roman"/>
                <w:color w:val="auto"/>
                <w:sz w:val="21"/>
                <w:szCs w:val="21"/>
                <w:highlight w:val="none"/>
                <w:vertAlign w:val="baseline"/>
              </w:rPr>
              <w:t>2</w:t>
            </w:r>
            <w:r>
              <w:rPr>
                <w:rFonts w:hint="eastAsia" w:cs="Times New Roman"/>
                <w:color w:val="auto"/>
                <w:sz w:val="21"/>
                <w:szCs w:val="21"/>
                <w:highlight w:val="none"/>
                <w:vertAlign w:val="baseline"/>
                <w:lang w:val="en-US" w:eastAsia="zh-CN"/>
              </w:rPr>
              <w:t>套(WDR技术+智能3 逆光暗光，全都看得清楚，F2.1大光圈  分辨率：1920×1080 夜视灯：8颗940NM红外灯  电池容量：5700MAH 包括室外摄像机（含电池）室内机 定位贴纸 电源适配器 电源线 膨胀螺栓 螺丝刀 螺钉 等)</w:t>
            </w:r>
            <w:r>
              <w:rPr>
                <w:rFonts w:hint="default" w:ascii="Times New Roman" w:hAnsi="Times New Roman" w:eastAsia="宋体" w:cs="Times New Roman"/>
                <w:color w:val="auto"/>
                <w:sz w:val="21"/>
                <w:szCs w:val="21"/>
                <w:highlight w:val="none"/>
                <w:vertAlign w:val="baseline"/>
              </w:rPr>
              <w:t>，并负责安</w:t>
            </w:r>
            <w:r>
              <w:rPr>
                <w:rFonts w:hint="default" w:ascii="Times New Roman" w:hAnsi="Times New Roman" w:eastAsia="宋体" w:cs="Times New Roman"/>
                <w:color w:val="auto"/>
                <w:sz w:val="21"/>
                <w:szCs w:val="21"/>
                <w:vertAlign w:val="baseline"/>
              </w:rPr>
              <w:t>装</w:t>
            </w:r>
          </w:p>
          <w:p>
            <w:pPr>
              <w:pStyle w:val="20"/>
              <w:snapToGrid w:val="0"/>
              <w:spacing w:before="0" w:beforeAutospacing="0" w:after="0" w:afterAutospacing="0"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vertAlign w:val="baseline"/>
              </w:rPr>
              <w:t>7、实验室安全标识牌6-8个、急救医药包2个。</w:t>
            </w: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1</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项</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w:t>
            </w:r>
          </w:p>
        </w:tc>
        <w:tc>
          <w:tcPr>
            <w:tcW w:w="878"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理实一体教学</w:t>
            </w:r>
            <w:r>
              <w:rPr>
                <w:rFonts w:hint="default" w:ascii="Times New Roman" w:hAnsi="Times New Roman" w:eastAsia="宋体" w:cs="Times New Roman"/>
                <w:b w:val="0"/>
                <w:bCs/>
                <w:color w:val="auto"/>
                <w:kern w:val="0"/>
                <w:sz w:val="21"/>
                <w:szCs w:val="21"/>
                <w:lang w:val="en-US" w:eastAsia="zh-CN"/>
              </w:rPr>
              <w:t>专</w:t>
            </w:r>
            <w:r>
              <w:rPr>
                <w:rFonts w:hint="default" w:ascii="Times New Roman" w:hAnsi="Times New Roman" w:eastAsia="宋体" w:cs="Times New Roman"/>
                <w:b w:val="0"/>
                <w:bCs/>
                <w:color w:val="auto"/>
                <w:kern w:val="0"/>
                <w:sz w:val="21"/>
                <w:szCs w:val="21"/>
                <w:lang w:eastAsia="zh-CN"/>
              </w:rPr>
              <w:t>用大屏</w:t>
            </w:r>
          </w:p>
        </w:tc>
        <w:tc>
          <w:tcPr>
            <w:tcW w:w="5711" w:type="dxa"/>
            <w:noWrap w:val="0"/>
            <w:vAlign w:val="center"/>
          </w:tcPr>
          <w:p>
            <w:pPr>
              <w:suppressAutoHyphens/>
              <w:rPr>
                <w:rFonts w:hint="default" w:ascii="Times New Roman" w:hAnsi="Times New Roman" w:eastAsia="宋体" w:cs="Times New Roman"/>
                <w:b/>
                <w:color w:val="auto"/>
                <w:sz w:val="21"/>
                <w:szCs w:val="21"/>
              </w:rPr>
            </w:pPr>
            <w:bookmarkStart w:id="81" w:name="_Hlk39390710"/>
            <w:r>
              <w:rPr>
                <w:rFonts w:hint="default" w:ascii="Times New Roman" w:hAnsi="Times New Roman" w:eastAsia="宋体" w:cs="Times New Roman"/>
                <w:b/>
                <w:color w:val="auto"/>
                <w:sz w:val="21"/>
                <w:szCs w:val="21"/>
              </w:rPr>
              <w:t>一、显示屏参数：</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 LED液晶屏体，</w:t>
            </w:r>
            <w:r>
              <w:rPr>
                <w:rFonts w:hint="default" w:ascii="Times New Roman" w:hAnsi="Times New Roman" w:eastAsia="宋体" w:cs="Times New Roman"/>
                <w:color w:val="auto"/>
                <w:kern w:val="0"/>
                <w:sz w:val="21"/>
                <w:szCs w:val="21"/>
              </w:rPr>
              <w:t>显示尺寸≥65英寸，</w:t>
            </w:r>
            <w:r>
              <w:rPr>
                <w:rFonts w:hint="default" w:ascii="Times New Roman" w:hAnsi="Times New Roman" w:eastAsia="宋体" w:cs="Times New Roman"/>
                <w:color w:val="auto"/>
                <w:sz w:val="21"/>
                <w:szCs w:val="21"/>
              </w:rPr>
              <w:t>屏幕使用 IPS A级硬屏；</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 背光类型：D-LED；</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 显示比例：16:9，产品分辨率：3840*2160，4K超高清显示，对比度：≥1300:1；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 可视角度：178°（H）/178°（V）；</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 亮度：≥450cd/㎡，使用寿命≥30000hrs</w:t>
            </w:r>
            <w:bookmarkEnd w:id="81"/>
            <w:r>
              <w:rPr>
                <w:rFonts w:hint="default" w:ascii="Times New Roman" w:hAnsi="Times New Roman" w:eastAsia="宋体" w:cs="Times New Roman"/>
                <w:color w:val="auto"/>
                <w:sz w:val="21"/>
                <w:szCs w:val="21"/>
              </w:rPr>
              <w:t>；</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 屏幕显示灰度分辨率等级达到128灰阶以上，最高可达256；【提供具有CNAS标识的检测报告复印件】</w:t>
            </w:r>
          </w:p>
          <w:p>
            <w:pPr>
              <w:suppressAutoHyphens/>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二、整机规格参数：</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 铝合金等边圆弧窄边框设计，铝氧化处理</w:t>
            </w:r>
            <w:bookmarkStart w:id="82" w:name="_Hlk39392225"/>
            <w:r>
              <w:rPr>
                <w:rFonts w:hint="default" w:ascii="Times New Roman" w:hAnsi="Times New Roman" w:eastAsia="宋体" w:cs="Times New Roman"/>
                <w:color w:val="auto"/>
                <w:sz w:val="21"/>
                <w:szCs w:val="21"/>
              </w:rPr>
              <w:t>，显示面积占比85%以上</w:t>
            </w:r>
            <w:bookmarkEnd w:id="82"/>
            <w:r>
              <w:rPr>
                <w:rFonts w:hint="default" w:ascii="Times New Roman" w:hAnsi="Times New Roman" w:eastAsia="宋体" w:cs="Times New Roman"/>
                <w:color w:val="auto"/>
                <w:sz w:val="21"/>
                <w:szCs w:val="21"/>
              </w:rPr>
              <w:t>；</w:t>
            </w:r>
          </w:p>
          <w:p>
            <w:pPr>
              <w:numPr>
                <w:ilvl w:val="0"/>
                <w:numId w:val="3"/>
              </w:numPr>
              <w:suppressAutoHyphens/>
              <w:rPr>
                <w:rFonts w:hint="default" w:ascii="Times New Roman" w:hAnsi="Times New Roman" w:eastAsia="宋体" w:cs="Times New Roman"/>
                <w:color w:val="auto"/>
                <w:sz w:val="21"/>
                <w:szCs w:val="21"/>
              </w:rPr>
            </w:pPr>
            <w:bookmarkStart w:id="83" w:name="_Hlk39392256"/>
            <w:r>
              <w:rPr>
                <w:rFonts w:hint="default" w:ascii="Times New Roman" w:hAnsi="Times New Roman" w:eastAsia="宋体" w:cs="Times New Roman"/>
                <w:color w:val="auto"/>
                <w:sz w:val="21"/>
                <w:szCs w:val="21"/>
              </w:rPr>
              <w:t>四等边框设计，整机正面无任何外部接口，保证产品正面的简洁性；</w:t>
            </w:r>
          </w:p>
          <w:bookmarkEnd w:id="83"/>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 超薄超窄外观，整机最薄位置</w:t>
            </w:r>
            <w:r>
              <w:rPr>
                <w:rFonts w:hint="default" w:ascii="Times New Roman" w:hAnsi="Times New Roman" w:eastAsia="宋体" w:cs="Times New Roman"/>
                <w:color w:val="auto"/>
                <w:kern w:val="2"/>
                <w:sz w:val="21"/>
                <w:szCs w:val="21"/>
                <w:lang w:val="en-US" w:eastAsia="zh-CN" w:bidi="ar-SA"/>
              </w:rPr>
              <w:t>约</w:t>
            </w:r>
            <w:r>
              <w:rPr>
                <w:rFonts w:hint="default" w:ascii="Times New Roman" w:hAnsi="Times New Roman" w:eastAsia="宋体" w:cs="Times New Roman"/>
                <w:color w:val="auto"/>
                <w:sz w:val="21"/>
                <w:szCs w:val="21"/>
              </w:rPr>
              <w:t>26mm；</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4、采用一体化设计，支持一键开机，除电源线外，外部无任何内部功能模块的连接线；</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 整机外壳采用铝型材设计，抗撞抗划抗腐蚀，降低使用过程中的损坏，散热性能良好，且转角处采用弧形无尖锐边缘连接；</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 高精度红外触摸框，最高支持二十点触控，触控分辨率32768*32768；</w:t>
            </w:r>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rPr>
              <w:t>7. 环境适应：工作温度0℃~40℃，储藏温度-10℃~60℃，工作湿度20%~80%，储藏湿度10%~80%；；</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 宽幅电压设计，自适用全球，确保电压不稳定区域安全使用；</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 整机表面采用4mm防爆防眩光钢化玻璃，莫式7级硬度，可承受1kg钢球1.5m高度自由下落撞击玻璃表面无损伤破裂，确保使用安全</w:t>
            </w:r>
            <w:bookmarkStart w:id="84" w:name="_Hlk39393106"/>
            <w:r>
              <w:rPr>
                <w:rFonts w:hint="default" w:ascii="Times New Roman" w:hAnsi="Times New Roman" w:eastAsia="宋体" w:cs="Times New Roman"/>
                <w:color w:val="auto"/>
                <w:sz w:val="21"/>
                <w:szCs w:val="21"/>
              </w:rPr>
              <w:t>【提供具有CNAS标识的检测报告复印件】；</w:t>
            </w:r>
          </w:p>
          <w:bookmarkEnd w:id="84"/>
          <w:p>
            <w:pPr>
              <w:suppressAutoHyphens/>
              <w:rPr>
                <w:rFonts w:hint="default" w:ascii="Times New Roman" w:hAnsi="Times New Roman" w:eastAsia="宋体" w:cs="Times New Roman"/>
                <w:color w:val="auto"/>
                <w:sz w:val="21"/>
                <w:szCs w:val="21"/>
              </w:rPr>
            </w:pPr>
            <w:bookmarkStart w:id="85" w:name="_Hlk39393235"/>
            <w:r>
              <w:rPr>
                <w:rFonts w:hint="default" w:ascii="Times New Roman" w:hAnsi="Times New Roman" w:eastAsia="宋体" w:cs="Times New Roman"/>
                <w:color w:val="auto"/>
                <w:sz w:val="21"/>
                <w:szCs w:val="21"/>
              </w:rPr>
              <w:t>10. 整机具备防强光干扰性能，整机面板表面具备防眩光涂层，在100K LUX的强光照射下，产品各项书写、触控功能正常；【提供具有CNAS标识的检测报告复印件】</w:t>
            </w:r>
          </w:p>
          <w:bookmarkEnd w:id="85"/>
          <w:p>
            <w:pPr>
              <w:numPr>
                <w:ilvl w:val="0"/>
                <w:numId w:val="4"/>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产品符合4级防雷要求，符合GB/T 17606.2-2018防静电干扰要求，符合GB/T 9254-2008  防辐射B级要求，设备外壳金属表面防腐蚀，整机具备防火功能</w:t>
            </w:r>
            <w:bookmarkStart w:id="86" w:name="_Hlk39393352"/>
            <w:r>
              <w:rPr>
                <w:rFonts w:hint="default" w:ascii="Times New Roman" w:hAnsi="Times New Roman" w:eastAsia="宋体" w:cs="Times New Roman"/>
                <w:color w:val="auto"/>
                <w:sz w:val="21"/>
                <w:szCs w:val="21"/>
              </w:rPr>
              <w:t>【提供具有CNAS标识的检测报告复印件】；</w:t>
            </w:r>
            <w:bookmarkEnd w:id="86"/>
          </w:p>
          <w:p>
            <w:pPr>
              <w:numPr>
                <w:ilvl w:val="0"/>
                <w:numId w:val="4"/>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节能低功耗，整机最大功率（不带OPS）≤170W，待机功耗&lt;0.5W；</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音响下置，内置输出功率2*15W音响，四组扬声器，60HZ-10KHZ宽频域；</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 视频解码支持图像运动降噪，运动自适应滤波等；</w:t>
            </w:r>
          </w:p>
          <w:p>
            <w:pPr>
              <w:suppressAutoHyphens/>
              <w:rPr>
                <w:rFonts w:hint="default" w:ascii="Times New Roman" w:hAnsi="Times New Roman" w:eastAsia="宋体" w:cs="Times New Roman"/>
                <w:color w:val="auto"/>
                <w:sz w:val="21"/>
                <w:szCs w:val="21"/>
              </w:rPr>
            </w:pPr>
            <w:bookmarkStart w:id="87" w:name="_Hlk39393831"/>
            <w:r>
              <w:rPr>
                <w:rFonts w:hint="default" w:ascii="Times New Roman" w:hAnsi="Times New Roman" w:eastAsia="宋体" w:cs="Times New Roman"/>
                <w:color w:val="auto"/>
                <w:sz w:val="21"/>
                <w:szCs w:val="21"/>
              </w:rPr>
              <w:t>15. 高清图像处理引擎：图像运动补偿，色彩增强处理，点对点精显技术；</w:t>
            </w:r>
          </w:p>
          <w:bookmarkEnd w:id="87"/>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16. </w:t>
            </w:r>
            <w:bookmarkStart w:id="88" w:name="_Hlk39393742"/>
            <w:r>
              <w:rPr>
                <w:rFonts w:hint="default" w:ascii="Times New Roman" w:hAnsi="Times New Roman" w:eastAsia="宋体" w:cs="Times New Roman"/>
                <w:color w:val="auto"/>
                <w:sz w:val="21"/>
                <w:szCs w:val="21"/>
              </w:rPr>
              <w:t>触摸禁用：可以实现触摸禁用功能，不仅是一台会议平板，更能成为一台电子广告牌，满足各种宣传展示功能；【提供具有CNAS标识的检测报告复印件】</w:t>
            </w:r>
            <w:bookmarkEnd w:id="88"/>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 产品自动识别外部接入型号，无需操作，接入信号可自动切换当前信号通道，并可手动关闭自动切换通道；</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 一键息屏：产品短时间不使用或休息时可以一键关闭液晶屏背光，有效降低功耗超过85%</w:t>
            </w:r>
            <w:bookmarkStart w:id="89" w:name="_Hlk39401131"/>
            <w:bookmarkStart w:id="90" w:name="_Hlk39393942"/>
            <w:r>
              <w:rPr>
                <w:rFonts w:hint="default" w:ascii="Times New Roman" w:hAnsi="Times New Roman" w:eastAsia="宋体" w:cs="Times New Roman"/>
                <w:color w:val="auto"/>
                <w:sz w:val="21"/>
                <w:szCs w:val="21"/>
              </w:rPr>
              <w:t>【提供具有CNAS标识的检测报告复印件】</w:t>
            </w:r>
            <w:bookmarkEnd w:id="89"/>
            <w:r>
              <w:rPr>
                <w:rFonts w:hint="default" w:ascii="Times New Roman" w:hAnsi="Times New Roman" w:eastAsia="宋体" w:cs="Times New Roman"/>
                <w:color w:val="auto"/>
                <w:sz w:val="21"/>
                <w:szCs w:val="21"/>
              </w:rPr>
              <w:t>；</w:t>
            </w:r>
            <w:bookmarkEnd w:id="90"/>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rPr>
              <w:t>19. 安卓系统采用新一代机芯，Cortex A73+A53四核CPU（主频1.5GHZ以上），Mali-G51 GPU，RAM≥3G，ROM≥32G的硬件配置</w:t>
            </w:r>
            <w:bookmarkStart w:id="91" w:name="_Hlk39402176"/>
            <w:r>
              <w:rPr>
                <w:rFonts w:hint="default" w:ascii="Times New Roman" w:hAnsi="Times New Roman" w:eastAsia="宋体" w:cs="Times New Roman"/>
                <w:color w:val="auto"/>
                <w:sz w:val="21"/>
                <w:szCs w:val="21"/>
              </w:rPr>
              <w:t>【提供产品彩页】</w:t>
            </w:r>
            <w:bookmarkEnd w:id="91"/>
            <w:r>
              <w:rPr>
                <w:rFonts w:hint="default" w:ascii="Times New Roman" w:hAnsi="Times New Roman" w:eastAsia="宋体" w:cs="Times New Roman"/>
                <w:color w:val="auto"/>
                <w:sz w:val="21"/>
                <w:szCs w:val="21"/>
              </w:rPr>
              <w:t>；</w:t>
            </w:r>
          </w:p>
          <w:p>
            <w:pPr>
              <w:tabs>
                <w:tab w:val="left" w:pos="353"/>
              </w:tabs>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 采用Andriod8.0触控大屏操作系统，支持多任务分屏协作一屏双显功能；【提供具有CNAS标识的检测报告复印件】</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 整机内置无线WIFI模组，双WIFI设定，共模双频，一路作为WIFI连接网络，另一路作为热点投屏，且两路WIFI支持2.4G/5.8G双频段。整机内置隐藏天线，无外置显露天线，保证使用安全；</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 双网口设计，支持网络桥接功能，可以为下一级设备提供网络，在高保密场合无需外接其他网络设备【提供具有CNAS标识的检测报告复印件】；</w:t>
            </w:r>
          </w:p>
          <w:p>
            <w:pPr>
              <w:suppressAutoHyphens/>
              <w:rPr>
                <w:rFonts w:hint="default" w:ascii="Times New Roman" w:hAnsi="Times New Roman" w:eastAsia="宋体" w:cs="Times New Roman"/>
                <w:color w:val="auto"/>
                <w:sz w:val="21"/>
                <w:szCs w:val="21"/>
              </w:rPr>
            </w:pPr>
            <w:bookmarkStart w:id="92" w:name="_Hlk39394052"/>
            <w:r>
              <w:rPr>
                <w:rFonts w:hint="default" w:ascii="Times New Roman" w:hAnsi="Times New Roman" w:eastAsia="宋体" w:cs="Times New Roman"/>
                <w:color w:val="auto"/>
                <w:sz w:val="21"/>
                <w:szCs w:val="21"/>
              </w:rPr>
              <w:t>23. 支持网络共享，通过一根网线连接到整机，可以实现Android系统和Windows系统都上网；</w:t>
            </w:r>
          </w:p>
          <w:bookmarkEnd w:id="92"/>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 个性化设置，可根据企业需求自定义开机画面，满足个性化场景需求</w:t>
            </w:r>
            <w:bookmarkStart w:id="93" w:name="_Hlk39401360"/>
            <w:r>
              <w:rPr>
                <w:rFonts w:hint="default" w:ascii="Times New Roman" w:hAnsi="Times New Roman" w:eastAsia="宋体" w:cs="Times New Roman"/>
                <w:color w:val="auto"/>
                <w:sz w:val="21"/>
                <w:szCs w:val="21"/>
              </w:rPr>
              <w:t>【提供具有CNAS标识的检测报告复印件】</w:t>
            </w:r>
            <w:bookmarkEnd w:id="93"/>
            <w:r>
              <w:rPr>
                <w:rFonts w:hint="default" w:ascii="Times New Roman" w:hAnsi="Times New Roman" w:eastAsia="宋体" w:cs="Times New Roman"/>
                <w:color w:val="auto"/>
                <w:sz w:val="21"/>
                <w:szCs w:val="21"/>
              </w:rPr>
              <w:t>；</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 多屏扩展显示：实现信号环接功能，支持全通道画面输出，将画面信号传输到多设备上显示，支持拼接屏、小间距配合使用；</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 整机支持蓝牙功能，通过外接蓝牙设备实现蓝牙传输</w:t>
            </w:r>
            <w:bookmarkStart w:id="94" w:name="_Hlk39402038"/>
            <w:r>
              <w:rPr>
                <w:rFonts w:hint="default" w:ascii="Times New Roman" w:hAnsi="Times New Roman" w:eastAsia="宋体" w:cs="Times New Roman"/>
                <w:color w:val="auto"/>
                <w:sz w:val="21"/>
                <w:szCs w:val="21"/>
              </w:rPr>
              <w:t>【提供具有CNAS标识的检测报告复印件】</w:t>
            </w:r>
            <w:bookmarkEnd w:id="94"/>
            <w:r>
              <w:rPr>
                <w:rFonts w:hint="default" w:ascii="Times New Roman" w:hAnsi="Times New Roman" w:eastAsia="宋体" w:cs="Times New Roman"/>
                <w:color w:val="auto"/>
                <w:sz w:val="21"/>
                <w:szCs w:val="21"/>
              </w:rPr>
              <w:t>；</w:t>
            </w:r>
          </w:p>
          <w:p>
            <w:pPr>
              <w:suppressAutoHyphens/>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三、触摸参数：</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bookmarkStart w:id="95" w:name="_Hlk39394142"/>
            <w:r>
              <w:rPr>
                <w:rFonts w:hint="default" w:ascii="Times New Roman" w:hAnsi="Times New Roman" w:eastAsia="宋体" w:cs="Times New Roman"/>
                <w:color w:val="auto"/>
                <w:sz w:val="21"/>
                <w:szCs w:val="21"/>
              </w:rPr>
              <w:t xml:space="preserve"> </w:t>
            </w:r>
            <w:bookmarkEnd w:id="95"/>
            <w:r>
              <w:rPr>
                <w:rFonts w:hint="default" w:ascii="Times New Roman" w:hAnsi="Times New Roman" w:eastAsia="宋体" w:cs="Times New Roman"/>
                <w:color w:val="auto"/>
                <w:sz w:val="21"/>
                <w:szCs w:val="21"/>
              </w:rPr>
              <w:t>触控书写技术：采用20点红外触控技术，Windows支持20点触控【提供具有CNAS标识的检测报告复印件】；</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 书写方式：手指或笔等不透光的物体；免驱动，免校正红外技术，即插即用；</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3. </w:t>
            </w:r>
            <w:bookmarkStart w:id="96" w:name="_Hlk39394214"/>
            <w:r>
              <w:rPr>
                <w:rFonts w:hint="default" w:ascii="Times New Roman" w:hAnsi="Times New Roman" w:eastAsia="宋体" w:cs="Times New Roman"/>
                <w:color w:val="auto"/>
                <w:sz w:val="21"/>
                <w:szCs w:val="21"/>
              </w:rPr>
              <w:t>触摸响应时间≤10ms，90%以上触摸区域精度为±1mm，触摸有效识别高度≤2mm；【提供具有CNAS标识的检测报告复印件】；</w:t>
            </w:r>
            <w:bookmarkEnd w:id="96"/>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 触摸直径：单点≥1.6mm，多点≥3mm；</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 触摸框免驱，支持Windows XP，Windows7/8/10，Android，Mac/OS，Linux；</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 外接电脑设备无需驱动，使用普通的Toush USB数据线就可以触控；</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 理论触摸点击次数：无限次；</w:t>
            </w:r>
          </w:p>
          <w:p>
            <w:pPr>
              <w:suppressAutoHyphens/>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四、无线传屏参数：</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 整机内部直接发射WIFI热点，无需外接设备； </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 标准USB接口，支持2.4G/5.0G双频传输；</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 支持操作系统：win7/win8/win10/mac OS/Android；</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4. </w:t>
            </w:r>
            <w:bookmarkStart w:id="97" w:name="_Hlk39394530"/>
            <w:r>
              <w:rPr>
                <w:rFonts w:hint="default" w:ascii="Times New Roman" w:hAnsi="Times New Roman" w:eastAsia="宋体" w:cs="Times New Roman"/>
                <w:color w:val="auto"/>
                <w:sz w:val="21"/>
                <w:szCs w:val="21"/>
              </w:rPr>
              <w:t>最大4分屏支持1080P传输；</w:t>
            </w:r>
            <w:bookmarkEnd w:id="97"/>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 实现外部电脑音视频高清信号实时传输到会议平板上，并可支持触摸回传；</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 手机传屏不需接任何外部设备，只需连接机器内部发射的WiFi热点即可；</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 单按键设计，只需按一下同屏器即可传屏，无需在会议平板进行任何操作；</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 同屏开机密码开关，实现会议的安全传输【提供具有CNAS标识的检测报告复印件】；</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9. </w:t>
            </w:r>
            <w:bookmarkStart w:id="98" w:name="_Hlk39394641"/>
            <w:r>
              <w:rPr>
                <w:rFonts w:hint="default" w:ascii="Times New Roman" w:hAnsi="Times New Roman" w:eastAsia="宋体" w:cs="Times New Roman"/>
                <w:color w:val="auto"/>
                <w:sz w:val="21"/>
                <w:szCs w:val="21"/>
              </w:rPr>
              <w:t>支持最多同时连接多只同屏器，可以自由选择显示画面，单屏、双屏、四分屏，适用于不同场景需求【提供具有CNAS标识的检测报告复印件】；</w:t>
            </w:r>
            <w:bookmarkEnd w:id="98"/>
          </w:p>
          <w:p>
            <w:pPr>
              <w:suppressAutoHyphens/>
              <w:rPr>
                <w:rFonts w:hint="default" w:ascii="Times New Roman" w:hAnsi="Times New Roman" w:eastAsia="宋体" w:cs="Times New Roman"/>
                <w:color w:val="auto"/>
                <w:sz w:val="21"/>
                <w:szCs w:val="21"/>
              </w:rPr>
            </w:pPr>
            <w:bookmarkStart w:id="99" w:name="_Hlk39394713"/>
            <w:r>
              <w:rPr>
                <w:rFonts w:hint="default" w:ascii="Times New Roman" w:hAnsi="Times New Roman" w:eastAsia="宋体" w:cs="Times New Roman"/>
                <w:color w:val="auto"/>
                <w:sz w:val="21"/>
                <w:szCs w:val="21"/>
              </w:rPr>
              <w:t>10. 支持同屏器插入整机USB接口，实现应用升级，固件升级，无线配对</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 镜像反控：会议平板上的内容反向镜像到手持终端上，并且手机端可控制平板上的操作内容【提供具有CNAS标识的检测报告复印件】；</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 无线遥控：通过同屏的遥控功能，安卓手机可作为会议平板的鼠标、遥控器、键盘、空鼠等控制操作【提供具有CNAS标识的检测报告复印件】；</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文档共享：安卓手机端可直接把文档传输给会议平板，可自动播放，并且手机端可对文件进行操作，如上下翻页、滚动等【提供具有CNAS标识的检测报告复印件】；</w:t>
            </w:r>
          </w:p>
          <w:p>
            <w:pPr>
              <w:autoSpaceDE w:val="0"/>
              <w:autoSpaceDN w:val="0"/>
              <w:adjustRightIn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 同屏传输：</w:t>
            </w:r>
            <w:r>
              <w:rPr>
                <w:rFonts w:hint="default" w:ascii="Times New Roman" w:hAnsi="Times New Roman" w:eastAsia="宋体" w:cs="Times New Roman"/>
                <w:color w:val="auto"/>
                <w:kern w:val="0"/>
                <w:sz w:val="21"/>
                <w:szCs w:val="21"/>
              </w:rPr>
              <w:t>在演讲状态下，将手机用作于麦克风，快捷方便的发言，同时可打开摄像头，把现场同屏到机器上</w:t>
            </w:r>
            <w:r>
              <w:rPr>
                <w:rFonts w:hint="default" w:ascii="Times New Roman" w:hAnsi="Times New Roman" w:eastAsia="宋体" w:cs="Times New Roman"/>
                <w:color w:val="auto"/>
                <w:sz w:val="21"/>
                <w:szCs w:val="21"/>
              </w:rPr>
              <w:t>【提供具有CNAS标识的检测报告复印件】；</w:t>
            </w:r>
          </w:p>
          <w:bookmarkEnd w:id="99"/>
          <w:p>
            <w:pPr>
              <w:suppressAutoHyphens/>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五、整机接口参数：</w:t>
            </w:r>
          </w:p>
          <w:p>
            <w:pPr>
              <w:suppressAutoHyphens/>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 HDMI 输入接口 *2</w:t>
            </w:r>
            <w:r>
              <w:rPr>
                <w:rFonts w:hint="default" w:ascii="Times New Roman" w:hAnsi="Times New Roman" w:eastAsia="宋体" w:cs="Times New Roman"/>
                <w:color w:val="auto"/>
                <w:sz w:val="21"/>
                <w:szCs w:val="21"/>
                <w:lang w:eastAsia="zh-CN"/>
              </w:rPr>
              <w:t>、</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 DP接口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 VGA输入接口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 OPS接口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5.LAN接口 *2</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 Android USB *2</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 Public USB *2</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 Touch-USB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 PC-Audio 输入接口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 HDMI 输出接口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 S/PDIF 输出接口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 Audio OUT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RS232 *1</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以上接口参数【提供产品彩页】</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六、控制软件功能部分</w:t>
            </w:r>
            <w:r>
              <w:rPr>
                <w:rFonts w:hint="default" w:ascii="Times New Roman" w:hAnsi="Times New Roman" w:eastAsia="宋体" w:cs="Times New Roman"/>
                <w:color w:val="auto"/>
                <w:sz w:val="21"/>
                <w:szCs w:val="21"/>
              </w:rPr>
              <w:t>：</w:t>
            </w:r>
          </w:p>
          <w:p>
            <w:p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 主页面简洁大方，4+1的UI设计实现操作的简单、快捷【提供主页面软件著作权证书】；</w:t>
            </w:r>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rPr>
              <w:t>2. 侧边栏：显示屏两侧均有可显示/可隐藏/可切换悬浮球按键，支持手势呼出功能，实现返回，切回主页，设置，任意通道批注，进程管理等系统操作【提供悬浮球软件著作权证书复印件】；</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全局侧边快速切换分屏，支持打开两个可分屏的应用，可以支持左右分屏显示，方便文档资料之间的对比；</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本地会议白板功能为保证软硬件兼容性，不接受第三方书写软件</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2"/>
                <w:sz w:val="21"/>
                <w:szCs w:val="21"/>
                <w:highlight w:val="none"/>
                <w:lang w:val="en-US" w:eastAsia="zh-CN" w:bidi="ar-SA"/>
              </w:rPr>
              <w:t>要求配原厂软件，并提供书写软件著作权证书复印件</w:t>
            </w:r>
            <w:r>
              <w:rPr>
                <w:rFonts w:hint="default" w:ascii="Times New Roman" w:hAnsi="Times New Roman" w:eastAsia="宋体" w:cs="Times New Roman"/>
                <w:color w:val="auto"/>
                <w:sz w:val="21"/>
                <w:szCs w:val="21"/>
              </w:rPr>
              <w:t>】：</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首次进入白板页面后，可在任意界面进入白板功能；</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支持单点书写，10点书写，笔锋书写，可自由切换书写模式</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具备漫游功能，根据手势识别功能可扩大或缩小书写区域；</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手势识别：单点接触书写，两点放大缩小，多点漫游，面接触自动识别板擦功能，如手背贴在电子白板屏幕上时，自动识别橡皮擦功能，快速擦除书写内容；</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支持6种图形插入，图片插入，图片插入可自定义插入路径；</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支持手机扫码保存（扫码保存可支持加密分享）、U盘保存、本地保存（可自定义命名、自定义目录、自定义保存文件格式）、邮件发送保存；</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文件保存有三种格式可选择：图片、PDF、白板文件</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支持白板文件二次编辑；</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支持无书写加页；</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支持自定义选择插入图片路径；</w:t>
            </w:r>
          </w:p>
          <w:p>
            <w:pPr>
              <w:numPr>
                <w:ilvl w:val="0"/>
                <w:numId w:val="5"/>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支持退出时可选择是否保存白板；</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文件演示，视频播放，可直接打开U盘或者本地保存的PPT，Word文档，Excel表格，图片，4K视频播放，PPT演示过程中可翻页，在线编辑，批注，批注可以截图的形式保存；</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文件演示可搭配智能笔辅助工作，演示PPT时可实现上下翻页，长按调出光标；</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任意通道批注，支持十点书写批注，方便多人同步演示，批注内容可以截图的形式保存在白板中，实现二次批注，支持白板文件本地保存，扫码保存，且支持三种格式文件保存；</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欢迎界面：内置多种背景模板，方便多种场景快速开启欢迎模式，支持插入背景音乐，渲染会场气氛，一键开启签名墙模式，禁止修改书写内容，防止后人签名时擦除前人的笔记，支持保存签名文件； </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文件管理器能自动识别文件格式，并且进行分类，方便查找；</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会议投票软件，匿名或公开的方式进行扫码投票，提供单项或者多项的选择，最后结果以图表形式展现【提供软件著作权证书复印件】；</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为保证与大屏的适配性和操作体验，采用专用拼音输入法软件【提供软件著作权证书复印件】；</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远程会议功能（需另加Windows端视频会议系统）：支持语音视频白板界面同步，桌面共享，文件共享，可实现全球多用户共同视频；</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安卓打印功能：在安卓系统下，会议平板可连接无线打印机，实现文档打印功能。</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支持设置锁和开机锁屏，保证设备使用信息安全；</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产品支持在线OTA软件升级，保证软件实时更新；</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产品可手动调节信源自动识别功能是否开启；</w:t>
            </w:r>
          </w:p>
          <w:p>
            <w:pPr>
              <w:numPr>
                <w:ilvl w:val="0"/>
                <w:numId w:val="3"/>
              </w:numPr>
              <w:suppressAutoHyphens/>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产品声音可选择仅外置设备或大屏与外置设备一起发声，满足不同场景下的需求；</w:t>
            </w:r>
          </w:p>
          <w:p>
            <w:pPr>
              <w:numPr>
                <w:ilvl w:val="0"/>
                <w:numId w:val="6"/>
              </w:numPr>
              <w:suppressAutoHyphens/>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配套的配件：</w:t>
            </w:r>
          </w:p>
          <w:p>
            <w:pPr>
              <w:suppressAutoHyphens/>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 智能笔</w:t>
            </w:r>
          </w:p>
          <w:p>
            <w:pPr>
              <w:numPr>
                <w:ilvl w:val="0"/>
                <w:numId w:val="7"/>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无线技术：RF2.4GHz，空旷最大15米；</w:t>
            </w:r>
          </w:p>
          <w:p>
            <w:pPr>
              <w:numPr>
                <w:ilvl w:val="0"/>
                <w:numId w:val="7"/>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鼠标：智能防抖算法，六轴空鼠；</w:t>
            </w:r>
          </w:p>
          <w:p>
            <w:pPr>
              <w:numPr>
                <w:ilvl w:val="0"/>
                <w:numId w:val="7"/>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电源：200mAh聚合物锂电池，工作电压：3.7-4.2V，充电接口：MicroUSB；</w:t>
            </w:r>
          </w:p>
          <w:p>
            <w:pPr>
              <w:numPr>
                <w:ilvl w:val="0"/>
                <w:numId w:val="7"/>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兼容接口：支持USB3.0/2.0/1.1;</w:t>
            </w:r>
          </w:p>
          <w:p>
            <w:pPr>
              <w:numPr>
                <w:ilvl w:val="0"/>
                <w:numId w:val="7"/>
              </w:numPr>
              <w:suppressAutoHyphens/>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系统需求：Windows10/8/7/VISTA/2000/XP，Mac os10.0，Android 4.0；</w:t>
            </w:r>
          </w:p>
          <w:p>
            <w:pPr>
              <w:numPr>
                <w:ilvl w:val="0"/>
                <w:numId w:val="7"/>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支持上下翻页，语音输入，无线光标，智能飞鼠；</w:t>
            </w:r>
          </w:p>
          <w:p>
            <w:pPr>
              <w:numPr>
                <w:ilvl w:val="0"/>
                <w:numId w:val="7"/>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配合讯飞输入法可以实现语音输入；</w:t>
            </w:r>
          </w:p>
          <w:p>
            <w:pPr>
              <w:numPr>
                <w:ilvl w:val="0"/>
                <w:numId w:val="7"/>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智能笔与会议平板为同一品牌。</w:t>
            </w:r>
          </w:p>
          <w:p>
            <w:pPr>
              <w:suppressAutoHyphens/>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 无线同屏器</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传输协议：自定义协议、Airplay；</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传输WI-FI频段：5.8G/2.4G双频（硬路由模块）；</w:t>
            </w:r>
          </w:p>
          <w:p>
            <w:p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实际带宽：1.25G带宽（硬路由模块）；</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鼠标延时典型值：＜55ms;</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平均断线率：＜1次/3小时（硬路由模块）；</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传输距离：≥15M@1080P；</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操控性：同屏器插入电脑，自动启动应用程序，自动连接会议小秘，一拍即投，操作简单方便；</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输入分辨率：1024*867、1280*720、1920*1080；</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带载能力：≥8个WiFi终端；</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兼容系统：windows、Android、Mac os；</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视频无损传输：最大1080P视频源；</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抢占功能：除两个IOS设备之间不能互抢占外所有设备可以相互抢占；</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系统升级：通过internet网络远程升级；</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一键内容共享、在会议平板上可实现对电脑反向操作；</w:t>
            </w:r>
          </w:p>
          <w:p>
            <w:pPr>
              <w:numPr>
                <w:ilvl w:val="0"/>
                <w:numId w:val="8"/>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同屏器与会议平板为同一品牌；</w:t>
            </w:r>
          </w:p>
          <w:p>
            <w:pP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 移动底座</w:t>
            </w:r>
          </w:p>
          <w:p>
            <w:pPr>
              <w:numPr>
                <w:ilvl w:val="0"/>
                <w:numId w:val="9"/>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U型设计，整洁大方；</w:t>
            </w:r>
          </w:p>
          <w:p>
            <w:pPr>
              <w:numPr>
                <w:ilvl w:val="0"/>
                <w:numId w:val="9"/>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材质为优质碳钢钢化玻璃；</w:t>
            </w:r>
          </w:p>
          <w:p>
            <w:pPr>
              <w:numPr>
                <w:ilvl w:val="0"/>
                <w:numId w:val="9"/>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承重范围≥100KG；</w:t>
            </w:r>
          </w:p>
          <w:p>
            <w:pPr>
              <w:numPr>
                <w:ilvl w:val="0"/>
                <w:numId w:val="9"/>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金属搭配透明钢化玻璃，双轴承脚轮，静音顺滑，耐磨，360º轻松旋转、移动；</w:t>
            </w:r>
          </w:p>
          <w:p>
            <w:pPr>
              <w:numPr>
                <w:ilvl w:val="0"/>
                <w:numId w:val="9"/>
              </w:num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移动支架与会议平板为同一品牌；</w:t>
            </w:r>
          </w:p>
          <w:p>
            <w:pPr>
              <w:suppressAutoHyphens/>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4. OPS定制电脑</w:t>
            </w:r>
          </w:p>
          <w:p>
            <w:p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w:t>
            </w:r>
            <w:r>
              <w:rPr>
                <w:rFonts w:hint="default" w:ascii="Times New Roman" w:hAnsi="Times New Roman" w:eastAsia="宋体" w:cs="Times New Roman"/>
                <w:color w:val="auto"/>
                <w:kern w:val="24"/>
                <w:sz w:val="21"/>
                <w:szCs w:val="21"/>
              </w:rPr>
              <w:t xml:space="preserve"> </w:t>
            </w:r>
            <w:r>
              <w:rPr>
                <w:rFonts w:hint="default" w:ascii="Times New Roman" w:hAnsi="Times New Roman" w:eastAsia="宋体" w:cs="Times New Roman"/>
                <w:color w:val="auto"/>
                <w:sz w:val="21"/>
                <w:szCs w:val="21"/>
              </w:rPr>
              <w:t>采用标准80pin接口与液晶屏内的OPS接口进行对接</w:t>
            </w:r>
          </w:p>
          <w:p>
            <w:pPr>
              <w:suppressAutoHyphens/>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 OPS电脑模块配置：Intel-i5 七代及以上CPU，内存4G，固态硬盘128G，windows系统</w:t>
            </w:r>
          </w:p>
          <w:p>
            <w:pPr>
              <w:suppressAutoHyphens/>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c. 尺寸</w:t>
            </w:r>
            <w:r>
              <w:rPr>
                <w:rFonts w:hint="default" w:ascii="Times New Roman" w:hAnsi="Times New Roman" w:eastAsia="宋体" w:cs="Times New Roman"/>
                <w:color w:val="auto"/>
                <w:sz w:val="21"/>
                <w:szCs w:val="21"/>
                <w:lang w:val="en-US" w:eastAsia="zh-CN"/>
              </w:rPr>
              <w:t>约</w:t>
            </w:r>
            <w:r>
              <w:rPr>
                <w:rFonts w:hint="default" w:ascii="Times New Roman" w:hAnsi="Times New Roman" w:eastAsia="宋体" w:cs="Times New Roman"/>
                <w:color w:val="auto"/>
                <w:sz w:val="21"/>
                <w:szCs w:val="21"/>
              </w:rPr>
              <w:t>为180*119*30mm</w:t>
            </w: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台</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w:t>
            </w:r>
          </w:p>
        </w:tc>
        <w:tc>
          <w:tcPr>
            <w:tcW w:w="878" w:type="dxa"/>
            <w:noWrap w:val="0"/>
            <w:vAlign w:val="center"/>
          </w:tcPr>
          <w:p>
            <w:pPr>
              <w:widowControl/>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sz w:val="21"/>
                <w:szCs w:val="21"/>
                <w:lang w:val="en-US" w:eastAsia="zh-CN"/>
              </w:rPr>
              <w:t>装饰工程改造设计</w:t>
            </w:r>
          </w:p>
        </w:tc>
        <w:tc>
          <w:tcPr>
            <w:tcW w:w="5711" w:type="dxa"/>
            <w:noWrap w:val="0"/>
            <w:vAlign w:val="center"/>
          </w:tcPr>
          <w:p>
            <w:pPr>
              <w:widowControl/>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项目内容：主要内容为1间画室的内墙粉刷涂料、室内铺设800*800</w:t>
            </w:r>
            <w:r>
              <w:rPr>
                <w:rFonts w:hint="eastAsia" w:cs="Times New Roman"/>
                <w:sz w:val="21"/>
                <w:szCs w:val="21"/>
                <w:lang w:val="en-US" w:eastAsia="zh-CN"/>
              </w:rPr>
              <w:t>m</w:t>
            </w:r>
            <w:r>
              <w:rPr>
                <w:rFonts w:hint="eastAsia" w:cs="Times New Roman"/>
                <w:color w:val="auto"/>
                <w:sz w:val="21"/>
                <w:szCs w:val="21"/>
                <w:highlight w:val="none"/>
                <w:lang w:val="en-US" w:eastAsia="zh-CN"/>
              </w:rPr>
              <w:t>m（整间教室  约75平方）</w:t>
            </w:r>
            <w:r>
              <w:rPr>
                <w:rFonts w:hint="default" w:ascii="Times New Roman" w:hAnsi="Times New Roman" w:eastAsia="宋体" w:cs="Times New Roman"/>
                <w:color w:val="auto"/>
                <w:sz w:val="21"/>
                <w:szCs w:val="21"/>
                <w:highlight w:val="none"/>
                <w:lang w:val="en-US" w:eastAsia="zh-CN"/>
              </w:rPr>
              <w:t>仿古</w:t>
            </w:r>
            <w:r>
              <w:rPr>
                <w:rFonts w:hint="default" w:ascii="Times New Roman" w:hAnsi="Times New Roman" w:eastAsia="宋体" w:cs="Times New Roman"/>
                <w:sz w:val="21"/>
                <w:szCs w:val="21"/>
                <w:lang w:val="en-US" w:eastAsia="zh-CN"/>
              </w:rPr>
              <w:t>砖、灰色乳胶漆原顶、加顶部装饰，画室作品展示墙、教学楼等走廊储藏室局部地面、顶面乳胶漆、安装led条形灯</w:t>
            </w: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1</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项</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6"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w:t>
            </w:r>
          </w:p>
        </w:tc>
        <w:tc>
          <w:tcPr>
            <w:tcW w:w="8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窗帘</w:t>
            </w:r>
          </w:p>
        </w:tc>
        <w:tc>
          <w:tcPr>
            <w:tcW w:w="5711" w:type="dxa"/>
            <w:noWrap w:val="0"/>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整个教室的窗户 ，加厚雪尼尔布料，包含罗马杆和所有辅料 ，加内里白纱，</w:t>
            </w:r>
            <w:r>
              <w:rPr>
                <w:rFonts w:hint="default" w:ascii="Times New Roman" w:hAnsi="Times New Roman" w:eastAsia="宋体" w:cs="Times New Roman"/>
                <w:color w:val="auto"/>
                <w:sz w:val="21"/>
                <w:szCs w:val="21"/>
                <w:lang w:val="en-US" w:eastAsia="zh-CN"/>
              </w:rPr>
              <w:t xml:space="preserve">为双层韩褶加工  颜色：粉色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sz w:val="21"/>
                <w:szCs w:val="21"/>
                <w:lang w:val="en-US" w:eastAsia="zh-CN"/>
              </w:rPr>
            </w:pPr>
            <w:r>
              <w:rPr>
                <w:rFonts w:hint="eastAsia" w:cs="Times New Roman"/>
                <w:color w:val="auto"/>
                <w:sz w:val="21"/>
                <w:szCs w:val="21"/>
                <w:lang w:val="en-US" w:eastAsia="zh-CN"/>
              </w:rPr>
              <w:t>具体根据教室</w:t>
            </w:r>
            <w:r>
              <w:rPr>
                <w:rFonts w:hint="default" w:ascii="Times New Roman" w:hAnsi="Times New Roman" w:eastAsia="宋体" w:cs="Times New Roman"/>
                <w:b w:val="0"/>
                <w:bCs/>
                <w:color w:val="auto"/>
                <w:kern w:val="0"/>
                <w:sz w:val="21"/>
                <w:szCs w:val="21"/>
                <w:lang w:val="en-US" w:eastAsia="zh-CN"/>
              </w:rPr>
              <w:t>窗户数量</w:t>
            </w:r>
            <w:r>
              <w:rPr>
                <w:rFonts w:hint="eastAsia" w:cs="Times New Roman"/>
                <w:b w:val="0"/>
                <w:bCs/>
                <w:color w:val="auto"/>
                <w:kern w:val="0"/>
                <w:sz w:val="21"/>
                <w:szCs w:val="21"/>
                <w:lang w:val="en-US" w:eastAsia="zh-CN"/>
              </w:rPr>
              <w:t>定制，教室窗户约6扇</w:t>
            </w: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eastAsia"/>
                <w:lang w:val="en-US" w:eastAsia="zh-CN"/>
              </w:rPr>
              <w:t>6</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扇</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7</w:t>
            </w:r>
          </w:p>
        </w:tc>
        <w:tc>
          <w:tcPr>
            <w:tcW w:w="8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门锁</w:t>
            </w:r>
          </w:p>
        </w:tc>
        <w:tc>
          <w:tcPr>
            <w:tcW w:w="5711" w:type="dxa"/>
            <w:noWrap w:val="0"/>
            <w:vAlign w:val="center"/>
          </w:tcPr>
          <w:p>
            <w:pPr>
              <w:pStyle w:val="58"/>
              <w:spacing w:before="2"/>
              <w:ind w:left="114" w:right="107"/>
              <w:jc w:val="left"/>
              <w:rPr>
                <w:rFonts w:hint="eastAsia" w:ascii="Times New Roman" w:hAnsi="Times New Roman" w:cs="Times New Roman"/>
                <w:color w:val="auto"/>
                <w:sz w:val="21"/>
                <w:szCs w:val="21"/>
                <w:lang w:val="en-US" w:eastAsia="zh-CN"/>
              </w:rPr>
            </w:pPr>
            <w:r>
              <w:rPr>
                <w:rFonts w:hint="default" w:ascii="Times New Roman" w:hAnsi="Times New Roman" w:eastAsia="宋体" w:cs="Times New Roman"/>
                <w:sz w:val="21"/>
                <w:szCs w:val="21"/>
                <w:lang w:val="en-US" w:eastAsia="zh-CN"/>
              </w:rPr>
              <w:t>全自动指</w:t>
            </w:r>
            <w:r>
              <w:rPr>
                <w:rFonts w:hint="default" w:ascii="Times New Roman" w:hAnsi="Times New Roman" w:eastAsia="宋体" w:cs="Times New Roman"/>
                <w:color w:val="auto"/>
                <w:sz w:val="21"/>
                <w:szCs w:val="21"/>
                <w:lang w:val="en-US" w:eastAsia="zh-CN"/>
              </w:rPr>
              <w:t>纹锁(产品尺寸：</w:t>
            </w:r>
            <w:r>
              <w:rPr>
                <w:rFonts w:hint="eastAsia" w:ascii="Times New Roman" w:hAnsi="Times New Roman" w:cs="Times New Roman"/>
                <w:color w:val="auto"/>
                <w:sz w:val="21"/>
                <w:szCs w:val="21"/>
                <w:lang w:val="en-US" w:eastAsia="zh-CN"/>
              </w:rPr>
              <w:t>约</w:t>
            </w:r>
            <w:r>
              <w:rPr>
                <w:rFonts w:hint="default" w:ascii="Times New Roman" w:hAnsi="Times New Roman" w:eastAsia="宋体" w:cs="Times New Roman"/>
                <w:color w:val="auto"/>
                <w:sz w:val="21"/>
                <w:szCs w:val="21"/>
                <w:lang w:val="en-US" w:eastAsia="zh-CN"/>
              </w:rPr>
              <w:t>386✖76✖21MM 外面板</w:t>
            </w:r>
            <w:r>
              <w:rPr>
                <w:rFonts w:hint="eastAsia" w:ascii="Times New Roman" w:hAnsi="Times New Roman" w:cs="Times New Roman"/>
                <w:color w:val="auto"/>
                <w:sz w:val="21"/>
                <w:szCs w:val="21"/>
                <w:lang w:val="en-US" w:eastAsia="zh-CN"/>
              </w:rPr>
              <w:t>约</w:t>
            </w:r>
            <w:r>
              <w:rPr>
                <w:rFonts w:hint="default" w:ascii="Times New Roman" w:hAnsi="Times New Roman" w:eastAsia="宋体" w:cs="Times New Roman"/>
                <w:color w:val="auto"/>
                <w:sz w:val="21"/>
                <w:szCs w:val="21"/>
                <w:lang w:val="en-US" w:eastAsia="zh-CN"/>
              </w:rPr>
              <w:t xml:space="preserve"> 386</w:t>
            </w:r>
            <w:r>
              <w:rPr>
                <w:rFonts w:hint="eastAsia" w:ascii="Times New Roman" w:hAnsi="Times New Roman" w:cs="Times New Roman"/>
                <w:color w:val="auto"/>
                <w:sz w:val="21"/>
                <w:szCs w:val="21"/>
                <w:lang w:val="en-US" w:eastAsia="zh-CN"/>
              </w:rPr>
              <w:t>mm</w:t>
            </w:r>
            <w:r>
              <w:rPr>
                <w:rFonts w:hint="default" w:ascii="Times New Roman" w:hAnsi="Times New Roman" w:eastAsia="宋体" w:cs="Times New Roman"/>
                <w:color w:val="auto"/>
                <w:sz w:val="21"/>
                <w:szCs w:val="21"/>
                <w:lang w:val="en-US" w:eastAsia="zh-CN"/>
              </w:rPr>
              <w:t>✖76</w:t>
            </w:r>
            <w:r>
              <w:rPr>
                <w:rFonts w:hint="eastAsia" w:ascii="Times New Roman" w:hAnsi="Times New Roman" w:cs="Times New Roman"/>
                <w:color w:val="auto"/>
                <w:sz w:val="21"/>
                <w:szCs w:val="21"/>
                <w:lang w:val="en-US" w:eastAsia="zh-CN"/>
              </w:rPr>
              <w:t>mm</w:t>
            </w:r>
            <w:r>
              <w:rPr>
                <w:rFonts w:hint="default" w:ascii="Times New Roman" w:hAnsi="Times New Roman" w:eastAsia="宋体" w:cs="Times New Roman"/>
                <w:color w:val="auto"/>
                <w:sz w:val="21"/>
                <w:szCs w:val="21"/>
                <w:lang w:val="en-US" w:eastAsia="zh-CN"/>
              </w:rPr>
              <w:t>✖24</w:t>
            </w:r>
            <w:r>
              <w:rPr>
                <w:rFonts w:hint="eastAsia" w:ascii="Times New Roman" w:hAnsi="Times New Roman" w:cs="Times New Roman"/>
                <w:color w:val="auto"/>
                <w:sz w:val="21"/>
                <w:szCs w:val="21"/>
                <w:lang w:val="en-US" w:eastAsia="zh-CN"/>
              </w:rPr>
              <w:t>mm</w:t>
            </w:r>
            <w:r>
              <w:rPr>
                <w:rFonts w:hint="default" w:ascii="Times New Roman" w:hAnsi="Times New Roman" w:eastAsia="宋体" w:cs="Times New Roman"/>
                <w:color w:val="auto"/>
                <w:sz w:val="21"/>
                <w:szCs w:val="21"/>
                <w:lang w:val="en-US" w:eastAsia="zh-CN"/>
              </w:rPr>
              <w:t xml:space="preserve"> 内面板  </w:t>
            </w:r>
            <w:r>
              <w:rPr>
                <w:rFonts w:hint="eastAsia" w:ascii="Times New Roman" w:hAnsi="Times New Roman" w:cs="Times New Roman"/>
                <w:color w:val="auto"/>
                <w:sz w:val="21"/>
                <w:szCs w:val="21"/>
                <w:lang w:val="en-US" w:eastAsia="zh-CN"/>
              </w:rPr>
              <w:t xml:space="preserve"> 推拉式 无需区分开门方向 快速自动上锁  有门铃  </w:t>
            </w:r>
          </w:p>
          <w:p>
            <w:pPr>
              <w:pStyle w:val="58"/>
              <w:spacing w:before="2"/>
              <w:ind w:left="114" w:right="107"/>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 w:val="21"/>
                <w:szCs w:val="21"/>
                <w:lang w:val="en-US" w:eastAsia="zh-CN"/>
              </w:rPr>
              <w:t>解锁方式：</w:t>
            </w:r>
            <w:r>
              <w:rPr>
                <w:rFonts w:hint="eastAsia" w:ascii="Times New Roman" w:hAnsi="Times New Roman" w:cs="Times New Roman"/>
                <w:sz w:val="21"/>
                <w:szCs w:val="21"/>
                <w:lang w:val="en-US" w:eastAsia="zh-CN"/>
              </w:rPr>
              <w:t>指纹 密码 蓝牙 钥匙  直插式C级锁芯  防猫眼  防小黑盒 虚伪密码防偷窥  中框材质:高清度铝合金  连接方式：蓝牙   智能联动</w:t>
            </w:r>
          </w:p>
        </w:tc>
        <w:tc>
          <w:tcPr>
            <w:tcW w:w="66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8</w:t>
            </w:r>
          </w:p>
        </w:tc>
        <w:tc>
          <w:tcPr>
            <w:tcW w:w="8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sz w:val="21"/>
                <w:szCs w:val="21"/>
                <w:lang w:val="en-US" w:eastAsia="zh-CN"/>
              </w:rPr>
              <w:t>室内实木复合免漆门</w:t>
            </w:r>
          </w:p>
        </w:tc>
        <w:tc>
          <w:tcPr>
            <w:tcW w:w="5711" w:type="dxa"/>
            <w:noWrap w:val="0"/>
            <w:vAlign w:val="center"/>
          </w:tcPr>
          <w:p>
            <w:pPr>
              <w:pStyle w:val="58"/>
              <w:spacing w:before="2"/>
              <w:ind w:left="114" w:right="107"/>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简约室内实木复合免漆门 （主副材料：桥洞立学板，实木多层板，密度板）</w:t>
            </w:r>
          </w:p>
          <w:p>
            <w:pPr>
              <w:pStyle w:val="58"/>
              <w:spacing w:before="2"/>
              <w:ind w:left="114" w:right="107"/>
              <w:jc w:val="center"/>
              <w:rPr>
                <w:rFonts w:hint="default" w:ascii="Times New Roman" w:hAnsi="Times New Roman" w:eastAsia="宋体" w:cs="Times New Roman"/>
                <w:sz w:val="21"/>
                <w:szCs w:val="21"/>
                <w:lang w:val="en-US" w:eastAsia="zh-CN"/>
              </w:rPr>
            </w:pPr>
          </w:p>
          <w:p>
            <w:pPr>
              <w:widowControl/>
              <w:jc w:val="left"/>
              <w:textAlignment w:val="center"/>
              <w:rPr>
                <w:rFonts w:hint="default" w:ascii="Times New Roman" w:hAnsi="Times New Roman" w:eastAsia="宋体" w:cs="Times New Roman"/>
                <w:color w:val="auto"/>
                <w:kern w:val="0"/>
                <w:sz w:val="21"/>
                <w:szCs w:val="21"/>
                <w:lang w:bidi="ar"/>
              </w:rPr>
            </w:pP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个</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w:t>
            </w:r>
          </w:p>
        </w:tc>
        <w:tc>
          <w:tcPr>
            <w:tcW w:w="87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sz w:val="21"/>
                <w:szCs w:val="21"/>
              </w:rPr>
              <w:t>画室学生工作室桌</w:t>
            </w:r>
            <w:r>
              <w:rPr>
                <w:rFonts w:hint="eastAsia" w:cs="Times New Roman"/>
                <w:sz w:val="21"/>
                <w:szCs w:val="21"/>
                <w:lang w:val="en-US" w:eastAsia="zh-CN"/>
              </w:rPr>
              <w:t>椅子</w:t>
            </w:r>
          </w:p>
        </w:tc>
        <w:tc>
          <w:tcPr>
            <w:tcW w:w="5711" w:type="dxa"/>
            <w:noWrap w:val="0"/>
            <w:vAlign w:val="center"/>
          </w:tcPr>
          <w:p>
            <w:pPr>
              <w:widowControl/>
              <w:jc w:val="left"/>
              <w:textAlignment w:val="center"/>
              <w:rPr>
                <w:rFonts w:hint="default"/>
                <w:lang w:val="en-US" w:eastAsia="zh-CN"/>
              </w:rPr>
            </w:pPr>
            <w:r>
              <w:rPr>
                <w:rFonts w:hint="default"/>
                <w:lang w:val="en-US" w:eastAsia="zh-CN"/>
              </w:rPr>
              <w:t>定制，桌子规格：长1200mm,宽600mm,高760mm,面板材质采用25mm优质三聚氰胺板及防火板，桌面与桌腿采用面不露钉自攻丝固定，贴面四周封边条1.2mm后，色泽润滑，桌面下面有置物板钢板（如图）。</w:t>
            </w:r>
          </w:p>
          <w:p>
            <w:pPr>
              <w:widowControl/>
              <w:jc w:val="left"/>
              <w:textAlignment w:val="center"/>
              <w:rPr>
                <w:rFonts w:hint="default"/>
                <w:lang w:val="en-US" w:eastAsia="zh-CN"/>
              </w:rPr>
            </w:pPr>
            <w:r>
              <w:rPr>
                <w:rFonts w:hint="default"/>
                <w:lang w:val="en-US" w:eastAsia="zh-CN"/>
              </w:rPr>
              <w:t>桌腿采用4根立柱和一横梁，40mm*40mm*1.35mm壁厚优质方管。地脚：采用耐磨、韧性高的优质树脂材料，要求为内塞式地脚，有防脱处理工艺。采用二氧化碳保护焊接技术，焊缝平整，无错位、假焊、气孔、焊瘤、焊丝头、咬边和飞溅等，要求全部满焊：弯曲处皱纹高低差小于0.4mm。</w:t>
            </w:r>
          </w:p>
          <w:p>
            <w:pPr>
              <w:widowControl/>
              <w:jc w:val="left"/>
              <w:textAlignment w:val="center"/>
              <w:rPr>
                <w:rFonts w:hint="default"/>
                <w:lang w:val="en-US" w:eastAsia="zh-CN"/>
              </w:rPr>
            </w:pPr>
            <w:r>
              <w:rPr>
                <w:rFonts w:hint="default"/>
                <w:lang w:val="en-US" w:eastAsia="zh-CN"/>
              </w:rPr>
              <w:t>钢材表面经喷砂抛丸去油除锈，静电喷塑（含钢管外露截面），高温固化，色泽均匀，耐磨抗冲击。组装端正、组合牢固、无晃动</w:t>
            </w:r>
          </w:p>
          <w:p>
            <w:pPr>
              <w:widowControl/>
              <w:jc w:val="left"/>
              <w:textAlignment w:val="center"/>
              <w:rPr>
                <w:rFonts w:hint="default"/>
                <w:lang w:val="en-US" w:eastAsia="zh-CN"/>
              </w:rPr>
            </w:pPr>
            <w:r>
              <w:rPr>
                <w:rFonts w:hint="eastAsia" w:ascii="Times New Roman" w:hAnsi="Times New Roman" w:cs="Times New Roman"/>
                <w:sz w:val="21"/>
                <w:szCs w:val="21"/>
                <w:lang w:val="en-US" w:eastAsia="zh-CN"/>
              </w:rPr>
              <w:t>椅子定制  根据桌子配置椅子，适合人体工程学，</w:t>
            </w:r>
            <w:r>
              <w:rPr>
                <w:rFonts w:hint="default"/>
                <w:lang w:val="en-US" w:eastAsia="zh-CN"/>
              </w:rPr>
              <w:t>,面板材质采用25mm优质三聚氰胺板及防火板，</w:t>
            </w:r>
            <w:r>
              <w:rPr>
                <w:rFonts w:hint="eastAsia"/>
                <w:lang w:val="en-US" w:eastAsia="zh-CN"/>
              </w:rPr>
              <w:t>椅子</w:t>
            </w:r>
            <w:r>
              <w:rPr>
                <w:rFonts w:hint="default"/>
                <w:lang w:val="en-US" w:eastAsia="zh-CN"/>
              </w:rPr>
              <w:t>面与</w:t>
            </w:r>
            <w:r>
              <w:rPr>
                <w:rFonts w:hint="eastAsia"/>
                <w:lang w:val="en-US" w:eastAsia="zh-CN"/>
              </w:rPr>
              <w:t>椅子</w:t>
            </w:r>
            <w:r>
              <w:rPr>
                <w:rFonts w:hint="default"/>
                <w:lang w:val="en-US" w:eastAsia="zh-CN"/>
              </w:rPr>
              <w:t>腿采用面不露钉自攻丝固定，贴面四周封边条1.2mm后，色泽润滑，（如图）。</w:t>
            </w:r>
          </w:p>
          <w:p>
            <w:pPr>
              <w:widowControl/>
              <w:jc w:val="left"/>
              <w:textAlignment w:val="center"/>
              <w:rPr>
                <w:rFonts w:hint="default"/>
                <w:lang w:val="en-US" w:eastAsia="zh-CN"/>
              </w:rPr>
            </w:pPr>
            <w:r>
              <w:rPr>
                <w:rFonts w:hint="eastAsia"/>
                <w:lang w:val="en-US" w:eastAsia="zh-CN"/>
              </w:rPr>
              <w:t>椅</w:t>
            </w:r>
            <w:r>
              <w:rPr>
                <w:rFonts w:hint="default"/>
                <w:lang w:val="en-US" w:eastAsia="zh-CN"/>
              </w:rPr>
              <w:t>腿采用4根立柱和一横梁，壁厚优质方管。地脚：采用耐磨、韧性高的优质树脂材料，要求为内塞式地脚，有防脱处理工艺。采用二氧化碳保护焊接技术，焊缝平整，无错位、假焊、气孔、焊瘤、焊丝头、咬边和飞溅等，要求全部满焊：弯曲处皱纹高低差小于0.4mm。</w:t>
            </w:r>
          </w:p>
          <w:p>
            <w:pPr>
              <w:widowControl/>
              <w:jc w:val="left"/>
              <w:textAlignment w:val="center"/>
              <w:rPr>
                <w:rFonts w:hint="default"/>
                <w:lang w:val="en-US" w:eastAsia="zh-CN"/>
              </w:rPr>
            </w:pPr>
            <w:r>
              <w:rPr>
                <w:rFonts w:hint="default"/>
                <w:lang w:val="en-US" w:eastAsia="zh-CN"/>
              </w:rPr>
              <w:t>钢材表面经喷砂抛丸去油除锈，静电喷塑（含钢管外露截面），高温固化，色泽均匀，耐磨抗冲击。组装端正、组合牢固、无晃动</w:t>
            </w:r>
          </w:p>
          <w:p>
            <w:pPr>
              <w:pStyle w:val="2"/>
              <w:rPr>
                <w:rFonts w:hint="default"/>
                <w:lang w:val="en-US" w:eastAsia="zh-CN"/>
              </w:rPr>
            </w:pP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30</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个</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sz w:val="21"/>
                <w:szCs w:val="21"/>
                <w:lang w:val="en-US" w:eastAsia="zh-CN"/>
              </w:rPr>
              <w:t>参考图片：</w:t>
            </w:r>
            <w:r>
              <w:rPr>
                <w:rFonts w:hint="default" w:ascii="Times New Roman" w:hAnsi="Times New Roman" w:eastAsia="宋体" w:cs="Times New Roman"/>
                <w:sz w:val="21"/>
                <w:szCs w:val="21"/>
                <w:lang w:val="en-US" w:eastAsia="zh-CN"/>
              </w:rPr>
              <w:drawing>
                <wp:inline distT="0" distB="0" distL="114300" distR="114300">
                  <wp:extent cx="928370" cy="852170"/>
                  <wp:effectExtent l="0" t="0" r="5080" b="5080"/>
                  <wp:docPr id="4"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age"/>
                          <pic:cNvPicPr>
                            <a:picLocks noChangeAspect="1"/>
                          </pic:cNvPicPr>
                        </pic:nvPicPr>
                        <pic:blipFill>
                          <a:blip r:embed="rId8"/>
                          <a:stretch>
                            <a:fillRect/>
                          </a:stretch>
                        </pic:blipFill>
                        <pic:spPr>
                          <a:xfrm>
                            <a:off x="0" y="0"/>
                            <a:ext cx="928370" cy="8521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10</w:t>
            </w:r>
          </w:p>
        </w:tc>
        <w:tc>
          <w:tcPr>
            <w:tcW w:w="8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画室柜子</w:t>
            </w:r>
          </w:p>
        </w:tc>
        <w:tc>
          <w:tcPr>
            <w:tcW w:w="5711" w:type="dxa"/>
            <w:noWrap w:val="0"/>
            <w:vAlign w:val="center"/>
          </w:tcPr>
          <w:p>
            <w:pPr>
              <w:widowControl/>
              <w:jc w:val="left"/>
              <w:textAlignment w:val="center"/>
              <w:rPr>
                <w:rFonts w:hint="default"/>
                <w:lang w:val="en-US" w:eastAsia="zh-CN"/>
              </w:rPr>
            </w:pPr>
            <w:r>
              <w:rPr>
                <w:rFonts w:hint="default"/>
                <w:lang w:val="en-US" w:eastAsia="zh-CN"/>
              </w:rPr>
              <w:t>复古侧面耐用后现代法式画室文具柜榆木色升级款，款式见</w:t>
            </w:r>
            <w:r>
              <w:rPr>
                <w:rFonts w:hint="eastAsia"/>
                <w:lang w:val="en-US" w:eastAsia="zh-CN"/>
              </w:rPr>
              <w:t>参考图片</w:t>
            </w:r>
          </w:p>
          <w:p>
            <w:pPr>
              <w:pStyle w:val="2"/>
              <w:rPr>
                <w:rFonts w:hint="default"/>
                <w:lang w:val="en-US" w:eastAsia="zh-CN"/>
              </w:rPr>
            </w:pPr>
            <w:r>
              <w:rPr>
                <w:rFonts w:hint="eastAsia" w:ascii="Times New Roman" w:hAnsi="Times New Roman" w:cs="Times New Roman"/>
                <w:b w:val="0"/>
                <w:bCs/>
                <w:color w:val="auto"/>
                <w:kern w:val="0"/>
                <w:sz w:val="21"/>
                <w:szCs w:val="21"/>
                <w:lang w:val="en-US" w:eastAsia="zh-CN"/>
              </w:rPr>
              <w:t>升级加锁款  高180CM 长 80CM+40CM+80CM+80CM  如图带玻璃展示区 静音液压门铰 带锁设计</w:t>
            </w: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个</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参考图片：</w:t>
            </w:r>
            <w:r>
              <w:rPr>
                <w:rFonts w:hint="default"/>
                <w:lang w:val="en-US" w:eastAsia="zh-CN"/>
              </w:rPr>
              <w:drawing>
                <wp:inline distT="0" distB="0" distL="114300" distR="114300">
                  <wp:extent cx="683895" cy="683895"/>
                  <wp:effectExtent l="0" t="0" r="1905" b="1905"/>
                  <wp:docPr id="3" name="图片 3" descr="QQ图片2021062215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10622151616"/>
                          <pic:cNvPicPr>
                            <a:picLocks noChangeAspect="1"/>
                          </pic:cNvPicPr>
                        </pic:nvPicPr>
                        <pic:blipFill>
                          <a:blip r:embed="rId9"/>
                          <a:stretch>
                            <a:fillRect/>
                          </a:stretch>
                        </pic:blipFill>
                        <pic:spPr>
                          <a:xfrm>
                            <a:off x="0" y="0"/>
                            <a:ext cx="683895" cy="6838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57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11</w:t>
            </w:r>
          </w:p>
        </w:tc>
        <w:tc>
          <w:tcPr>
            <w:tcW w:w="8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手绘板数位屏</w:t>
            </w:r>
          </w:p>
        </w:tc>
        <w:tc>
          <w:tcPr>
            <w:tcW w:w="5711" w:type="dxa"/>
            <w:noWrap w:val="0"/>
            <w:vAlign w:val="center"/>
          </w:tcPr>
          <w:p>
            <w:pPr>
              <w:widowControl/>
              <w:jc w:val="left"/>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数位屏配件清单：无源笔1支，笔座，30支替换笔芯，可调节支架，3合1连接线，全功能USB—CtoUSB-C线，专用2指手套，可连接手机，21.5英寸全贴合屏幕笔尖光标无视差，1920×1080分辨率 178度广视角IPS液晶硬屏  对比度：1200：1 响应时间 14ms 屏幕尺寸 21.5inch 显示颜色 16.7M(8bit) 感应高度 10mm 表面处理：防眩光蚀刻玻璃 系统兼容 WINDOWS 7 orlater,macOS 10.12or later Android (USB3.1GEN1)</w:t>
            </w:r>
          </w:p>
        </w:tc>
        <w:tc>
          <w:tcPr>
            <w:tcW w:w="667" w:type="dxa"/>
            <w:noWrap w:val="0"/>
            <w:vAlign w:val="center"/>
          </w:tcPr>
          <w:p>
            <w:pPr>
              <w:widowControl/>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w:t>
            </w:r>
          </w:p>
        </w:tc>
        <w:tc>
          <w:tcPr>
            <w:tcW w:w="8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个</w:t>
            </w:r>
          </w:p>
        </w:tc>
        <w:tc>
          <w:tcPr>
            <w:tcW w:w="179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0425" w:type="dxa"/>
            <w:gridSpan w:val="6"/>
            <w:noWrap w:val="0"/>
            <w:vAlign w:val="center"/>
          </w:tcPr>
          <w:p>
            <w:pPr>
              <w:spacing w:line="360" w:lineRule="auto"/>
              <w:jc w:val="left"/>
              <w:rPr>
                <w:b/>
                <w:bCs/>
                <w:sz w:val="22"/>
                <w:szCs w:val="22"/>
              </w:rPr>
            </w:pPr>
            <w:r>
              <w:rPr>
                <w:rFonts w:hint="eastAsia"/>
                <w:b/>
                <w:bCs/>
                <w:sz w:val="22"/>
                <w:szCs w:val="22"/>
              </w:rPr>
              <w:t>说明：谈判响应人的谈判响应文件必须标明所投货物的品牌与参数，保证原厂正品供货，提供相关资料等。</w:t>
            </w:r>
          </w:p>
          <w:p>
            <w:pPr>
              <w:spacing w:line="360" w:lineRule="auto"/>
              <w:ind w:firstLine="442" w:firstLineChars="200"/>
              <w:jc w:val="left"/>
              <w:rPr>
                <w:rFonts w:hint="eastAsia" w:eastAsia="宋体"/>
                <w:b/>
                <w:bCs/>
                <w:sz w:val="22"/>
                <w:szCs w:val="22"/>
                <w:lang w:eastAsia="zh-CN"/>
              </w:rPr>
            </w:pPr>
            <w:r>
              <w:rPr>
                <w:rFonts w:hint="eastAsia"/>
                <w:b/>
                <w:bCs/>
                <w:sz w:val="22"/>
                <w:szCs w:val="22"/>
                <w:lang w:val="en-US" w:eastAsia="zh-CN"/>
              </w:rPr>
              <w:t>1、本项目</w:t>
            </w:r>
            <w:r>
              <w:rPr>
                <w:rFonts w:hint="eastAsia"/>
                <w:b/>
                <w:bCs/>
                <w:sz w:val="22"/>
                <w:szCs w:val="22"/>
              </w:rPr>
              <w:t>设备验收合格之日起提供1年</w:t>
            </w:r>
            <w:r>
              <w:rPr>
                <w:rFonts w:hint="eastAsia"/>
                <w:b/>
                <w:bCs/>
                <w:sz w:val="22"/>
                <w:szCs w:val="22"/>
                <w:lang w:val="en-US" w:eastAsia="zh-CN"/>
              </w:rPr>
              <w:t>免费</w:t>
            </w:r>
            <w:r>
              <w:rPr>
                <w:rFonts w:hint="eastAsia"/>
                <w:b/>
                <w:bCs/>
                <w:sz w:val="22"/>
                <w:szCs w:val="22"/>
              </w:rPr>
              <w:t>质保</w:t>
            </w:r>
            <w:r>
              <w:rPr>
                <w:rFonts w:hint="eastAsia"/>
                <w:b/>
                <w:bCs/>
                <w:sz w:val="22"/>
                <w:szCs w:val="22"/>
                <w:lang w:eastAsia="zh-CN"/>
              </w:rPr>
              <w:t>。</w:t>
            </w:r>
          </w:p>
          <w:p>
            <w:pPr>
              <w:spacing w:line="360" w:lineRule="auto"/>
              <w:ind w:firstLine="442" w:firstLineChars="200"/>
              <w:jc w:val="left"/>
              <w:rPr>
                <w:rFonts w:hint="default" w:ascii="Times New Roman" w:hAnsi="Times New Roman" w:eastAsia="宋体" w:cs="Times New Roman"/>
                <w:b w:val="0"/>
                <w:bCs/>
                <w:color w:val="auto"/>
                <w:kern w:val="0"/>
                <w:sz w:val="21"/>
                <w:szCs w:val="21"/>
                <w:lang w:val="en-US" w:eastAsia="zh-CN"/>
              </w:rPr>
            </w:pPr>
            <w:r>
              <w:rPr>
                <w:rFonts w:hint="eastAsia"/>
                <w:b/>
                <w:bCs/>
                <w:sz w:val="22"/>
                <w:szCs w:val="22"/>
                <w:lang w:val="en-US" w:eastAsia="zh-CN"/>
              </w:rPr>
              <w:t>2、</w:t>
            </w:r>
            <w:r>
              <w:rPr>
                <w:rFonts w:hint="eastAsia"/>
                <w:b/>
                <w:bCs/>
                <w:sz w:val="22"/>
                <w:szCs w:val="22"/>
              </w:rPr>
              <w:t>本项目技术参数中若有要求提供证明资料（例如检测报告、</w:t>
            </w:r>
            <w:r>
              <w:rPr>
                <w:rFonts w:hint="eastAsia"/>
                <w:b/>
                <w:bCs/>
                <w:sz w:val="22"/>
                <w:szCs w:val="22"/>
                <w:lang w:val="en-US" w:eastAsia="zh-CN"/>
              </w:rPr>
              <w:t>产品彩页</w:t>
            </w:r>
            <w:r>
              <w:rPr>
                <w:rFonts w:hint="eastAsia"/>
                <w:b/>
                <w:bCs/>
                <w:sz w:val="22"/>
                <w:szCs w:val="22"/>
                <w:lang w:eastAsia="zh-CN"/>
              </w:rPr>
              <w:t>、</w:t>
            </w:r>
            <w:r>
              <w:rPr>
                <w:rFonts w:hint="eastAsia"/>
                <w:b/>
                <w:bCs/>
                <w:sz w:val="22"/>
                <w:szCs w:val="22"/>
              </w:rPr>
              <w:t>软件著作权证书</w:t>
            </w:r>
            <w:r>
              <w:rPr>
                <w:rFonts w:hint="eastAsia"/>
                <w:b/>
                <w:bCs/>
                <w:sz w:val="22"/>
                <w:szCs w:val="22"/>
                <w:lang w:val="en-US" w:eastAsia="zh-CN"/>
              </w:rPr>
              <w:t>等</w:t>
            </w:r>
            <w:r>
              <w:rPr>
                <w:rFonts w:hint="eastAsia"/>
                <w:b/>
                <w:bCs/>
                <w:sz w:val="22"/>
                <w:szCs w:val="22"/>
              </w:rPr>
              <w:t>）均在成交通知书发出后7个工作日内提供，若成交人未在竞争性谈判文件要求的期限内提供竞争性谈判文</w:t>
            </w:r>
            <w:r>
              <w:rPr>
                <w:rFonts w:hint="eastAsia"/>
                <w:b/>
                <w:bCs/>
                <w:color w:val="auto"/>
                <w:sz w:val="22"/>
                <w:szCs w:val="22"/>
              </w:rPr>
              <w:t>件中要求的证明资料或成交人提供的证明资料不能完全符合竞争性谈判文件要求，则视为虚假响应。</w:t>
            </w:r>
          </w:p>
        </w:tc>
      </w:tr>
    </w:tbl>
    <w:p>
      <w:pPr>
        <w:pStyle w:val="5"/>
        <w:ind w:left="0" w:leftChars="0" w:firstLine="0" w:firstLineChars="0"/>
      </w:pPr>
    </w:p>
    <w:p>
      <w:pPr>
        <w:pStyle w:val="6"/>
        <w:ind w:firstLine="472" w:firstLineChars="196"/>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rPr>
          <w:rFonts w:hint="eastAsia" w:hAnsi="宋体" w:cs="宋体"/>
          <w:color w:val="000000"/>
        </w:rPr>
      </w:pPr>
    </w:p>
    <w:p>
      <w:pPr>
        <w:pStyle w:val="5"/>
        <w:ind w:left="0" w:leftChars="0" w:firstLine="0" w:firstLineChars="0"/>
        <w:rPr>
          <w:rFonts w:hint="eastAsia" w:hAnsi="宋体" w:cs="宋体"/>
          <w:color w:val="000000"/>
        </w:rPr>
      </w:pPr>
    </w:p>
    <w:p>
      <w:pPr>
        <w:pStyle w:val="5"/>
        <w:rPr>
          <w:rFonts w:hint="eastAsia" w:hAnsi="宋体" w:cs="宋体"/>
          <w:color w:val="000000"/>
        </w:rPr>
      </w:pPr>
    </w:p>
    <w:p>
      <w:pPr>
        <w:pStyle w:val="5"/>
        <w:rPr>
          <w:rFonts w:hint="eastAsia" w:hAnsi="宋体" w:eastAsia="宋体" w:cs="宋体"/>
          <w:color w:val="000000"/>
          <w:lang w:val="en-US" w:eastAsia="zh-CN"/>
        </w:rPr>
      </w:pPr>
      <w:r>
        <w:rPr>
          <w:rFonts w:hint="eastAsia" w:hAnsi="宋体" w:cs="宋体"/>
          <w:color w:val="000000"/>
          <w:lang w:val="en-US" w:eastAsia="zh-CN"/>
        </w:rPr>
        <w:t>附：</w:t>
      </w:r>
    </w:p>
    <w:p>
      <w:pPr>
        <w:pStyle w:val="5"/>
      </w:pPr>
      <w:r>
        <w:drawing>
          <wp:inline distT="0" distB="0" distL="114300" distR="114300">
            <wp:extent cx="5756275" cy="8137525"/>
            <wp:effectExtent l="0" t="0" r="15875" b="158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756275" cy="8137525"/>
                    </a:xfrm>
                    <a:prstGeom prst="rect">
                      <a:avLst/>
                    </a:prstGeom>
                    <a:noFill/>
                    <a:ln>
                      <a:noFill/>
                    </a:ln>
                  </pic:spPr>
                </pic:pic>
              </a:graphicData>
            </a:graphic>
          </wp:inline>
        </w:drawing>
      </w:r>
    </w:p>
    <w:p>
      <w:pPr>
        <w:pStyle w:val="5"/>
      </w:pPr>
    </w:p>
    <w:p>
      <w:pPr>
        <w:pStyle w:val="5"/>
      </w:pPr>
    </w:p>
    <w:p>
      <w:pPr>
        <w:pStyle w:val="5"/>
      </w:pPr>
      <w:r>
        <w:drawing>
          <wp:inline distT="0" distB="0" distL="114300" distR="114300">
            <wp:extent cx="5754370" cy="8128000"/>
            <wp:effectExtent l="0" t="0" r="1778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5754370" cy="8128000"/>
                    </a:xfrm>
                    <a:prstGeom prst="rect">
                      <a:avLst/>
                    </a:prstGeom>
                    <a:noFill/>
                    <a:ln>
                      <a:noFill/>
                    </a:ln>
                  </pic:spPr>
                </pic:pic>
              </a:graphicData>
            </a:graphic>
          </wp:inline>
        </w:drawing>
      </w:r>
      <w:r>
        <w:drawing>
          <wp:inline distT="0" distB="0" distL="114300" distR="114300">
            <wp:extent cx="5756275" cy="8136255"/>
            <wp:effectExtent l="0" t="0" r="15875" b="1714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5756275" cy="8136255"/>
                    </a:xfrm>
                    <a:prstGeom prst="rect">
                      <a:avLst/>
                    </a:prstGeom>
                    <a:noFill/>
                    <a:ln>
                      <a:noFill/>
                    </a:ln>
                  </pic:spPr>
                </pic:pic>
              </a:graphicData>
            </a:graphic>
          </wp:inline>
        </w:drawing>
      </w:r>
    </w:p>
    <w:p>
      <w:pPr>
        <w:pStyle w:val="5"/>
      </w:pPr>
    </w:p>
    <w:p>
      <w:pPr>
        <w:pStyle w:val="5"/>
      </w:pPr>
    </w:p>
    <w:p>
      <w:pPr>
        <w:pStyle w:val="5"/>
        <w:rPr>
          <w:rFonts w:hint="eastAsia"/>
        </w:rPr>
      </w:pPr>
      <w:r>
        <w:drawing>
          <wp:inline distT="0" distB="0" distL="114300" distR="114300">
            <wp:extent cx="5756275" cy="8119110"/>
            <wp:effectExtent l="0" t="0" r="15875" b="1524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3"/>
                    <a:stretch>
                      <a:fillRect/>
                    </a:stretch>
                  </pic:blipFill>
                  <pic:spPr>
                    <a:xfrm>
                      <a:off x="0" y="0"/>
                      <a:ext cx="5756275" cy="8119110"/>
                    </a:xfrm>
                    <a:prstGeom prst="rect">
                      <a:avLst/>
                    </a:prstGeom>
                    <a:noFill/>
                    <a:ln>
                      <a:noFill/>
                    </a:ln>
                  </pic:spPr>
                </pic:pic>
              </a:graphicData>
            </a:graphic>
          </wp:inline>
        </w:drawing>
      </w:r>
      <w:r>
        <w:drawing>
          <wp:inline distT="0" distB="0" distL="114300" distR="114300">
            <wp:extent cx="5758815" cy="8110220"/>
            <wp:effectExtent l="0" t="0" r="13335" b="508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4"/>
                    <a:stretch>
                      <a:fillRect/>
                    </a:stretch>
                  </pic:blipFill>
                  <pic:spPr>
                    <a:xfrm>
                      <a:off x="0" y="0"/>
                      <a:ext cx="5758815" cy="8110220"/>
                    </a:xfrm>
                    <a:prstGeom prst="rect">
                      <a:avLst/>
                    </a:prstGeom>
                    <a:noFill/>
                    <a:ln>
                      <a:noFill/>
                    </a:ln>
                  </pic:spPr>
                </pic:pic>
              </a:graphicData>
            </a:graphic>
          </wp:inline>
        </w:drawing>
      </w:r>
      <w:r>
        <w:drawing>
          <wp:inline distT="0" distB="0" distL="114300" distR="114300">
            <wp:extent cx="5758815" cy="8135620"/>
            <wp:effectExtent l="0" t="0" r="13335" b="1778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5"/>
                    <a:stretch>
                      <a:fillRect/>
                    </a:stretch>
                  </pic:blipFill>
                  <pic:spPr>
                    <a:xfrm>
                      <a:off x="0" y="0"/>
                      <a:ext cx="5758815" cy="8135620"/>
                    </a:xfrm>
                    <a:prstGeom prst="rect">
                      <a:avLst/>
                    </a:prstGeom>
                    <a:noFill/>
                    <a:ln>
                      <a:noFill/>
                    </a:ln>
                  </pic:spPr>
                </pic:pic>
              </a:graphicData>
            </a:graphic>
          </wp:inline>
        </w:drawing>
      </w:r>
    </w:p>
    <w:p>
      <w:pPr>
        <w:pStyle w:val="5"/>
        <w:rPr>
          <w:rFonts w:hint="eastAsia" w:hAnsi="宋体" w:cs="宋体"/>
          <w:color w:val="000000"/>
        </w:rPr>
      </w:pPr>
    </w:p>
    <w:p>
      <w:pPr>
        <w:pStyle w:val="6"/>
        <w:ind w:firstLine="472" w:firstLineChars="196"/>
        <w:rPr>
          <w:rFonts w:hAnsi="宋体" w:cs="宋体"/>
          <w:color w:val="000000"/>
        </w:rPr>
      </w:pPr>
      <w:r>
        <w:rPr>
          <w:rFonts w:hint="eastAsia" w:hAnsi="宋体" w:cs="宋体"/>
          <w:color w:val="000000"/>
        </w:rPr>
        <w:t>八、人员培训要求</w:t>
      </w:r>
      <w:bookmarkEnd w:id="79"/>
      <w:bookmarkEnd w:id="80"/>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货物安装、调试、验收合格后，成交人应对采购人的相关人员进行免费现场培训。培训内容包括基本操作、保养维修、常见故障及解决办法等。</w:t>
      </w:r>
    </w:p>
    <w:p>
      <w:pPr>
        <w:pStyle w:val="6"/>
        <w:ind w:firstLine="472" w:firstLineChars="196"/>
        <w:rPr>
          <w:rFonts w:hAnsi="宋体" w:cs="宋体"/>
          <w:color w:val="000000"/>
        </w:rPr>
      </w:pPr>
      <w:bookmarkStart w:id="100" w:name="_Toc21193"/>
      <w:bookmarkStart w:id="101" w:name="_Toc54938483"/>
      <w:r>
        <w:rPr>
          <w:rFonts w:hint="eastAsia" w:hAnsi="宋体" w:cs="宋体"/>
          <w:color w:val="000000"/>
        </w:rPr>
        <w:t>九、货物质量及售后服务要求</w:t>
      </w:r>
      <w:bookmarkEnd w:id="100"/>
      <w:bookmarkEnd w:id="101"/>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6"/>
        <w:ind w:firstLine="472" w:firstLineChars="196"/>
        <w:rPr>
          <w:rFonts w:hAnsi="宋体" w:cs="宋体"/>
          <w:color w:val="000000"/>
        </w:rPr>
      </w:pPr>
      <w:bookmarkStart w:id="102" w:name="_Toc54938484"/>
      <w:bookmarkStart w:id="103" w:name="_Toc23093"/>
      <w:r>
        <w:rPr>
          <w:rFonts w:hint="eastAsia" w:hAnsi="宋体" w:cs="宋体"/>
          <w:color w:val="000000"/>
        </w:rPr>
        <w:t>十、验收</w:t>
      </w:r>
      <w:bookmarkEnd w:id="102"/>
      <w:bookmarkEnd w:id="103"/>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成交人和采购人双方共同实施验收工作，结果和验收报告经双方确认后生效。</w:t>
      </w:r>
    </w:p>
    <w:p>
      <w:pPr>
        <w:widowControl/>
        <w:jc w:val="left"/>
        <w:rPr>
          <w:rFonts w:ascii="宋体" w:hAnsi="宋体" w:cs="宋体"/>
          <w:szCs w:val="21"/>
        </w:rPr>
      </w:pPr>
      <w:r>
        <w:rPr>
          <w:rFonts w:ascii="宋体" w:hAnsi="宋体" w:cs="宋体"/>
          <w:szCs w:val="21"/>
        </w:rPr>
        <w:br w:type="page"/>
      </w:r>
    </w:p>
    <w:p>
      <w:pPr>
        <w:pStyle w:val="3"/>
        <w:rPr>
          <w:rFonts w:ascii="宋体" w:hAnsi="宋体" w:cs="宋体"/>
        </w:rPr>
      </w:pPr>
      <w:r>
        <w:rPr>
          <w:rFonts w:hint="eastAsia" w:ascii="宋体" w:hAnsi="宋体" w:cs="宋体"/>
        </w:rPr>
        <w:t>第四章  合同主要条款</w:t>
      </w:r>
      <w:bookmarkEnd w:id="77"/>
      <w:bookmarkEnd w:id="78"/>
    </w:p>
    <w:p>
      <w:pPr>
        <w:tabs>
          <w:tab w:val="left" w:pos="3640"/>
        </w:tabs>
        <w:autoSpaceDE w:val="0"/>
        <w:autoSpaceDN w:val="0"/>
        <w:spacing w:line="360" w:lineRule="auto"/>
        <w:rPr>
          <w:rFonts w:ascii="宋体" w:hAnsi="宋体" w:cs="宋体"/>
          <w:color w:val="000000"/>
          <w:szCs w:val="21"/>
          <w:u w:val="single"/>
        </w:rPr>
      </w:pPr>
      <w:bookmarkStart w:id="104" w:name="_Toc26873"/>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3"/>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spacing w:line="360" w:lineRule="auto"/>
        <w:rPr>
          <w:rFonts w:ascii="宋体" w:hAnsi="宋体"/>
          <w:spacing w:val="8"/>
          <w:szCs w:val="21"/>
          <w:u w:val="single"/>
        </w:rPr>
      </w:pPr>
    </w:p>
    <w:p>
      <w:pPr>
        <w:tabs>
          <w:tab w:val="left" w:pos="3640"/>
        </w:tabs>
        <w:autoSpaceDE w:val="0"/>
        <w:autoSpaceDN w:val="0"/>
        <w:spacing w:line="360" w:lineRule="auto"/>
        <w:rPr>
          <w:rFonts w:ascii="宋体" w:hAnsi="宋体" w:cs="宋体"/>
          <w:szCs w:val="21"/>
        </w:rPr>
      </w:pPr>
    </w:p>
    <w:p>
      <w:pPr>
        <w:tabs>
          <w:tab w:val="left" w:pos="3640"/>
        </w:tabs>
        <w:autoSpaceDE w:val="0"/>
        <w:autoSpaceDN w:val="0"/>
        <w:spacing w:line="480" w:lineRule="auto"/>
        <w:rPr>
          <w:rFonts w:ascii="宋体" w:hAnsi="宋体" w:cs="宋体"/>
          <w:szCs w:val="21"/>
        </w:rPr>
      </w:pPr>
      <w:r>
        <w:rPr>
          <w:rFonts w:hint="eastAsia" w:ascii="宋体" w:hAnsi="宋体" w:cs="宋体"/>
          <w:szCs w:val="21"/>
        </w:rPr>
        <w:t xml:space="preserve">买  方                          卖   方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采购人（盖章）：</w:t>
      </w:r>
      <w:r>
        <w:rPr>
          <w:rFonts w:hint="eastAsia" w:ascii="宋体" w:hAnsi="宋体" w:cs="宋体"/>
          <w:szCs w:val="21"/>
          <w:u w:val="single"/>
        </w:rPr>
        <w:t xml:space="preserve">          </w:t>
      </w:r>
      <w:r>
        <w:rPr>
          <w:rFonts w:hint="eastAsia" w:ascii="宋体" w:hAnsi="宋体" w:cs="宋体"/>
          <w:szCs w:val="21"/>
        </w:rPr>
        <w:t xml:space="preserve">      成交人（盖章）：</w:t>
      </w:r>
      <w:r>
        <w:rPr>
          <w:rFonts w:hint="eastAsia" w:ascii="宋体" w:hAnsi="宋体" w:cs="宋体"/>
          <w:szCs w:val="21"/>
          <w:u w:val="single"/>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法人代表：</w:t>
      </w:r>
      <w:r>
        <w:rPr>
          <w:rFonts w:hint="eastAsia" w:ascii="宋体" w:hAnsi="宋体" w:cs="宋体"/>
          <w:szCs w:val="21"/>
          <w:u w:val="single"/>
        </w:rPr>
        <w:t xml:space="preserve">                </w:t>
      </w:r>
      <w:r>
        <w:rPr>
          <w:rFonts w:hint="eastAsia" w:ascii="宋体" w:hAnsi="宋体" w:cs="宋体"/>
          <w:szCs w:val="21"/>
        </w:rPr>
        <w:t xml:space="preserve">      法人代表：</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 xml:space="preserve">      联系人：</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地址：</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 xml:space="preserve">               年   月    日                   年   月    日</w:t>
      </w:r>
    </w:p>
    <w:p>
      <w:pPr>
        <w:widowControl/>
        <w:jc w:val="left"/>
        <w:rPr>
          <w:rFonts w:ascii="宋体" w:hAnsi="宋体" w:cs="宋体"/>
          <w:szCs w:val="21"/>
        </w:rPr>
      </w:pPr>
      <w:r>
        <w:rPr>
          <w:rFonts w:ascii="宋体" w:hAnsi="宋体" w:cs="宋体"/>
          <w:szCs w:val="21"/>
        </w:rPr>
        <w:br w:type="page"/>
      </w:r>
    </w:p>
    <w:p>
      <w:pPr>
        <w:pStyle w:val="3"/>
        <w:rPr>
          <w:rFonts w:ascii="宋体" w:hAnsi="宋体" w:cs="宋体"/>
        </w:rPr>
      </w:pPr>
      <w:bookmarkStart w:id="105" w:name="_Toc54939200"/>
      <w:r>
        <w:rPr>
          <w:rFonts w:hint="eastAsia" w:ascii="宋体" w:hAnsi="宋体" w:cs="宋体"/>
        </w:rPr>
        <w:t>第五章   谈判响应文件格式</w:t>
      </w:r>
      <w:bookmarkEnd w:id="104"/>
      <w:bookmarkEnd w:id="105"/>
    </w:p>
    <w:p>
      <w:pPr>
        <w:spacing w:line="360" w:lineRule="auto"/>
        <w:jc w:val="center"/>
        <w:rPr>
          <w:rFonts w:ascii="宋体" w:hAnsi="宋体" w:cs="宋体"/>
          <w:b/>
          <w:spacing w:val="20"/>
          <w:sz w:val="36"/>
          <w:szCs w:val="36"/>
          <w:u w:val="single"/>
        </w:rPr>
      </w:pPr>
    </w:p>
    <w:p>
      <w:pPr>
        <w:spacing w:line="360" w:lineRule="auto"/>
        <w:jc w:val="center"/>
        <w:rPr>
          <w:rFonts w:ascii="宋体" w:hAnsi="宋体" w:cs="宋体"/>
          <w:b/>
          <w:spacing w:val="20"/>
          <w:sz w:val="36"/>
          <w:szCs w:val="36"/>
        </w:rPr>
      </w:pPr>
      <w:r>
        <w:rPr>
          <w:rFonts w:hint="eastAsia" w:ascii="宋体" w:hAnsi="宋体" w:cs="宋体"/>
          <w:b/>
          <w:spacing w:val="20"/>
          <w:sz w:val="36"/>
          <w:szCs w:val="36"/>
          <w:u w:val="single"/>
        </w:rPr>
        <w:t xml:space="preserve">                              </w:t>
      </w:r>
      <w:r>
        <w:rPr>
          <w:rFonts w:hint="eastAsia" w:ascii="宋体" w:hAnsi="宋体" w:cs="宋体"/>
          <w:b/>
          <w:spacing w:val="20"/>
          <w:sz w:val="36"/>
          <w:szCs w:val="36"/>
        </w:rPr>
        <w:t>采购</w:t>
      </w:r>
    </w:p>
    <w:p>
      <w:pPr>
        <w:spacing w:line="360" w:lineRule="auto"/>
        <w:rPr>
          <w:rFonts w:ascii="宋体" w:hAnsi="宋体" w:cs="宋体"/>
          <w:sz w:val="24"/>
        </w:rPr>
      </w:pPr>
    </w:p>
    <w:p>
      <w:pPr>
        <w:spacing w:line="360" w:lineRule="auto"/>
        <w:rPr>
          <w:rFonts w:ascii="宋体" w:hAnsi="宋体" w:cs="宋体"/>
          <w:sz w:val="24"/>
        </w:rPr>
      </w:pPr>
    </w:p>
    <w:p>
      <w:pPr>
        <w:spacing w:line="800" w:lineRule="exact"/>
        <w:jc w:val="center"/>
        <w:rPr>
          <w:rFonts w:ascii="宋体" w:hAnsi="宋体" w:cs="宋体"/>
          <w:b/>
          <w:sz w:val="72"/>
          <w:szCs w:val="72"/>
        </w:rPr>
      </w:pPr>
      <w:r>
        <w:rPr>
          <w:rFonts w:hint="eastAsia" w:ascii="宋体" w:hAnsi="宋体" w:cs="宋体"/>
          <w:b/>
          <w:sz w:val="72"/>
          <w:szCs w:val="72"/>
        </w:rPr>
        <w:t>谈</w:t>
      </w:r>
    </w:p>
    <w:p>
      <w:pPr>
        <w:spacing w:line="800" w:lineRule="exact"/>
        <w:jc w:val="center"/>
        <w:rPr>
          <w:rFonts w:ascii="宋体" w:hAnsi="宋体" w:cs="宋体"/>
          <w:b/>
          <w:sz w:val="72"/>
          <w:szCs w:val="72"/>
        </w:rPr>
      </w:pPr>
      <w:r>
        <w:rPr>
          <w:rFonts w:hint="eastAsia" w:ascii="宋体" w:hAnsi="宋体" w:cs="宋体"/>
          <w:b/>
          <w:sz w:val="72"/>
          <w:szCs w:val="72"/>
        </w:rPr>
        <w:t>判</w:t>
      </w:r>
    </w:p>
    <w:p>
      <w:pPr>
        <w:spacing w:line="800" w:lineRule="exact"/>
        <w:jc w:val="center"/>
        <w:rPr>
          <w:rFonts w:ascii="宋体" w:hAnsi="宋体" w:cs="宋体"/>
          <w:b/>
          <w:sz w:val="72"/>
          <w:szCs w:val="72"/>
        </w:rPr>
      </w:pPr>
      <w:r>
        <w:rPr>
          <w:rFonts w:hint="eastAsia" w:ascii="宋体" w:hAnsi="宋体" w:cs="宋体"/>
          <w:b/>
          <w:sz w:val="72"/>
          <w:szCs w:val="72"/>
        </w:rPr>
        <w:t>响</w:t>
      </w:r>
    </w:p>
    <w:p>
      <w:pPr>
        <w:spacing w:line="800" w:lineRule="exact"/>
        <w:jc w:val="center"/>
        <w:rPr>
          <w:rFonts w:ascii="宋体" w:hAnsi="宋体" w:cs="宋体"/>
          <w:b/>
          <w:sz w:val="72"/>
          <w:szCs w:val="72"/>
        </w:rPr>
      </w:pPr>
      <w:r>
        <w:rPr>
          <w:rFonts w:hint="eastAsia" w:ascii="宋体" w:hAnsi="宋体" w:cs="宋体"/>
          <w:b/>
          <w:sz w:val="72"/>
          <w:szCs w:val="72"/>
        </w:rPr>
        <w:t>应</w:t>
      </w:r>
    </w:p>
    <w:p>
      <w:pPr>
        <w:spacing w:line="800" w:lineRule="exact"/>
        <w:jc w:val="center"/>
        <w:rPr>
          <w:rFonts w:ascii="宋体" w:hAnsi="宋体" w:cs="宋体"/>
          <w:b/>
          <w:sz w:val="72"/>
          <w:szCs w:val="72"/>
        </w:rPr>
      </w:pPr>
      <w:r>
        <w:rPr>
          <w:rFonts w:hint="eastAsia" w:ascii="宋体" w:hAnsi="宋体" w:cs="宋体"/>
          <w:b/>
          <w:sz w:val="72"/>
          <w:szCs w:val="72"/>
        </w:rPr>
        <w:t>文</w:t>
      </w:r>
    </w:p>
    <w:p>
      <w:pPr>
        <w:spacing w:line="360" w:lineRule="auto"/>
        <w:jc w:val="center"/>
        <w:rPr>
          <w:rFonts w:ascii="宋体" w:hAnsi="宋体" w:cs="宋体"/>
          <w:sz w:val="24"/>
        </w:rPr>
      </w:pPr>
      <w:r>
        <w:rPr>
          <w:rFonts w:hint="eastAsia" w:ascii="宋体" w:hAnsi="宋体" w:cs="宋体"/>
          <w:b/>
          <w:sz w:val="72"/>
          <w:szCs w:val="72"/>
        </w:rPr>
        <w:t>件</w:t>
      </w:r>
    </w:p>
    <w:p>
      <w:pPr>
        <w:spacing w:line="360" w:lineRule="auto"/>
        <w:ind w:firstLine="148" w:firstLineChars="49"/>
        <w:rPr>
          <w:rFonts w:ascii="宋体" w:hAnsi="宋体" w:cs="宋体"/>
          <w:b/>
          <w:sz w:val="30"/>
          <w:szCs w:val="30"/>
        </w:rPr>
      </w:pPr>
      <w:r>
        <w:rPr>
          <w:rFonts w:hint="eastAsia" w:ascii="宋体" w:hAnsi="宋体" w:cs="宋体"/>
          <w:b/>
          <w:sz w:val="30"/>
          <w:szCs w:val="30"/>
        </w:rPr>
        <w:t xml:space="preserve">采购人名称： </w:t>
      </w:r>
      <w:r>
        <w:rPr>
          <w:rFonts w:hint="eastAsia" w:ascii="宋体" w:hAnsi="宋体" w:cs="宋体"/>
          <w:b/>
          <w:sz w:val="30"/>
          <w:szCs w:val="30"/>
          <w:u w:val="single"/>
        </w:rPr>
        <w:t xml:space="preserve">                                             </w:t>
      </w:r>
    </w:p>
    <w:p>
      <w:pPr>
        <w:spacing w:line="360" w:lineRule="auto"/>
        <w:rPr>
          <w:rFonts w:ascii="宋体" w:hAnsi="宋体" w:cs="宋体"/>
          <w:b/>
          <w:sz w:val="30"/>
          <w:szCs w:val="30"/>
        </w:rPr>
      </w:pPr>
    </w:p>
    <w:p>
      <w:pPr>
        <w:spacing w:line="360" w:lineRule="auto"/>
        <w:ind w:firstLine="148" w:firstLineChars="49"/>
        <w:rPr>
          <w:rFonts w:ascii="宋体" w:hAnsi="宋体" w:cs="宋体"/>
          <w:b/>
          <w:sz w:val="30"/>
          <w:szCs w:val="30"/>
        </w:rPr>
      </w:pPr>
      <w:r>
        <w:rPr>
          <w:rFonts w:hint="eastAsia" w:ascii="宋体" w:hAnsi="宋体" w:cs="宋体"/>
          <w:b/>
          <w:sz w:val="30"/>
          <w:szCs w:val="30"/>
        </w:rPr>
        <w:t xml:space="preserve">谈判响应人名称： </w:t>
      </w:r>
      <w:r>
        <w:rPr>
          <w:rFonts w:hint="eastAsia" w:ascii="宋体" w:hAnsi="宋体" w:cs="宋体"/>
          <w:b/>
          <w:sz w:val="30"/>
          <w:szCs w:val="30"/>
          <w:u w:val="single"/>
        </w:rPr>
        <w:t xml:space="preserve">                                   （盖 章）           </w:t>
      </w:r>
    </w:p>
    <w:p>
      <w:pPr>
        <w:spacing w:line="360" w:lineRule="auto"/>
        <w:rPr>
          <w:rFonts w:ascii="宋体" w:hAnsi="宋体" w:cs="宋体"/>
          <w:b/>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sz w:val="30"/>
          <w:szCs w:val="30"/>
        </w:rPr>
      </w:pPr>
    </w:p>
    <w:p>
      <w:pPr>
        <w:spacing w:line="360" w:lineRule="auto"/>
        <w:jc w:val="center"/>
        <w:rPr>
          <w:rFonts w:ascii="宋体" w:hAnsi="宋体" w:cs="宋体"/>
          <w:b/>
          <w:sz w:val="30"/>
          <w:szCs w:val="30"/>
        </w:rPr>
      </w:pPr>
      <w:r>
        <w:rPr>
          <w:rFonts w:hint="eastAsia" w:ascii="宋体" w:hAnsi="宋体" w:cs="宋体"/>
          <w:b/>
          <w:sz w:val="30"/>
          <w:szCs w:val="30"/>
        </w:rPr>
        <w:t>日期：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pPr>
        <w:widowControl/>
        <w:jc w:val="left"/>
        <w:rPr>
          <w:rFonts w:ascii="宋体" w:hAnsi="宋体" w:cs="宋体"/>
          <w:b/>
          <w:sz w:val="30"/>
          <w:szCs w:val="30"/>
        </w:rPr>
      </w:pP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目 录</w:t>
      </w:r>
    </w:p>
    <w:p>
      <w:pPr>
        <w:spacing w:line="480" w:lineRule="auto"/>
        <w:ind w:firstLine="480" w:firstLineChars="200"/>
        <w:rPr>
          <w:rFonts w:ascii="宋体" w:hAnsi="宋体" w:cs="宋体"/>
          <w:sz w:val="24"/>
        </w:rPr>
      </w:pPr>
      <w:r>
        <w:rPr>
          <w:rFonts w:hint="eastAsia" w:ascii="宋体" w:hAnsi="宋体" w:cs="宋体"/>
          <w:sz w:val="24"/>
        </w:rPr>
        <w:t>一、谈判响应函</w:t>
      </w:r>
    </w:p>
    <w:p>
      <w:pPr>
        <w:spacing w:line="480" w:lineRule="auto"/>
        <w:ind w:firstLine="480" w:firstLineChars="200"/>
        <w:rPr>
          <w:rFonts w:ascii="宋体" w:hAnsi="宋体" w:cs="宋体"/>
          <w:sz w:val="24"/>
        </w:rPr>
      </w:pPr>
      <w:r>
        <w:rPr>
          <w:rFonts w:hint="eastAsia" w:ascii="宋体" w:hAnsi="宋体" w:cs="宋体"/>
          <w:sz w:val="24"/>
        </w:rPr>
        <w:t>二、货物报价表（首轮）、最终报价表</w:t>
      </w:r>
    </w:p>
    <w:p>
      <w:pPr>
        <w:spacing w:line="480" w:lineRule="auto"/>
        <w:ind w:firstLine="480" w:firstLineChars="200"/>
        <w:rPr>
          <w:rFonts w:ascii="宋体" w:hAnsi="宋体" w:cs="宋体"/>
          <w:sz w:val="24"/>
        </w:rPr>
      </w:pPr>
      <w:r>
        <w:rPr>
          <w:rFonts w:hint="eastAsia" w:ascii="宋体" w:hAnsi="宋体" w:cs="宋体"/>
          <w:sz w:val="24"/>
        </w:rPr>
        <w:t>三、技术参数响应表</w:t>
      </w:r>
    </w:p>
    <w:p>
      <w:pPr>
        <w:spacing w:line="480" w:lineRule="auto"/>
        <w:ind w:firstLine="480" w:firstLineChars="200"/>
        <w:rPr>
          <w:rFonts w:ascii="宋体" w:hAnsi="宋体" w:cs="宋体"/>
          <w:sz w:val="24"/>
        </w:rPr>
      </w:pPr>
      <w:r>
        <w:rPr>
          <w:rFonts w:hint="eastAsia" w:ascii="宋体" w:hAnsi="宋体" w:cs="宋体"/>
          <w:sz w:val="24"/>
        </w:rPr>
        <w:t>四、</w:t>
      </w:r>
      <w:r>
        <w:rPr>
          <w:rFonts w:hint="eastAsia" w:ascii="宋体" w:hAnsi="宋体" w:cs="宋体"/>
          <w:color w:val="000000"/>
          <w:sz w:val="24"/>
        </w:rPr>
        <w:t>供货及谈判响应技术方案</w:t>
      </w:r>
    </w:p>
    <w:p>
      <w:pPr>
        <w:spacing w:line="480" w:lineRule="auto"/>
        <w:ind w:firstLine="480" w:firstLineChars="200"/>
        <w:rPr>
          <w:rFonts w:ascii="宋体" w:hAnsi="宋体" w:cs="宋体"/>
          <w:sz w:val="24"/>
        </w:rPr>
      </w:pPr>
      <w:r>
        <w:rPr>
          <w:rFonts w:hint="eastAsia" w:ascii="宋体" w:hAnsi="宋体" w:cs="宋体"/>
          <w:sz w:val="24"/>
        </w:rPr>
        <w:t>五、诚信谈判响应承诺书</w:t>
      </w:r>
    </w:p>
    <w:p>
      <w:pPr>
        <w:spacing w:line="480" w:lineRule="auto"/>
        <w:ind w:firstLine="480" w:firstLineChars="200"/>
        <w:rPr>
          <w:rFonts w:ascii="宋体" w:hAnsi="宋体" w:cs="宋体"/>
          <w:sz w:val="24"/>
        </w:rPr>
      </w:pPr>
      <w:r>
        <w:rPr>
          <w:rFonts w:hint="eastAsia" w:ascii="宋体" w:hAnsi="宋体"/>
          <w:sz w:val="24"/>
        </w:rPr>
        <w:t>六、</w:t>
      </w:r>
      <w:r>
        <w:rPr>
          <w:rFonts w:hint="eastAsia" w:ascii="宋体" w:hAnsi="宋体" w:cs="宋体"/>
          <w:sz w:val="24"/>
        </w:rPr>
        <w:t>资格证明文件</w:t>
      </w:r>
    </w:p>
    <w:p>
      <w:pPr>
        <w:widowControl/>
        <w:jc w:val="left"/>
        <w:rPr>
          <w:rFonts w:ascii="宋体" w:hAnsi="宋体" w:cs="宋体"/>
          <w:sz w:val="24"/>
        </w:rPr>
      </w:pPr>
      <w:r>
        <w:rPr>
          <w:rFonts w:ascii="宋体" w:hAnsi="宋体" w:cs="宋体"/>
          <w:sz w:val="24"/>
        </w:rPr>
        <w:br w:type="page"/>
      </w:r>
    </w:p>
    <w:p>
      <w:pPr>
        <w:pStyle w:val="6"/>
        <w:jc w:val="center"/>
        <w:rPr>
          <w:rFonts w:hAnsi="宋体" w:cs="宋体"/>
        </w:rPr>
      </w:pPr>
      <w:bookmarkStart w:id="106" w:name="_Toc54939201"/>
      <w:bookmarkStart w:id="107" w:name="_Toc13905"/>
      <w:r>
        <w:rPr>
          <w:rFonts w:hint="eastAsia" w:hAnsi="宋体" w:cs="宋体"/>
        </w:rPr>
        <w:t>一、谈判响应函</w:t>
      </w:r>
      <w:bookmarkEnd w:id="106"/>
      <w:bookmarkEnd w:id="107"/>
    </w:p>
    <w:p>
      <w:pPr>
        <w:tabs>
          <w:tab w:val="left" w:pos="5580"/>
        </w:tabs>
        <w:spacing w:before="120"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安庆职业技术学院</w:t>
      </w:r>
    </w:p>
    <w:p>
      <w:pPr>
        <w:pStyle w:val="11"/>
        <w:tabs>
          <w:tab w:val="left" w:pos="5580"/>
        </w:tabs>
        <w:spacing w:line="360" w:lineRule="auto"/>
        <w:ind w:firstLine="420" w:firstLineChars="200"/>
        <w:rPr>
          <w:rFonts w:hAnsi="宋体" w:cs="宋体"/>
          <w:szCs w:val="21"/>
        </w:rPr>
      </w:pPr>
      <w:r>
        <w:rPr>
          <w:rFonts w:hint="eastAsia" w:hAnsi="宋体" w:cs="宋体"/>
          <w:szCs w:val="21"/>
        </w:rPr>
        <w:t>1、根据贵方竞争性谈判公告，我方决定参加贵方组织的</w:t>
      </w:r>
      <w:r>
        <w:rPr>
          <w:rFonts w:hint="eastAsia" w:hAnsi="宋体" w:cs="宋体"/>
          <w:szCs w:val="21"/>
          <w:u w:val="single"/>
        </w:rPr>
        <w:t xml:space="preserve"> </w:t>
      </w:r>
      <w:r>
        <w:rPr>
          <w:rFonts w:hint="eastAsia" w:hAnsi="宋体" w:cs="宋体"/>
          <w:szCs w:val="21"/>
          <w:u w:val="single"/>
          <w:lang w:eastAsia="zh-CN"/>
        </w:rPr>
        <w:t>安庆职业技术学院画室改造装饰</w:t>
      </w:r>
      <w:r>
        <w:rPr>
          <w:rFonts w:hint="eastAsia" w:hAnsi="宋体" w:cs="宋体"/>
          <w:szCs w:val="21"/>
          <w:u w:val="single"/>
        </w:rPr>
        <w:t>项目</w:t>
      </w:r>
      <w:r>
        <w:rPr>
          <w:rFonts w:hint="eastAsia" w:hAnsi="宋体" w:cs="宋体"/>
          <w:szCs w:val="21"/>
        </w:rPr>
        <w:t>项目的采购活动。我方授权</w:t>
      </w:r>
      <w:r>
        <w:rPr>
          <w:rFonts w:hint="eastAsia" w:hAnsi="宋体" w:cs="宋体"/>
          <w:szCs w:val="21"/>
          <w:u w:val="single"/>
        </w:rPr>
        <w:t xml:space="preserve">         </w:t>
      </w:r>
      <w:r>
        <w:rPr>
          <w:rFonts w:hint="eastAsia" w:hAnsi="宋体" w:cs="宋体"/>
          <w:szCs w:val="21"/>
        </w:rPr>
        <w:t>(姓名和职务)代表我方</w:t>
      </w:r>
      <w:r>
        <w:rPr>
          <w:rFonts w:hint="eastAsia" w:hAnsi="宋体" w:cs="宋体"/>
          <w:szCs w:val="21"/>
          <w:u w:val="single"/>
        </w:rPr>
        <w:t xml:space="preserve">                    </w:t>
      </w:r>
      <w:r>
        <w:rPr>
          <w:rFonts w:hint="eastAsia" w:hAnsi="宋体" w:cs="宋体"/>
          <w:szCs w:val="21"/>
        </w:rPr>
        <w:t>全权处理本项目谈判响应的有关事宜。</w:t>
      </w:r>
    </w:p>
    <w:p>
      <w:pPr>
        <w:pStyle w:val="11"/>
        <w:tabs>
          <w:tab w:val="left" w:pos="5580"/>
        </w:tabs>
        <w:spacing w:line="360" w:lineRule="auto"/>
        <w:ind w:firstLine="420" w:firstLineChars="200"/>
        <w:rPr>
          <w:rFonts w:hAnsi="宋体" w:cs="宋体"/>
          <w:szCs w:val="21"/>
        </w:rPr>
      </w:pPr>
      <w:r>
        <w:rPr>
          <w:rFonts w:hint="eastAsia" w:hAnsi="宋体" w:cs="宋体"/>
          <w:szCs w:val="21"/>
        </w:rPr>
        <w:t>2、我方愿意按照竞争性谈判文件约定的各项要求，向采购人提供所需的服务，报价为人民币（大写）</w:t>
      </w:r>
      <w:r>
        <w:rPr>
          <w:rFonts w:hint="eastAsia" w:hAnsi="宋体" w:cs="宋体"/>
          <w:szCs w:val="21"/>
          <w:u w:val="single"/>
        </w:rPr>
        <w:t xml:space="preserve">        元   </w:t>
      </w:r>
      <w:r>
        <w:rPr>
          <w:rFonts w:hint="eastAsia" w:hAnsi="宋体" w:cs="宋体"/>
          <w:szCs w:val="21"/>
        </w:rPr>
        <w:t>(小写)</w:t>
      </w:r>
      <w:r>
        <w:rPr>
          <w:rFonts w:hint="eastAsia" w:hAnsi="宋体" w:cs="宋体"/>
          <w:szCs w:val="21"/>
          <w:u w:val="single"/>
        </w:rPr>
        <w:t xml:space="preserve">       元</w:t>
      </w:r>
      <w:r>
        <w:rPr>
          <w:rFonts w:hint="eastAsia" w:hAnsi="宋体" w:cs="宋体"/>
          <w:szCs w:val="21"/>
        </w:rPr>
        <w:t>。</w:t>
      </w:r>
    </w:p>
    <w:p>
      <w:pPr>
        <w:pStyle w:val="11"/>
        <w:tabs>
          <w:tab w:val="left" w:pos="5580"/>
        </w:tabs>
        <w:spacing w:line="360" w:lineRule="auto"/>
        <w:ind w:firstLine="420" w:firstLineChars="200"/>
        <w:rPr>
          <w:rFonts w:hAnsi="宋体" w:cs="宋体"/>
          <w:szCs w:val="21"/>
        </w:rPr>
      </w:pPr>
      <w:r>
        <w:rPr>
          <w:rFonts w:hint="eastAsia" w:hAnsi="宋体" w:cs="宋体"/>
          <w:szCs w:val="21"/>
        </w:rPr>
        <w:t>3、一旦我方成交，我方将严格履行合同约定的责任和义务，</w:t>
      </w:r>
      <w:r>
        <w:rPr>
          <w:rFonts w:hint="eastAsia" w:hAnsi="宋体"/>
          <w:szCs w:val="21"/>
        </w:rPr>
        <w:t>保证于合同签字生效后</w:t>
      </w:r>
      <w:r>
        <w:rPr>
          <w:rFonts w:hint="eastAsia" w:hAnsi="宋体"/>
          <w:szCs w:val="21"/>
          <w:u w:val="single"/>
        </w:rPr>
        <w:t xml:space="preserve">     </w:t>
      </w:r>
      <w:r>
        <w:rPr>
          <w:rFonts w:hint="eastAsia" w:hAnsi="宋体"/>
          <w:szCs w:val="21"/>
        </w:rPr>
        <w:t>日历天完成项目的交货、安装、调试，并交付采购人验收、使用。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6、我方完全理解贵方不一定将合同授予最低报价的谈判响应人。</w:t>
      </w: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rPr>
          <w:rFonts w:hAnsi="宋体" w:cs="宋体"/>
          <w:szCs w:val="21"/>
          <w:u w:val="single"/>
        </w:rPr>
      </w:pPr>
      <w:r>
        <w:rPr>
          <w:rFonts w:hint="eastAsia" w:hAnsi="宋体" w:cs="宋体"/>
          <w:szCs w:val="21"/>
        </w:rPr>
        <w:t xml:space="preserve">                              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570" w:firstLineChars="17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rPr>
          <w:rFonts w:ascii="宋体" w:hAnsi="宋体" w:cs="宋体"/>
          <w:sz w:val="24"/>
        </w:rPr>
      </w:pPr>
    </w:p>
    <w:p>
      <w:pPr>
        <w:pStyle w:val="6"/>
        <w:jc w:val="center"/>
        <w:rPr>
          <w:rFonts w:hAnsi="宋体" w:cs="宋体"/>
        </w:rPr>
      </w:pPr>
      <w:bookmarkStart w:id="108" w:name="_Toc12161"/>
      <w:bookmarkStart w:id="109" w:name="_Toc54939202"/>
      <w:bookmarkStart w:id="110" w:name="_Toc7098"/>
      <w:r>
        <w:rPr>
          <w:rFonts w:hint="eastAsia" w:hAnsi="宋体" w:cs="宋体"/>
        </w:rPr>
        <w:t>二、</w:t>
      </w:r>
      <w:bookmarkEnd w:id="108"/>
      <w:r>
        <w:rPr>
          <w:rFonts w:hint="eastAsia" w:hAnsi="宋体" w:cs="宋体"/>
        </w:rPr>
        <w:t>货物报价表(首轮)</w:t>
      </w:r>
      <w:bookmarkEnd w:id="109"/>
      <w:bookmarkEnd w:id="110"/>
    </w:p>
    <w:p>
      <w:pPr>
        <w:spacing w:line="360" w:lineRule="auto"/>
        <w:rPr>
          <w:rFonts w:ascii="宋体" w:hAnsi="宋体" w:cs="宋体"/>
          <w:sz w:val="24"/>
        </w:rPr>
      </w:pPr>
      <w:r>
        <w:rPr>
          <w:rFonts w:hint="eastAsia" w:ascii="宋体" w:hAnsi="宋体" w:cs="宋体"/>
          <w:szCs w:val="21"/>
        </w:rPr>
        <w:t>项目</w:t>
      </w:r>
      <w:r>
        <w:rPr>
          <w:rFonts w:hint="eastAsia" w:ascii="宋体" w:hAnsi="宋体" w:cs="宋体"/>
          <w:szCs w:val="21"/>
          <w:lang w:val="en-US" w:eastAsia="zh-CN"/>
        </w:rPr>
        <w:t>编号</w:t>
      </w:r>
      <w:r>
        <w:rPr>
          <w:rFonts w:hint="eastAsia" w:ascii="宋体" w:hAnsi="宋体" w:cs="宋体"/>
          <w:szCs w:val="21"/>
        </w:rPr>
        <w:t>：</w:t>
      </w:r>
      <w:r>
        <w:rPr>
          <w:rFonts w:hint="eastAsia" w:ascii="宋体" w:hAnsi="宋体" w:cs="宋体"/>
          <w:kern w:val="0"/>
          <w:szCs w:val="21"/>
          <w:lang w:eastAsia="zh-CN"/>
        </w:rPr>
        <w:t>CG-AZ-2021-0</w:t>
      </w:r>
      <w:r>
        <w:rPr>
          <w:rFonts w:hint="eastAsia" w:ascii="宋体" w:hAnsi="宋体" w:cs="宋体"/>
          <w:kern w:val="0"/>
          <w:szCs w:val="21"/>
          <w:lang w:val="en-US" w:eastAsia="zh-CN"/>
        </w:rPr>
        <w:t>13</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项目</w:t>
      </w:r>
      <w:r>
        <w:rPr>
          <w:rFonts w:hint="eastAsia" w:ascii="宋体" w:hAnsi="宋体" w:cs="宋体"/>
          <w:szCs w:val="21"/>
          <w:lang w:val="en-US" w:eastAsia="zh-CN"/>
        </w:rPr>
        <w:t>名称</w:t>
      </w:r>
      <w:r>
        <w:rPr>
          <w:rFonts w:hint="eastAsia" w:ascii="宋体" w:hAnsi="宋体" w:cs="宋体"/>
          <w:szCs w:val="21"/>
        </w:rPr>
        <w:t>：</w:t>
      </w:r>
      <w:r>
        <w:rPr>
          <w:rFonts w:hint="eastAsia" w:ascii="宋体" w:hAnsi="宋体" w:cs="宋体"/>
          <w:szCs w:val="21"/>
          <w:lang w:eastAsia="zh-CN"/>
        </w:rPr>
        <w:t>安庆职业技术学院画室改造装饰</w:t>
      </w:r>
      <w:r>
        <w:rPr>
          <w:rFonts w:hint="eastAsia" w:ascii="宋体" w:hAnsi="宋体" w:cs="宋体"/>
          <w:szCs w:val="21"/>
        </w:rPr>
        <w:t xml:space="preserve">项目                                                         </w:t>
      </w:r>
    </w:p>
    <w:tbl>
      <w:tblPr>
        <w:tblStyle w:val="2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74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395"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pStyle w:val="6"/>
        <w:jc w:val="center"/>
        <w:rPr>
          <w:rFonts w:hAnsi="宋体" w:cs="宋体"/>
          <w:u w:val="single"/>
        </w:rPr>
      </w:pPr>
      <w:bookmarkStart w:id="111" w:name="_Toc15489"/>
      <w:bookmarkStart w:id="112" w:name="_Toc54939203"/>
      <w:bookmarkStart w:id="113" w:name="_Toc10635"/>
      <w:r>
        <w:rPr>
          <w:rFonts w:hint="eastAsia" w:hAnsi="宋体" w:cs="宋体"/>
        </w:rPr>
        <w:t>最终报价表</w:t>
      </w:r>
      <w:bookmarkEnd w:id="111"/>
      <w:bookmarkEnd w:id="112"/>
      <w:bookmarkEnd w:id="113"/>
    </w:p>
    <w:p>
      <w:pPr>
        <w:spacing w:line="360" w:lineRule="auto"/>
        <w:rPr>
          <w:rFonts w:ascii="宋体" w:hAnsi="宋体" w:cs="宋体"/>
          <w:sz w:val="24"/>
        </w:rPr>
      </w:pPr>
      <w:r>
        <w:rPr>
          <w:rFonts w:hint="eastAsia" w:ascii="宋体" w:hAnsi="宋体" w:cs="宋体"/>
          <w:szCs w:val="21"/>
        </w:rPr>
        <w:t>项目</w:t>
      </w:r>
      <w:r>
        <w:rPr>
          <w:rFonts w:hint="eastAsia" w:ascii="宋体" w:hAnsi="宋体" w:cs="宋体"/>
          <w:szCs w:val="21"/>
          <w:lang w:val="en-US" w:eastAsia="zh-CN"/>
        </w:rPr>
        <w:t>编号</w:t>
      </w:r>
      <w:r>
        <w:rPr>
          <w:rFonts w:hint="eastAsia" w:ascii="宋体" w:hAnsi="宋体" w:cs="宋体"/>
          <w:szCs w:val="21"/>
        </w:rPr>
        <w:t>：</w:t>
      </w:r>
      <w:r>
        <w:rPr>
          <w:rFonts w:hint="eastAsia" w:ascii="宋体" w:hAnsi="宋体" w:cs="宋体"/>
          <w:kern w:val="0"/>
          <w:szCs w:val="21"/>
          <w:lang w:eastAsia="zh-CN"/>
        </w:rPr>
        <w:t>CG-AZ-2021-0</w:t>
      </w:r>
      <w:r>
        <w:rPr>
          <w:rFonts w:hint="eastAsia" w:ascii="宋体" w:hAnsi="宋体" w:cs="宋体"/>
          <w:kern w:val="0"/>
          <w:szCs w:val="21"/>
          <w:lang w:val="en-US" w:eastAsia="zh-CN"/>
        </w:rPr>
        <w:t>13</w:t>
      </w:r>
      <w:bookmarkStart w:id="123" w:name="_GoBack"/>
      <w:bookmarkEnd w:id="123"/>
      <w:r>
        <w:rPr>
          <w:rFonts w:hint="eastAsia" w:ascii="宋体" w:hAnsi="宋体" w:cs="宋体"/>
          <w:szCs w:val="21"/>
        </w:rPr>
        <w:t xml:space="preserve">  </w:t>
      </w:r>
    </w:p>
    <w:p>
      <w:pPr>
        <w:spacing w:line="360" w:lineRule="auto"/>
        <w:rPr>
          <w:rFonts w:ascii="宋体" w:hAnsi="宋体" w:cs="宋体"/>
          <w:kern w:val="0"/>
          <w:sz w:val="24"/>
          <w:lang w:val="zh-CN"/>
        </w:rPr>
      </w:pPr>
      <w:r>
        <w:rPr>
          <w:rFonts w:hint="eastAsia" w:ascii="宋体" w:hAnsi="宋体" w:cs="宋体"/>
          <w:szCs w:val="21"/>
        </w:rPr>
        <w:t>项目</w:t>
      </w:r>
      <w:r>
        <w:rPr>
          <w:rFonts w:hint="eastAsia" w:ascii="宋体" w:hAnsi="宋体" w:cs="宋体"/>
          <w:szCs w:val="21"/>
          <w:lang w:val="en-US" w:eastAsia="zh-CN"/>
        </w:rPr>
        <w:t>名称</w:t>
      </w:r>
      <w:r>
        <w:rPr>
          <w:rFonts w:hint="eastAsia" w:ascii="宋体" w:hAnsi="宋体" w:cs="宋体"/>
          <w:szCs w:val="21"/>
        </w:rPr>
        <w:t xml:space="preserve">： </w:t>
      </w:r>
      <w:r>
        <w:rPr>
          <w:rFonts w:hint="eastAsia" w:ascii="宋体" w:hAnsi="宋体" w:cs="宋体"/>
          <w:szCs w:val="21"/>
          <w:lang w:eastAsia="zh-CN"/>
        </w:rPr>
        <w:t>安庆职业技术学院画室改造装饰</w:t>
      </w:r>
      <w:r>
        <w:rPr>
          <w:rFonts w:hint="eastAsia" w:ascii="宋体" w:hAnsi="宋体" w:cs="宋体"/>
          <w:szCs w:val="21"/>
        </w:rPr>
        <w:t xml:space="preserve">项目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rPr>
            </w:pPr>
            <w:r>
              <w:rPr>
                <w:rFonts w:hint="eastAsia" w:ascii="宋体" w:hAnsi="宋体" w:cs="宋体"/>
                <w:color w:val="000000"/>
                <w:sz w:val="24"/>
              </w:rPr>
              <w:t>交货、安装、</w:t>
            </w:r>
          </w:p>
          <w:p>
            <w:pPr>
              <w:spacing w:line="400" w:lineRule="exact"/>
              <w:ind w:firstLine="120" w:firstLineChars="50"/>
              <w:jc w:val="center"/>
              <w:rPr>
                <w:rFonts w:ascii="宋体" w:hAnsi="宋体" w:cs="宋体"/>
                <w:sz w:val="24"/>
              </w:rPr>
            </w:pPr>
            <w:r>
              <w:rPr>
                <w:rFonts w:hint="eastAsia" w:ascii="宋体" w:hAnsi="宋体" w:cs="宋体"/>
                <w:color w:val="000000"/>
                <w:sz w:val="24"/>
              </w:rPr>
              <w:t>调试期</w:t>
            </w:r>
          </w:p>
        </w:tc>
        <w:tc>
          <w:tcPr>
            <w:tcW w:w="7507" w:type="dxa"/>
            <w:vAlign w:val="center"/>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spacing w:line="360" w:lineRule="auto"/>
        <w:ind w:firstLine="3465" w:firstLineChars="1650"/>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szCs w:val="21"/>
        </w:rPr>
      </w:pPr>
      <w:r>
        <w:rPr>
          <w:rFonts w:ascii="宋体" w:hAnsi="宋体" w:cs="宋体"/>
          <w:szCs w:val="21"/>
        </w:rPr>
        <w:br w:type="page"/>
      </w:r>
    </w:p>
    <w:p>
      <w:pPr>
        <w:pStyle w:val="6"/>
        <w:jc w:val="center"/>
        <w:rPr>
          <w:rFonts w:hAnsi="宋体" w:cs="宋体"/>
        </w:rPr>
      </w:pPr>
      <w:bookmarkStart w:id="114" w:name="_Toc54939204"/>
      <w:bookmarkStart w:id="115" w:name="_Toc28153"/>
      <w:r>
        <w:rPr>
          <w:rFonts w:hint="eastAsia" w:hAnsi="宋体" w:cs="宋体"/>
        </w:rPr>
        <w:t>三、</w:t>
      </w:r>
      <w:bookmarkEnd w:id="114"/>
      <w:bookmarkEnd w:id="115"/>
      <w:r>
        <w:rPr>
          <w:rFonts w:hint="eastAsia" w:hAnsi="宋体" w:cs="宋体"/>
        </w:rPr>
        <w:t>技术参数响应表</w:t>
      </w:r>
    </w:p>
    <w:p>
      <w:pPr>
        <w:spacing w:line="360" w:lineRule="auto"/>
        <w:rPr>
          <w:rFonts w:ascii="宋体" w:hAnsi="宋体" w:cs="宋体"/>
          <w:b/>
          <w:szCs w:val="21"/>
        </w:rPr>
      </w:pPr>
      <w:r>
        <w:rPr>
          <w:rFonts w:hint="eastAsia" w:ascii="宋体" w:hAnsi="宋体" w:cs="宋体"/>
          <w:szCs w:val="21"/>
        </w:rPr>
        <w:t xml:space="preserve">项目名称： </w:t>
      </w:r>
      <w:r>
        <w:rPr>
          <w:rFonts w:hint="eastAsia" w:ascii="宋体" w:hAnsi="宋体" w:cs="宋体"/>
          <w:szCs w:val="21"/>
          <w:lang w:eastAsia="zh-CN"/>
        </w:rPr>
        <w:t>安庆职业技术学院画室改造装饰</w:t>
      </w:r>
      <w:r>
        <w:rPr>
          <w:rFonts w:hint="eastAsia" w:ascii="宋体" w:hAnsi="宋体" w:cs="宋体"/>
          <w:szCs w:val="21"/>
        </w:rPr>
        <w:t>项目</w:t>
      </w:r>
    </w:p>
    <w:tbl>
      <w:tblPr>
        <w:tblStyle w:val="2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8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196"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p>
        </w:tc>
        <w:tc>
          <w:tcPr>
            <w:tcW w:w="18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155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c>
          <w:tcPr>
            <w:tcW w:w="11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ascii="宋体" w:hAnsi="宋体" w:cs="宋体"/>
          <w:b/>
          <w:szCs w:val="21"/>
        </w:rPr>
      </w:pPr>
    </w:p>
    <w:p>
      <w:pPr>
        <w:tabs>
          <w:tab w:val="left" w:pos="1815"/>
        </w:tabs>
        <w:spacing w:line="360" w:lineRule="auto"/>
        <w:rPr>
          <w:rFonts w:ascii="宋体" w:hAnsi="宋体" w:cs="宋体"/>
          <w:color w:val="000000"/>
          <w:szCs w:val="21"/>
        </w:rPr>
      </w:pPr>
      <w:r>
        <w:rPr>
          <w:rFonts w:hint="eastAsia" w:ascii="宋体" w:hAnsi="宋体" w:cs="宋体"/>
          <w:b/>
          <w:color w:val="000000"/>
          <w:szCs w:val="21"/>
        </w:rPr>
        <w:t>注：</w:t>
      </w:r>
      <w:r>
        <w:rPr>
          <w:rFonts w:hint="eastAsia" w:ascii="宋体" w:hAnsi="宋体" w:cs="宋体"/>
          <w:color w:val="000000"/>
          <w:szCs w:val="21"/>
        </w:rPr>
        <w:t>1、谈判响应人必须将自己所投货物真实、准确地填入以上表格中。</w:t>
      </w:r>
    </w:p>
    <w:p>
      <w:pPr>
        <w:pStyle w:val="55"/>
        <w:tabs>
          <w:tab w:val="left" w:pos="1815"/>
        </w:tabs>
        <w:spacing w:line="360" w:lineRule="auto"/>
        <w:ind w:left="420" w:firstLine="0" w:firstLineChars="0"/>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pStyle w:val="55"/>
        <w:tabs>
          <w:tab w:val="left" w:pos="1815"/>
        </w:tabs>
        <w:spacing w:line="360" w:lineRule="auto"/>
        <w:ind w:left="420" w:firstLine="0" w:firstLineChars="0"/>
        <w:rPr>
          <w:rFonts w:ascii="宋体" w:hAnsi="宋体" w:cs="宋体"/>
          <w:color w:val="000000"/>
          <w:szCs w:val="21"/>
        </w:rPr>
      </w:pPr>
      <w:r>
        <w:rPr>
          <w:rFonts w:hint="eastAsia" w:ascii="宋体" w:hAnsi="宋体" w:cs="宋体"/>
          <w:color w:val="000000"/>
          <w:szCs w:val="21"/>
        </w:rPr>
        <w:t>3、</w:t>
      </w:r>
      <w:r>
        <w:rPr>
          <w:rFonts w:hint="eastAsia" w:ascii="宋体" w:hAnsi="宋体" w:cs="Arial"/>
          <w:b/>
          <w:szCs w:val="21"/>
        </w:rPr>
        <w:t>若谈判响应人</w:t>
      </w:r>
      <w:r>
        <w:rPr>
          <w:rFonts w:hint="eastAsia" w:ascii="宋体" w:hAnsi="宋体"/>
          <w:b/>
          <w:bCs/>
          <w:szCs w:val="21"/>
        </w:rPr>
        <w:t>所投货物为进口产品的，必须在表中明确列出所投进口产品的原产地。</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szCs w:val="21"/>
        </w:rPr>
      </w:pPr>
      <w:r>
        <w:rPr>
          <w:rFonts w:ascii="宋体" w:hAnsi="宋体" w:cs="宋体"/>
          <w:szCs w:val="21"/>
        </w:rPr>
        <w:br w:type="page"/>
      </w:r>
    </w:p>
    <w:p>
      <w:pPr>
        <w:pStyle w:val="6"/>
        <w:jc w:val="center"/>
        <w:rPr>
          <w:rFonts w:hAnsi="宋体" w:cs="宋体"/>
          <w:color w:val="000000"/>
          <w:bdr w:val="single" w:color="auto" w:sz="4" w:space="0"/>
        </w:rPr>
      </w:pPr>
      <w:bookmarkStart w:id="116" w:name="_Toc8668"/>
      <w:bookmarkStart w:id="117" w:name="_Toc2920"/>
      <w:bookmarkStart w:id="118" w:name="_Toc54939205"/>
      <w:r>
        <w:rPr>
          <w:rFonts w:hint="eastAsia" w:hAnsi="宋体" w:cs="宋体"/>
        </w:rPr>
        <w:t>四、</w:t>
      </w:r>
      <w:bookmarkEnd w:id="116"/>
      <w:bookmarkEnd w:id="117"/>
      <w:bookmarkEnd w:id="118"/>
      <w:r>
        <w:rPr>
          <w:rFonts w:hint="eastAsia" w:hAnsi="宋体" w:cs="宋体"/>
          <w:color w:val="000000"/>
        </w:rPr>
        <w:t>供货及谈判响应技术方案</w:t>
      </w:r>
    </w:p>
    <w:p>
      <w:pPr>
        <w:spacing w:line="360" w:lineRule="auto"/>
        <w:rPr>
          <w:rFonts w:ascii="宋体" w:hAnsi="宋体" w:cs="宋体"/>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1、人员培训方案</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2、质量保证及售后服务承诺</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3、谈判响应人认为需要提供的其他内容</w:t>
      </w:r>
    </w:p>
    <w:p>
      <w:pPr>
        <w:spacing w:line="360" w:lineRule="auto"/>
        <w:ind w:firstLine="420" w:firstLineChars="200"/>
        <w:rPr>
          <w:rFonts w:ascii="宋体" w:hAnsi="宋体" w:cs="宋体"/>
          <w:szCs w:val="21"/>
        </w:rPr>
      </w:pPr>
    </w:p>
    <w:p>
      <w:pPr>
        <w:spacing w:line="360" w:lineRule="auto"/>
        <w:ind w:firstLine="404" w:firstLineChars="200"/>
        <w:rPr>
          <w:rFonts w:ascii="宋体" w:hAnsi="宋体" w:cs="宋体"/>
          <w:spacing w:val="-4"/>
          <w:kern w:val="0"/>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rPr>
          <w:rFonts w:ascii="宋体" w:hAnsi="宋体" w:cs="宋体"/>
          <w:szCs w:val="21"/>
        </w:rPr>
      </w:pPr>
    </w:p>
    <w:p>
      <w:pPr>
        <w:pStyle w:val="6"/>
        <w:jc w:val="center"/>
        <w:rPr>
          <w:rFonts w:hAnsi="宋体" w:cs="宋体"/>
        </w:rPr>
      </w:pPr>
      <w:bookmarkStart w:id="119" w:name="_Toc54939206"/>
      <w:bookmarkStart w:id="120" w:name="_Toc25547"/>
      <w:r>
        <w:rPr>
          <w:rFonts w:hint="eastAsia" w:hAnsi="宋体" w:cs="宋体"/>
        </w:rPr>
        <w:t>五、诚信谈判响应承诺书</w:t>
      </w:r>
      <w:bookmarkEnd w:id="119"/>
      <w:bookmarkEnd w:id="120"/>
    </w:p>
    <w:p>
      <w:pPr>
        <w:rPr>
          <w:rFonts w:ascii="宋体" w:hAnsi="宋体" w:cs="宋体"/>
          <w:b/>
          <w:bCs/>
          <w:sz w:val="24"/>
        </w:rPr>
      </w:pPr>
    </w:p>
    <w:p>
      <w:pPr>
        <w:spacing w:line="440" w:lineRule="exact"/>
        <w:ind w:firstLine="422" w:firstLineChars="200"/>
        <w:rPr>
          <w:rFonts w:ascii="宋体" w:hAnsi="宋体" w:cs="宋体"/>
          <w:b/>
          <w:bCs/>
          <w:szCs w:val="21"/>
        </w:rPr>
      </w:pPr>
      <w:r>
        <w:rPr>
          <w:rFonts w:hint="eastAsia" w:ascii="宋体" w:hAnsi="宋体" w:cs="宋体"/>
          <w:b/>
          <w:bCs/>
          <w:szCs w:val="21"/>
        </w:rPr>
        <w:t>本人以企业法定代表人的身份郑重承诺：</w:t>
      </w:r>
    </w:p>
    <w:p>
      <w:pPr>
        <w:spacing w:line="440" w:lineRule="exact"/>
        <w:ind w:firstLine="422" w:firstLineChars="200"/>
        <w:rPr>
          <w:rFonts w:ascii="宋体" w:hAnsi="宋体" w:cs="宋体"/>
          <w:b/>
          <w:bCs/>
          <w:szCs w:val="21"/>
        </w:rPr>
      </w:pPr>
      <w:r>
        <w:rPr>
          <w:rFonts w:hint="eastAsia" w:ascii="宋体" w:hAnsi="宋体" w:cs="宋体"/>
          <w:b/>
          <w:bCs/>
          <w:szCs w:val="21"/>
        </w:rPr>
        <w:t>一、将遵循公开、公正和诚实信用的原则自愿参加</w:t>
      </w:r>
      <w:r>
        <w:rPr>
          <w:rFonts w:hint="eastAsia" w:ascii="宋体" w:hAnsi="宋体" w:cs="宋体"/>
          <w:b/>
          <w:bCs/>
          <w:szCs w:val="21"/>
          <w:u w:val="single"/>
        </w:rPr>
        <w:t xml:space="preserve">                </w:t>
      </w:r>
      <w:r>
        <w:rPr>
          <w:rFonts w:hint="eastAsia" w:ascii="宋体" w:hAnsi="宋体" w:cs="宋体"/>
          <w:b/>
          <w:bCs/>
          <w:szCs w:val="21"/>
        </w:rPr>
        <w:t>项目的竞争性谈判活动；</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二、所提供的一切材料都是真实、有效、合法的；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六、严格遵守开标现场纪律，服从监管人员管理；  </w:t>
      </w:r>
    </w:p>
    <w:p>
      <w:pPr>
        <w:spacing w:line="440" w:lineRule="exact"/>
        <w:ind w:firstLine="422" w:firstLineChars="200"/>
        <w:rPr>
          <w:rFonts w:ascii="宋体" w:hAnsi="宋体" w:cs="宋体"/>
          <w:b/>
          <w:bCs/>
          <w:szCs w:val="21"/>
        </w:rPr>
      </w:pPr>
      <w:r>
        <w:rPr>
          <w:rFonts w:hint="eastAsia" w:ascii="宋体" w:hAnsi="宋体" w:cs="宋体"/>
          <w:b/>
          <w:bCs/>
          <w:szCs w:val="21"/>
        </w:rPr>
        <w:t>七、保证成交后不转包，若有合法分包征得采购人同意；</w:t>
      </w:r>
    </w:p>
    <w:p>
      <w:pPr>
        <w:spacing w:line="440" w:lineRule="exact"/>
        <w:ind w:firstLine="422" w:firstLineChars="200"/>
        <w:rPr>
          <w:rFonts w:ascii="宋体" w:hAnsi="宋体" w:cs="宋体"/>
          <w:b/>
          <w:bCs/>
          <w:szCs w:val="21"/>
        </w:rPr>
      </w:pPr>
      <w:r>
        <w:rPr>
          <w:rFonts w:hint="eastAsia" w:ascii="宋体" w:hAnsi="宋体" w:cs="宋体"/>
          <w:b/>
          <w:bCs/>
          <w:szCs w:val="21"/>
        </w:rPr>
        <w:t>八、保证成交之后，按照谈判响应文件承诺提供货物、服务及派驻人员；</w:t>
      </w:r>
    </w:p>
    <w:p>
      <w:pPr>
        <w:spacing w:line="440" w:lineRule="exact"/>
        <w:ind w:firstLine="422" w:firstLineChars="200"/>
        <w:rPr>
          <w:rFonts w:ascii="宋体" w:hAnsi="宋体" w:cs="宋体"/>
          <w:b/>
          <w:bCs/>
          <w:szCs w:val="21"/>
        </w:rPr>
      </w:pPr>
      <w:r>
        <w:rPr>
          <w:rFonts w:hint="eastAsia" w:ascii="宋体" w:hAnsi="宋体" w:cs="宋体"/>
          <w:b/>
          <w:bCs/>
          <w:szCs w:val="21"/>
        </w:rPr>
        <w:t>九、保证企业及所属相关人员在本次谈判响应中无行贿等犯罪行为；</w:t>
      </w:r>
    </w:p>
    <w:p>
      <w:pPr>
        <w:spacing w:line="440" w:lineRule="exact"/>
        <w:ind w:firstLine="422" w:firstLineChars="200"/>
        <w:rPr>
          <w:rFonts w:ascii="宋体" w:hAnsi="宋体" w:cs="宋体"/>
          <w:b/>
          <w:bCs/>
          <w:szCs w:val="21"/>
        </w:rPr>
      </w:pPr>
      <w:r>
        <w:rPr>
          <w:rFonts w:hint="eastAsia" w:ascii="宋体" w:hAnsi="宋体" w:cs="宋体"/>
          <w:b/>
          <w:bCs/>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十一、不恶意投诉，对本公司提供的投诉线索的真实性负责。 </w:t>
      </w:r>
    </w:p>
    <w:p>
      <w:pPr>
        <w:spacing w:line="440" w:lineRule="exact"/>
        <w:ind w:firstLine="422" w:firstLineChars="200"/>
        <w:rPr>
          <w:rFonts w:ascii="宋体" w:hAnsi="宋体" w:cs="宋体"/>
          <w:b/>
          <w:bCs/>
          <w:szCs w:val="21"/>
        </w:rPr>
      </w:pPr>
      <w:r>
        <w:rPr>
          <w:rFonts w:hint="eastAsia" w:ascii="宋体" w:hAnsi="宋体" w:cs="宋体"/>
          <w:b/>
          <w:bCs/>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szCs w:val="21"/>
        </w:rPr>
      </w:pPr>
      <w:r>
        <w:rPr>
          <w:rFonts w:hint="eastAsia" w:ascii="宋体" w:hAnsi="宋体" w:cs="宋体"/>
          <w:b/>
          <w:bCs/>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szCs w:val="21"/>
        </w:rPr>
      </w:pPr>
      <w:r>
        <w:rPr>
          <w:rFonts w:hint="eastAsia" w:ascii="宋体" w:hAnsi="宋体" w:cs="宋体"/>
          <w:b/>
          <w:bCs/>
          <w:szCs w:val="21"/>
        </w:rPr>
        <w:t xml:space="preserve">  </w:t>
      </w:r>
    </w:p>
    <w:p>
      <w:pPr>
        <w:rPr>
          <w:rFonts w:ascii="宋体" w:hAnsi="宋体" w:cs="宋体"/>
          <w:b/>
          <w:bCs/>
          <w:szCs w:val="21"/>
        </w:rPr>
      </w:pPr>
    </w:p>
    <w:p>
      <w:pPr>
        <w:jc w:val="center"/>
        <w:rPr>
          <w:rFonts w:ascii="宋体" w:hAnsi="宋体" w:cs="宋体"/>
          <w:b/>
          <w:bCs/>
          <w:szCs w:val="21"/>
        </w:rPr>
      </w:pPr>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sz w:val="24"/>
        </w:rPr>
      </w:pPr>
      <w:r>
        <w:rPr>
          <w:rFonts w:hint="eastAsia" w:ascii="宋体" w:hAnsi="宋体" w:cs="宋体"/>
          <w:b/>
          <w:bCs/>
          <w:szCs w:val="21"/>
        </w:rPr>
        <w:t xml:space="preserve">                                               日期：_____年____月____日</w:t>
      </w:r>
      <w:bookmarkStart w:id="121" w:name="_Toc22272"/>
    </w:p>
    <w:p>
      <w:pPr>
        <w:widowControl/>
        <w:jc w:val="left"/>
        <w:rPr>
          <w:rFonts w:ascii="宋体" w:hAnsi="宋体" w:cs="宋体"/>
          <w:b/>
          <w:bCs/>
          <w:sz w:val="24"/>
        </w:rPr>
      </w:pPr>
      <w:r>
        <w:rPr>
          <w:rFonts w:ascii="宋体" w:hAnsi="宋体" w:cs="宋体"/>
          <w:b/>
          <w:bCs/>
          <w:sz w:val="24"/>
        </w:rPr>
        <w:br w:type="page"/>
      </w:r>
    </w:p>
    <w:p>
      <w:pPr>
        <w:pStyle w:val="6"/>
        <w:jc w:val="center"/>
        <w:rPr>
          <w:rFonts w:hAnsi="宋体" w:cs="宋体"/>
          <w:bdr w:val="single" w:color="auto" w:sz="4" w:space="0"/>
        </w:rPr>
      </w:pPr>
      <w:bookmarkStart w:id="122" w:name="_Toc54939209"/>
      <w:r>
        <w:rPr>
          <w:rFonts w:hint="eastAsia" w:hAnsi="宋体" w:cs="宋体"/>
        </w:rPr>
        <w:t>六、资格证明文件</w:t>
      </w:r>
      <w:bookmarkEnd w:id="121"/>
      <w:bookmarkEnd w:id="122"/>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10"/>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4、履行合同所必需的设备专业技术能力证明文件（由谈判响应人根据项目情况决定是否填写）；</w:t>
      </w:r>
    </w:p>
    <w:p>
      <w:pPr>
        <w:spacing w:line="360" w:lineRule="auto"/>
        <w:rPr>
          <w:rFonts w:ascii="宋体" w:hAnsi="宋体" w:cs="宋体"/>
          <w:szCs w:val="21"/>
        </w:rPr>
      </w:pPr>
      <w:r>
        <w:rPr>
          <w:rFonts w:hint="eastAsia" w:ascii="宋体" w:hAnsi="宋体" w:cs="宋体"/>
          <w:szCs w:val="21"/>
        </w:rPr>
        <w:t>（1）服务于本项目的专业设备一览表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2292" w:type="dxa"/>
            <w:vAlign w:val="center"/>
          </w:tcPr>
          <w:p>
            <w:pPr>
              <w:spacing w:line="360" w:lineRule="auto"/>
              <w:jc w:val="center"/>
              <w:rPr>
                <w:rFonts w:ascii="宋体" w:hAnsi="宋体" w:cs="宋体"/>
                <w:szCs w:val="21"/>
              </w:rPr>
            </w:pPr>
            <w:r>
              <w:rPr>
                <w:rFonts w:hint="eastAsia" w:ascii="宋体" w:hAnsi="宋体" w:cs="宋体"/>
                <w:szCs w:val="21"/>
              </w:rPr>
              <w:t>设备名称</w:t>
            </w:r>
          </w:p>
        </w:tc>
        <w:tc>
          <w:tcPr>
            <w:tcW w:w="1453" w:type="dxa"/>
            <w:vAlign w:val="center"/>
          </w:tcPr>
          <w:p>
            <w:pPr>
              <w:spacing w:line="360" w:lineRule="auto"/>
              <w:jc w:val="center"/>
              <w:rPr>
                <w:rFonts w:ascii="宋体" w:hAnsi="宋体" w:cs="宋体"/>
                <w:szCs w:val="21"/>
              </w:rPr>
            </w:pPr>
            <w:r>
              <w:rPr>
                <w:rFonts w:hint="eastAsia" w:ascii="宋体" w:hAnsi="宋体" w:cs="宋体"/>
                <w:szCs w:val="21"/>
              </w:rPr>
              <w:t>购入时间</w:t>
            </w:r>
          </w:p>
        </w:tc>
        <w:tc>
          <w:tcPr>
            <w:tcW w:w="934" w:type="dxa"/>
            <w:vAlign w:val="center"/>
          </w:tcPr>
          <w:p>
            <w:pPr>
              <w:spacing w:line="360" w:lineRule="auto"/>
              <w:jc w:val="center"/>
              <w:rPr>
                <w:rFonts w:ascii="宋体" w:hAnsi="宋体" w:cs="宋体"/>
                <w:szCs w:val="21"/>
              </w:rPr>
            </w:pPr>
            <w:r>
              <w:rPr>
                <w:rFonts w:hint="eastAsia" w:ascii="宋体" w:hAnsi="宋体" w:cs="宋体"/>
                <w:szCs w:val="21"/>
              </w:rPr>
              <w:t>价值</w:t>
            </w:r>
          </w:p>
        </w:tc>
        <w:tc>
          <w:tcPr>
            <w:tcW w:w="878" w:type="dxa"/>
            <w:vAlign w:val="center"/>
          </w:tcPr>
          <w:p>
            <w:pPr>
              <w:spacing w:line="360" w:lineRule="auto"/>
              <w:jc w:val="center"/>
              <w:rPr>
                <w:rFonts w:ascii="宋体" w:hAnsi="宋体" w:cs="宋体"/>
                <w:szCs w:val="21"/>
              </w:rPr>
            </w:pPr>
            <w:r>
              <w:rPr>
                <w:rFonts w:hint="eastAsia" w:ascii="宋体" w:hAnsi="宋体" w:cs="宋体"/>
                <w:szCs w:val="21"/>
              </w:rPr>
              <w:t>数量</w:t>
            </w:r>
          </w:p>
        </w:tc>
        <w:tc>
          <w:tcPr>
            <w:tcW w:w="1495" w:type="dxa"/>
            <w:vAlign w:val="center"/>
          </w:tcPr>
          <w:p>
            <w:pPr>
              <w:spacing w:line="360" w:lineRule="auto"/>
              <w:jc w:val="center"/>
              <w:rPr>
                <w:rFonts w:ascii="宋体" w:hAnsi="宋体" w:cs="宋体"/>
                <w:szCs w:val="21"/>
              </w:rPr>
            </w:pPr>
            <w:r>
              <w:rPr>
                <w:rFonts w:hint="eastAsia" w:ascii="宋体" w:hAnsi="宋体" w:cs="宋体"/>
                <w:szCs w:val="21"/>
              </w:rPr>
              <w:t>生产厂家</w:t>
            </w:r>
          </w:p>
        </w:tc>
        <w:tc>
          <w:tcPr>
            <w:tcW w:w="1504"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ind w:firstLine="420" w:firstLineChars="200"/>
              <w:rPr>
                <w:rFonts w:ascii="宋体" w:hAnsi="宋体" w:cs="宋体"/>
                <w:szCs w:val="21"/>
              </w:rPr>
            </w:pP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rPr>
                <w:rFonts w:ascii="宋体" w:hAnsi="宋体" w:cs="宋体"/>
                <w:szCs w:val="21"/>
              </w:rPr>
            </w:pPr>
            <w:r>
              <w:rPr>
                <w:rFonts w:hint="eastAsia" w:ascii="宋体" w:hAnsi="宋体" w:cs="宋体"/>
                <w:szCs w:val="21"/>
              </w:rPr>
              <w:t xml:space="preserve">    </w:t>
            </w: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ind w:firstLine="420" w:firstLineChars="200"/>
              <w:rPr>
                <w:rFonts w:ascii="宋体" w:hAnsi="宋体" w:cs="宋体"/>
                <w:szCs w:val="21"/>
              </w:rPr>
            </w:pP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（2）服务本项目人员一览表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987" w:type="dxa"/>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名称</w:t>
            </w:r>
          </w:p>
        </w:tc>
        <w:tc>
          <w:tcPr>
            <w:tcW w:w="1974" w:type="dxa"/>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szCs w:val="21"/>
              </w:rPr>
            </w:pPr>
            <w:r>
              <w:rPr>
                <w:rFonts w:hint="eastAsia" w:ascii="宋体" w:hAnsi="宋体" w:cs="宋体"/>
                <w:szCs w:val="21"/>
              </w:rPr>
              <w:t>管理人员</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szCs w:val="21"/>
              </w:rPr>
            </w:pPr>
            <w:r>
              <w:rPr>
                <w:rFonts w:hint="eastAsia" w:ascii="宋体" w:hAnsi="宋体" w:cs="宋体"/>
                <w:szCs w:val="21"/>
              </w:rPr>
              <w:t>技术人员</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szCs w:val="21"/>
              </w:rPr>
            </w:pPr>
            <w:r>
              <w:rPr>
                <w:rFonts w:hint="eastAsia" w:ascii="宋体" w:hAnsi="宋体" w:cs="宋体"/>
                <w:szCs w:val="21"/>
              </w:rPr>
              <w:t>其他</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bl>
    <w:p>
      <w:pPr>
        <w:spacing w:line="360" w:lineRule="auto"/>
        <w:ind w:firstLine="420" w:firstLineChars="200"/>
        <w:rPr>
          <w:rFonts w:ascii="宋体" w:hAnsi="宋体" w:cs="宋体"/>
          <w:bCs/>
          <w:kern w:val="0"/>
          <w:sz w:val="24"/>
          <w:szCs w:val="18"/>
        </w:rPr>
      </w:pPr>
      <w:r>
        <w:rPr>
          <w:rFonts w:hint="eastAsia" w:ascii="宋体" w:hAnsi="宋体" w:cs="宋体"/>
          <w:szCs w:val="21"/>
        </w:rPr>
        <w:t>5、本项目竞争性谈判文件中要求谈判响应人提供的其他资格条件证明材料。</w:t>
      </w:r>
    </w:p>
    <w:p>
      <w:pPr>
        <w:spacing w:line="360" w:lineRule="auto"/>
        <w:ind w:left="420" w:leftChars="200"/>
        <w:jc w:val="center"/>
        <w:rPr>
          <w:rFonts w:ascii="宋体" w:hAnsi="宋体" w:cs="宋体"/>
          <w:b/>
          <w:kern w:val="0"/>
          <w:sz w:val="24"/>
          <w:szCs w:val="18"/>
        </w:rPr>
      </w:pPr>
      <w:r>
        <w:rPr>
          <w:rFonts w:hint="eastAsia" w:ascii="宋体" w:hAnsi="宋体" w:cs="宋体"/>
          <w:bCs/>
          <w:kern w:val="0"/>
          <w:sz w:val="24"/>
          <w:szCs w:val="18"/>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kern w:val="0"/>
          <w:sz w:val="24"/>
          <w:szCs w:val="18"/>
        </w:rPr>
        <w:t xml:space="preserve">                             声明</w:t>
      </w:r>
    </w:p>
    <w:p>
      <w:pPr>
        <w:spacing w:line="360" w:lineRule="auto"/>
        <w:ind w:firstLine="420" w:firstLineChars="200"/>
        <w:rPr>
          <w:rFonts w:ascii="宋体" w:hAnsi="宋体" w:cs="宋体"/>
          <w:szCs w:val="21"/>
        </w:rPr>
      </w:pPr>
      <w:r>
        <w:rPr>
          <w:rFonts w:hint="eastAsia" w:ascii="宋体" w:hAnsi="宋体" w:cs="宋体"/>
          <w:szCs w:val="21"/>
        </w:rPr>
        <w:t>致:安庆职业技术学院</w:t>
      </w:r>
    </w:p>
    <w:p>
      <w:pPr>
        <w:spacing w:line="360" w:lineRule="auto"/>
        <w:ind w:firstLine="420" w:firstLineChars="200"/>
        <w:rPr>
          <w:rFonts w:ascii="宋体" w:hAnsi="宋体" w:cs="宋体"/>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szCs w:val="21"/>
        </w:rPr>
        <w:t>，包括：</w:t>
      </w:r>
    </w:p>
    <w:p>
      <w:pPr>
        <w:spacing w:line="360" w:lineRule="auto"/>
        <w:ind w:firstLine="420" w:firstLineChars="200"/>
        <w:rPr>
          <w:rFonts w:ascii="宋体" w:hAnsi="宋体" w:cs="宋体"/>
          <w:szCs w:val="21"/>
        </w:rPr>
      </w:pPr>
      <w:r>
        <w:rPr>
          <w:rFonts w:hint="eastAsia" w:ascii="宋体" w:hAnsi="宋体" w:cs="宋体"/>
          <w:szCs w:val="21"/>
        </w:rPr>
        <w:t>因违法经营受到刑事处罚或者责令停产停业、吊销许可证或者执照、较大数额罚款等行政处罚。</w:t>
      </w:r>
    </w:p>
    <w:p>
      <w:pPr>
        <w:spacing w:line="360" w:lineRule="auto"/>
        <w:ind w:firstLine="420" w:firstLineChars="200"/>
        <w:rPr>
          <w:rFonts w:ascii="宋体" w:hAnsi="宋体" w:cs="宋体"/>
          <w:szCs w:val="21"/>
        </w:rPr>
      </w:pP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 xml:space="preserve">特此声明！                             </w:t>
      </w:r>
    </w:p>
    <w:p>
      <w:pPr>
        <w:spacing w:line="360" w:lineRule="auto"/>
        <w:ind w:firstLine="420" w:firstLineChars="200"/>
        <w:rPr>
          <w:rFonts w:ascii="宋体" w:hAnsi="宋体" w:cs="宋体"/>
          <w:szCs w:val="21"/>
        </w:rPr>
      </w:pPr>
      <w:r>
        <w:rPr>
          <w:rFonts w:hint="eastAsia" w:ascii="宋体" w:hAnsi="宋体" w:cs="宋体"/>
          <w:szCs w:val="21"/>
        </w:rPr>
        <w:t xml:space="preserve">                                            谈判响应人名称（盖章）：                        </w:t>
      </w:r>
    </w:p>
    <w:p>
      <w:pPr>
        <w:spacing w:line="360" w:lineRule="auto"/>
        <w:ind w:firstLine="420" w:firstLineChars="200"/>
        <w:rPr>
          <w:rFonts w:ascii="宋体" w:hAnsi="宋体" w:cs="宋体"/>
          <w:szCs w:val="21"/>
        </w:rPr>
      </w:pPr>
      <w:r>
        <w:rPr>
          <w:rFonts w:hint="eastAsia" w:ascii="宋体" w:hAnsi="宋体" w:cs="宋体"/>
          <w:szCs w:val="21"/>
        </w:rPr>
        <w:t xml:space="preserve">                                            法定代表人或委托代理人（签字或盖章）：                </w:t>
      </w:r>
    </w:p>
    <w:p>
      <w:pPr>
        <w:spacing w:line="360" w:lineRule="auto"/>
        <w:ind w:firstLine="420" w:firstLineChars="200"/>
        <w:rPr>
          <w:rFonts w:ascii="宋体" w:hAnsi="宋体" w:cs="宋体"/>
          <w:szCs w:val="21"/>
        </w:rPr>
      </w:pPr>
      <w:r>
        <w:rPr>
          <w:rFonts w:hint="eastAsia" w:ascii="宋体" w:hAnsi="宋体" w:cs="宋体"/>
          <w:szCs w:val="21"/>
        </w:rPr>
        <w:t xml:space="preserve">                                            日期：        年       月       日</w:t>
      </w:r>
    </w:p>
    <w:p>
      <w:pPr>
        <w:pStyle w:val="55"/>
        <w:spacing w:line="360" w:lineRule="auto"/>
        <w:ind w:left="420" w:firstLine="0" w:firstLineChars="0"/>
        <w:rPr>
          <w:rFonts w:ascii="宋体" w:hAnsi="宋体"/>
          <w:b/>
          <w:szCs w:val="21"/>
        </w:rPr>
      </w:pPr>
      <w:r>
        <w:rPr>
          <w:rFonts w:hint="eastAsia" w:ascii="宋体" w:hAnsi="宋体" w:cs="宋体"/>
          <w:szCs w:val="21"/>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szCs w:val="21"/>
        </w:rPr>
        <w:t>法定代表人或委托代理人（签字或盖章）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cs="宋体"/>
          <w:szCs w:val="21"/>
        </w:rPr>
      </w:pPr>
    </w:p>
    <w:p>
      <w:pPr>
        <w:widowControl/>
        <w:spacing w:line="500" w:lineRule="exact"/>
        <w:ind w:firstLine="420" w:firstLineChars="200"/>
        <w:jc w:val="left"/>
        <w:rPr>
          <w:rFonts w:ascii="宋体" w:hAnsi="宋体" w:cs="宋体"/>
          <w:szCs w:val="21"/>
        </w:rPr>
      </w:pPr>
      <w:r>
        <w:rPr>
          <w:rFonts w:hint="eastAsia" w:ascii="宋体" w:hAnsi="宋体" w:cs="宋体"/>
          <w:szCs w:val="21"/>
        </w:rPr>
        <w:t>8、一个完整年度（2018年或2019年或2020年）财务会计报表；</w:t>
      </w:r>
    </w:p>
    <w:p>
      <w:pPr>
        <w:widowControl/>
        <w:spacing w:line="500" w:lineRule="exact"/>
        <w:ind w:firstLine="420" w:firstLineChars="200"/>
        <w:jc w:val="left"/>
        <w:rPr>
          <w:rFonts w:ascii="宋体" w:hAnsi="宋体" w:cs="宋体"/>
          <w:szCs w:val="21"/>
        </w:rPr>
      </w:pPr>
      <w:r>
        <w:rPr>
          <w:rFonts w:hint="eastAsia" w:ascii="宋体" w:hAnsi="宋体" w:cs="宋体"/>
          <w:szCs w:val="21"/>
        </w:rPr>
        <w:t>　　　如谈判响应人为新成立的供应商，请提供上一月度（或季度）财务会计报表</w:t>
      </w:r>
    </w:p>
    <w:p>
      <w:pPr>
        <w:widowControl/>
        <w:spacing w:line="500" w:lineRule="exact"/>
        <w:ind w:firstLine="420" w:firstLineChars="200"/>
        <w:jc w:val="left"/>
        <w:rPr>
          <w:rFonts w:ascii="宋体" w:hAnsi="宋体" w:cs="宋体"/>
          <w:szCs w:val="21"/>
        </w:rPr>
      </w:pPr>
      <w:r>
        <w:rPr>
          <w:rFonts w:hint="eastAsia" w:ascii="宋体" w:hAnsi="宋体" w:cs="宋体"/>
          <w:szCs w:val="21"/>
        </w:rPr>
        <w:t>9、本项目竞争性谈判文件中要求谈判响应人提供的其他资格条件证明材料</w:t>
      </w:r>
    </w:p>
    <w:p>
      <w:pPr>
        <w:widowControl/>
        <w:spacing w:line="500" w:lineRule="exact"/>
        <w:ind w:firstLine="420" w:firstLineChars="200"/>
        <w:jc w:val="left"/>
        <w:rPr>
          <w:rFonts w:ascii="宋体" w:hAnsi="宋体" w:cs="宋体"/>
          <w:szCs w:val="21"/>
        </w:rPr>
      </w:pPr>
      <w:r>
        <w:rPr>
          <w:rFonts w:hint="eastAsia" w:ascii="宋体" w:hAnsi="宋体" w:cs="宋体"/>
          <w:szCs w:val="21"/>
        </w:rPr>
        <w:t>10、须提供上述资格证明文件复印件或扫描件或影印件。</w:t>
      </w: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spacing w:line="360" w:lineRule="auto"/>
        <w:jc w:val="left"/>
        <w:rPr>
          <w:rFonts w:ascii="宋体" w:hAnsi="宋体" w:cs="宋体"/>
          <w:b/>
          <w:sz w:val="24"/>
        </w:rPr>
      </w:pPr>
      <w:r>
        <w:rPr>
          <w:rFonts w:hint="eastAsia" w:ascii="宋体" w:hAnsi="宋体" w:cs="宋体"/>
          <w:b/>
          <w:sz w:val="24"/>
        </w:rPr>
        <w:t>附 件：</w:t>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授权书</w:t>
      </w:r>
    </w:p>
    <w:p>
      <w:pPr>
        <w:pStyle w:val="11"/>
        <w:snapToGrid w:val="0"/>
        <w:spacing w:line="360" w:lineRule="auto"/>
        <w:ind w:firstLine="480" w:firstLineChars="200"/>
        <w:jc w:val="left"/>
        <w:rPr>
          <w:rFonts w:hAnsi="宋体"/>
          <w:sz w:val="24"/>
          <w:szCs w:val="28"/>
        </w:rPr>
      </w:pPr>
    </w:p>
    <w:p>
      <w:pPr>
        <w:pStyle w:val="11"/>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11"/>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w:t>
      </w:r>
    </w:p>
    <w:p>
      <w:pPr>
        <w:pStyle w:val="11"/>
        <w:snapToGrid w:val="0"/>
        <w:spacing w:line="360" w:lineRule="auto"/>
        <w:ind w:firstLine="480" w:firstLineChars="200"/>
        <w:jc w:val="left"/>
        <w:rPr>
          <w:rFonts w:hAnsi="宋体"/>
          <w:sz w:val="24"/>
        </w:rPr>
      </w:pPr>
    </w:p>
    <w:p>
      <w:pPr>
        <w:pStyle w:val="11"/>
        <w:snapToGrid w:val="0"/>
        <w:spacing w:line="360" w:lineRule="auto"/>
        <w:ind w:firstLine="480" w:firstLineChars="200"/>
        <w:jc w:val="left"/>
        <w:rPr>
          <w:rFonts w:hAnsi="宋体"/>
          <w:sz w:val="24"/>
          <w:szCs w:val="28"/>
        </w:rPr>
      </w:pPr>
      <w:r>
        <w:rPr>
          <w:rFonts w:hint="eastAsia" w:hAnsi="宋体"/>
          <w:sz w:val="24"/>
          <w:szCs w:val="28"/>
        </w:rPr>
        <w:t>授权代表联系方式：</w:t>
      </w:r>
      <w:r>
        <w:rPr>
          <w:rFonts w:hint="eastAsia" w:hAnsi="宋体"/>
          <w:sz w:val="24"/>
          <w:szCs w:val="28"/>
          <w:u w:val="single"/>
        </w:rPr>
        <w:t xml:space="preserve">          （填写手机号码）</w:t>
      </w:r>
    </w:p>
    <w:p>
      <w:pPr>
        <w:spacing w:line="360" w:lineRule="auto"/>
        <w:ind w:firstLine="360" w:firstLineChars="150"/>
        <w:rPr>
          <w:rFonts w:ascii="宋体" w:hAnsi="宋体"/>
          <w:sz w:val="24"/>
          <w:szCs w:val="28"/>
        </w:rPr>
      </w:pPr>
      <w:r>
        <w:rPr>
          <w:rFonts w:hint="eastAsia" w:ascii="宋体" w:hAnsi="宋体"/>
          <w:sz w:val="24"/>
          <w:szCs w:val="28"/>
        </w:rPr>
        <w:t>特此声明。</w:t>
      </w:r>
    </w:p>
    <w:p>
      <w:pPr>
        <w:spacing w:line="360" w:lineRule="auto"/>
        <w:ind w:firstLine="4800" w:firstLineChars="2000"/>
        <w:rPr>
          <w:rFonts w:ascii="宋体" w:hAnsi="宋体"/>
          <w:bCs/>
          <w:sz w:val="24"/>
          <w:szCs w:val="28"/>
        </w:rPr>
      </w:pPr>
      <w:r>
        <w:rPr>
          <w:rFonts w:hint="eastAsia" w:ascii="宋体" w:hAnsi="宋体"/>
          <w:bCs/>
          <w:sz w:val="24"/>
          <w:szCs w:val="28"/>
        </w:rPr>
        <w:t>供应商签章：</w:t>
      </w:r>
      <w:r>
        <w:rPr>
          <w:rFonts w:hint="eastAsia" w:ascii="宋体" w:hAnsi="宋体"/>
          <w:bCs/>
          <w:sz w:val="24"/>
          <w:szCs w:val="28"/>
          <w:u w:val="single"/>
        </w:rPr>
        <w:t xml:space="preserve">                    </w:t>
      </w:r>
    </w:p>
    <w:p>
      <w:pPr>
        <w:spacing w:line="360" w:lineRule="auto"/>
        <w:ind w:firstLine="5040" w:firstLineChars="2100"/>
        <w:rPr>
          <w:rFonts w:ascii="宋体" w:hAnsi="宋体"/>
          <w:sz w:val="24"/>
          <w:szCs w:val="28"/>
        </w:rPr>
      </w:pPr>
      <w:r>
        <w:rPr>
          <w:rFonts w:hint="eastAsia" w:ascii="宋体" w:hAnsi="宋体"/>
          <w:sz w:val="24"/>
          <w:szCs w:val="28"/>
        </w:rPr>
        <w:t>日    期：</w:t>
      </w:r>
      <w:r>
        <w:rPr>
          <w:rFonts w:hint="eastAsia" w:ascii="宋体" w:hAnsi="宋体"/>
          <w:bCs/>
          <w:sz w:val="24"/>
          <w:szCs w:val="28"/>
          <w:u w:val="single"/>
        </w:rPr>
        <w:t xml:space="preserve">                    </w:t>
      </w:r>
    </w:p>
    <w:p>
      <w:pPr>
        <w:pStyle w:val="11"/>
        <w:snapToGrid w:val="0"/>
        <w:spacing w:line="360" w:lineRule="auto"/>
        <w:jc w:val="left"/>
        <w:rPr>
          <w:rFonts w:hAnsi="宋体"/>
          <w:sz w:val="24"/>
          <w:szCs w:val="28"/>
        </w:rPr>
      </w:pPr>
      <w:r>
        <w:rPr>
          <w:rFonts w:hint="eastAsia" w:hAnsi="宋体"/>
          <w:sz w:val="24"/>
          <w:szCs w:val="28"/>
        </w:rPr>
        <w:t>注：</w:t>
      </w:r>
    </w:p>
    <w:p>
      <w:pPr>
        <w:pStyle w:val="11"/>
        <w:snapToGrid w:val="0"/>
        <w:spacing w:line="360" w:lineRule="auto"/>
        <w:ind w:firstLine="720" w:firstLineChars="300"/>
        <w:jc w:val="left"/>
        <w:rPr>
          <w:rFonts w:hAnsi="宋体"/>
          <w:sz w:val="24"/>
          <w:szCs w:val="28"/>
        </w:rPr>
      </w:pPr>
      <w:r>
        <w:rPr>
          <w:rFonts w:hint="eastAsia" w:hAnsi="宋体"/>
          <w:sz w:val="24"/>
          <w:szCs w:val="28"/>
        </w:rPr>
        <w:t>1.本项目只允许有唯一的供应商授权代表，提供身份证明扫描件；</w:t>
      </w:r>
    </w:p>
    <w:p>
      <w:pPr>
        <w:wordWrap w:val="0"/>
        <w:spacing w:line="360" w:lineRule="auto"/>
        <w:ind w:right="480" w:firstLine="720" w:firstLineChars="300"/>
        <w:rPr>
          <w:rFonts w:ascii="宋体" w:hAnsi="宋体" w:cs="宋体"/>
          <w:szCs w:val="21"/>
        </w:rPr>
      </w:pPr>
      <w:r>
        <w:rPr>
          <w:rFonts w:hint="eastAsia" w:hAnsi="宋体"/>
          <w:sz w:val="24"/>
          <w:szCs w:val="28"/>
        </w:rPr>
        <w:t>2.法定代表人参加谈判的无需提供授权书，提供身份证明扫描件和营业执照复印件。</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45</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45</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szCs w:val="21"/>
      </w:rPr>
    </w:pPr>
    <w:r>
      <w:rPr>
        <w:rFonts w:hint="eastAsia"/>
        <w:szCs w:val="21"/>
      </w:rPr>
      <w:t xml:space="preserve">                                   </w:t>
    </w:r>
    <w:r>
      <w:rPr>
        <w:rFonts w:hint="eastAsia"/>
        <w:szCs w:val="21"/>
        <w:lang w:eastAsia="zh-CN"/>
      </w:rPr>
      <w:t>安庆职业技术学院画室改造装饰</w:t>
    </w:r>
    <w:r>
      <w:rPr>
        <w:rFonts w:hint="eastAsia"/>
        <w:szCs w:val="21"/>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65543"/>
    <w:multiLevelType w:val="singleLevel"/>
    <w:tmpl w:val="C0065543"/>
    <w:lvl w:ilvl="0" w:tentative="0">
      <w:start w:val="2"/>
      <w:numFmt w:val="decimal"/>
      <w:suff w:val="space"/>
      <w:lvlText w:val="%1."/>
      <w:lvlJc w:val="left"/>
    </w:lvl>
  </w:abstractNum>
  <w:abstractNum w:abstractNumId="1">
    <w:nsid w:val="C4E0FDBE"/>
    <w:multiLevelType w:val="singleLevel"/>
    <w:tmpl w:val="C4E0FDBE"/>
    <w:lvl w:ilvl="0" w:tentative="0">
      <w:start w:val="1"/>
      <w:numFmt w:val="lowerLetter"/>
      <w:suff w:val="space"/>
      <w:lvlText w:val="%1."/>
      <w:lvlJc w:val="left"/>
    </w:lvl>
  </w:abstractNum>
  <w:abstractNum w:abstractNumId="2">
    <w:nsid w:val="ED7967D1"/>
    <w:multiLevelType w:val="singleLevel"/>
    <w:tmpl w:val="ED7967D1"/>
    <w:lvl w:ilvl="0" w:tentative="0">
      <w:start w:val="7"/>
      <w:numFmt w:val="chineseCounting"/>
      <w:suff w:val="nothing"/>
      <w:lvlText w:val="%1、"/>
      <w:lvlJc w:val="left"/>
      <w:rPr>
        <w:rFonts w:hint="eastAsia"/>
      </w:rPr>
    </w:lvl>
  </w:abstractNum>
  <w:abstractNum w:abstractNumId="3">
    <w:nsid w:val="EF5A27C6"/>
    <w:multiLevelType w:val="singleLevel"/>
    <w:tmpl w:val="EF5A27C6"/>
    <w:lvl w:ilvl="0" w:tentative="0">
      <w:start w:val="1"/>
      <w:numFmt w:val="lowerLetter"/>
      <w:suff w:val="space"/>
      <w:lvlText w:val="%1."/>
      <w:lvlJc w:val="left"/>
    </w:lvl>
  </w:abstractNum>
  <w:abstractNum w:abstractNumId="4">
    <w:nsid w:val="15377CE0"/>
    <w:multiLevelType w:val="singleLevel"/>
    <w:tmpl w:val="15377CE0"/>
    <w:lvl w:ilvl="0" w:tentative="0">
      <w:start w:val="1"/>
      <w:numFmt w:val="lowerLetter"/>
      <w:suff w:val="space"/>
      <w:lvlText w:val="%1."/>
      <w:lvlJc w:val="left"/>
    </w:lvl>
  </w:abstractNum>
  <w:abstractNum w:abstractNumId="5">
    <w:nsid w:val="58D9DD69"/>
    <w:multiLevelType w:val="singleLevel"/>
    <w:tmpl w:val="58D9DD69"/>
    <w:lvl w:ilvl="0" w:tentative="0">
      <w:start w:val="3"/>
      <w:numFmt w:val="decimal"/>
      <w:suff w:val="nothing"/>
      <w:lvlText w:val="%1、"/>
      <w:lvlJc w:val="left"/>
    </w:lvl>
  </w:abstractNum>
  <w:abstractNum w:abstractNumId="6">
    <w:nsid w:val="58DE129E"/>
    <w:multiLevelType w:val="singleLevel"/>
    <w:tmpl w:val="58DE129E"/>
    <w:lvl w:ilvl="0" w:tentative="0">
      <w:start w:val="4"/>
      <w:numFmt w:val="chineseCounting"/>
      <w:suff w:val="nothing"/>
      <w:lvlText w:val="%1、"/>
      <w:lvlJc w:val="left"/>
    </w:lvl>
  </w:abstractNum>
  <w:abstractNum w:abstractNumId="7">
    <w:nsid w:val="590BEEFE"/>
    <w:multiLevelType w:val="singleLevel"/>
    <w:tmpl w:val="590BEEFE"/>
    <w:lvl w:ilvl="0" w:tentative="0">
      <w:start w:val="13"/>
      <w:numFmt w:val="decimal"/>
      <w:suff w:val="nothing"/>
      <w:lvlText w:val="%1、"/>
      <w:lvlJc w:val="left"/>
    </w:lvl>
  </w:abstractNum>
  <w:abstractNum w:abstractNumId="8">
    <w:nsid w:val="59427873"/>
    <w:multiLevelType w:val="singleLevel"/>
    <w:tmpl w:val="59427873"/>
    <w:lvl w:ilvl="0" w:tentative="0">
      <w:start w:val="1"/>
      <w:numFmt w:val="lowerLetter"/>
      <w:suff w:val="space"/>
      <w:lvlText w:val="%1."/>
      <w:lvlJc w:val="left"/>
    </w:lvl>
  </w:abstractNum>
  <w:abstractNum w:abstractNumId="9">
    <w:nsid w:val="6F9C3AE0"/>
    <w:multiLevelType w:val="singleLevel"/>
    <w:tmpl w:val="6F9C3AE0"/>
    <w:lvl w:ilvl="0" w:tentative="0">
      <w:start w:val="11"/>
      <w:numFmt w:val="decimal"/>
      <w:suff w:val="space"/>
      <w:lvlText w:val="%1."/>
      <w:lvlJc w:val="left"/>
    </w:lvl>
  </w:abstractNum>
  <w:num w:numId="1">
    <w:abstractNumId w:val="7"/>
  </w:num>
  <w:num w:numId="2">
    <w:abstractNumId w:val="6"/>
  </w:num>
  <w:num w:numId="3">
    <w:abstractNumId w:val="0"/>
  </w:num>
  <w:num w:numId="4">
    <w:abstractNumId w:val="9"/>
  </w:num>
  <w:num w:numId="5">
    <w:abstractNumId w:val="1"/>
  </w:num>
  <w:num w:numId="6">
    <w:abstractNumId w:val="2"/>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140F"/>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0B4"/>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4F65"/>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2B52"/>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87AD0"/>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4976"/>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3D3"/>
    <w:rsid w:val="00F474A7"/>
    <w:rsid w:val="00F51CFD"/>
    <w:rsid w:val="00F51D8D"/>
    <w:rsid w:val="00F55580"/>
    <w:rsid w:val="00F61383"/>
    <w:rsid w:val="00F61E09"/>
    <w:rsid w:val="00F61FF8"/>
    <w:rsid w:val="00F6226E"/>
    <w:rsid w:val="00F63116"/>
    <w:rsid w:val="00F632AC"/>
    <w:rsid w:val="00F632C4"/>
    <w:rsid w:val="00F6381F"/>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47F6D"/>
    <w:rsid w:val="01195173"/>
    <w:rsid w:val="013037ED"/>
    <w:rsid w:val="018A44B4"/>
    <w:rsid w:val="01922DC9"/>
    <w:rsid w:val="019924DC"/>
    <w:rsid w:val="019C237B"/>
    <w:rsid w:val="01A9238F"/>
    <w:rsid w:val="01BB72E8"/>
    <w:rsid w:val="01E2540A"/>
    <w:rsid w:val="020F6D54"/>
    <w:rsid w:val="021A1EAD"/>
    <w:rsid w:val="02316790"/>
    <w:rsid w:val="023B4D63"/>
    <w:rsid w:val="023E4914"/>
    <w:rsid w:val="02606320"/>
    <w:rsid w:val="026F2CC5"/>
    <w:rsid w:val="02734C55"/>
    <w:rsid w:val="02D57437"/>
    <w:rsid w:val="02E9052A"/>
    <w:rsid w:val="02F10E60"/>
    <w:rsid w:val="03120DBB"/>
    <w:rsid w:val="031778E3"/>
    <w:rsid w:val="031B0030"/>
    <w:rsid w:val="03387229"/>
    <w:rsid w:val="034340B9"/>
    <w:rsid w:val="03443A6F"/>
    <w:rsid w:val="03724537"/>
    <w:rsid w:val="03851ED2"/>
    <w:rsid w:val="038F23D0"/>
    <w:rsid w:val="0397390E"/>
    <w:rsid w:val="03A96165"/>
    <w:rsid w:val="03F44933"/>
    <w:rsid w:val="03FE22DC"/>
    <w:rsid w:val="04043AA5"/>
    <w:rsid w:val="040F0FC8"/>
    <w:rsid w:val="041E7ACD"/>
    <w:rsid w:val="04201B8B"/>
    <w:rsid w:val="04237D15"/>
    <w:rsid w:val="04245C53"/>
    <w:rsid w:val="04382BE0"/>
    <w:rsid w:val="043E7102"/>
    <w:rsid w:val="045E7194"/>
    <w:rsid w:val="0477350E"/>
    <w:rsid w:val="04875DFF"/>
    <w:rsid w:val="048D42C4"/>
    <w:rsid w:val="0498643B"/>
    <w:rsid w:val="04A006E1"/>
    <w:rsid w:val="04BF597B"/>
    <w:rsid w:val="04CB32CC"/>
    <w:rsid w:val="04E36D3F"/>
    <w:rsid w:val="04E50C1D"/>
    <w:rsid w:val="04FD4494"/>
    <w:rsid w:val="051A65C3"/>
    <w:rsid w:val="05244A1E"/>
    <w:rsid w:val="052E1C9F"/>
    <w:rsid w:val="052E7D0D"/>
    <w:rsid w:val="0531200C"/>
    <w:rsid w:val="053D22D7"/>
    <w:rsid w:val="053E109C"/>
    <w:rsid w:val="054C6411"/>
    <w:rsid w:val="05644035"/>
    <w:rsid w:val="05A14822"/>
    <w:rsid w:val="05BD1AA1"/>
    <w:rsid w:val="05E002BE"/>
    <w:rsid w:val="05E35B59"/>
    <w:rsid w:val="05F35EB0"/>
    <w:rsid w:val="0616034C"/>
    <w:rsid w:val="061652FD"/>
    <w:rsid w:val="062275FA"/>
    <w:rsid w:val="063B4D88"/>
    <w:rsid w:val="06481AD4"/>
    <w:rsid w:val="064E5990"/>
    <w:rsid w:val="06521913"/>
    <w:rsid w:val="06567772"/>
    <w:rsid w:val="06697ACC"/>
    <w:rsid w:val="06805122"/>
    <w:rsid w:val="06850BBF"/>
    <w:rsid w:val="069353D8"/>
    <w:rsid w:val="06952ADA"/>
    <w:rsid w:val="06A5679D"/>
    <w:rsid w:val="06A85231"/>
    <w:rsid w:val="06DF7532"/>
    <w:rsid w:val="06F36A08"/>
    <w:rsid w:val="06F94826"/>
    <w:rsid w:val="06FB1E54"/>
    <w:rsid w:val="071B4038"/>
    <w:rsid w:val="07422C6F"/>
    <w:rsid w:val="07632295"/>
    <w:rsid w:val="07655DB3"/>
    <w:rsid w:val="076E24E5"/>
    <w:rsid w:val="07733C89"/>
    <w:rsid w:val="078443C1"/>
    <w:rsid w:val="07AE4DBF"/>
    <w:rsid w:val="07AF4527"/>
    <w:rsid w:val="07BD391F"/>
    <w:rsid w:val="07DA0583"/>
    <w:rsid w:val="07E357C9"/>
    <w:rsid w:val="0838737A"/>
    <w:rsid w:val="08444D9F"/>
    <w:rsid w:val="08511F00"/>
    <w:rsid w:val="087A5C75"/>
    <w:rsid w:val="087F1843"/>
    <w:rsid w:val="088A4392"/>
    <w:rsid w:val="089935B7"/>
    <w:rsid w:val="08AA4743"/>
    <w:rsid w:val="08D12404"/>
    <w:rsid w:val="08DA0D79"/>
    <w:rsid w:val="0927319F"/>
    <w:rsid w:val="092B3141"/>
    <w:rsid w:val="09324CAE"/>
    <w:rsid w:val="097517AF"/>
    <w:rsid w:val="097A7948"/>
    <w:rsid w:val="09890446"/>
    <w:rsid w:val="098C68F8"/>
    <w:rsid w:val="0997713D"/>
    <w:rsid w:val="09AC4724"/>
    <w:rsid w:val="09B87F24"/>
    <w:rsid w:val="09F95F96"/>
    <w:rsid w:val="09FA4F71"/>
    <w:rsid w:val="0A0334B3"/>
    <w:rsid w:val="0A0D26BB"/>
    <w:rsid w:val="0A19239D"/>
    <w:rsid w:val="0A3C1CA7"/>
    <w:rsid w:val="0A461924"/>
    <w:rsid w:val="0A4B61C6"/>
    <w:rsid w:val="0A6D3720"/>
    <w:rsid w:val="0A901CC5"/>
    <w:rsid w:val="0AB40778"/>
    <w:rsid w:val="0ACE4FC1"/>
    <w:rsid w:val="0AD07978"/>
    <w:rsid w:val="0B072024"/>
    <w:rsid w:val="0B0914F5"/>
    <w:rsid w:val="0B0F0824"/>
    <w:rsid w:val="0B110D86"/>
    <w:rsid w:val="0B1A0EC4"/>
    <w:rsid w:val="0B1C5187"/>
    <w:rsid w:val="0B220186"/>
    <w:rsid w:val="0B2916C2"/>
    <w:rsid w:val="0B2A07B0"/>
    <w:rsid w:val="0B332287"/>
    <w:rsid w:val="0B5A4735"/>
    <w:rsid w:val="0B736FD8"/>
    <w:rsid w:val="0B91761E"/>
    <w:rsid w:val="0B97165A"/>
    <w:rsid w:val="0BCA33E7"/>
    <w:rsid w:val="0BE77B0B"/>
    <w:rsid w:val="0C1C01DE"/>
    <w:rsid w:val="0C597572"/>
    <w:rsid w:val="0C83295D"/>
    <w:rsid w:val="0C89471E"/>
    <w:rsid w:val="0C907A80"/>
    <w:rsid w:val="0CAE5CFF"/>
    <w:rsid w:val="0D072DFE"/>
    <w:rsid w:val="0D2152D7"/>
    <w:rsid w:val="0D3E4270"/>
    <w:rsid w:val="0D494161"/>
    <w:rsid w:val="0D4F57E4"/>
    <w:rsid w:val="0D632F8F"/>
    <w:rsid w:val="0D6669BD"/>
    <w:rsid w:val="0DAA06C6"/>
    <w:rsid w:val="0DC64678"/>
    <w:rsid w:val="0DCB05AE"/>
    <w:rsid w:val="0DF70178"/>
    <w:rsid w:val="0DF94899"/>
    <w:rsid w:val="0DFA1324"/>
    <w:rsid w:val="0E271FC9"/>
    <w:rsid w:val="0E32410D"/>
    <w:rsid w:val="0E487583"/>
    <w:rsid w:val="0E9223D5"/>
    <w:rsid w:val="0EA86D69"/>
    <w:rsid w:val="0EB14180"/>
    <w:rsid w:val="0EBC4E69"/>
    <w:rsid w:val="0EDD408A"/>
    <w:rsid w:val="0EEF0168"/>
    <w:rsid w:val="0EF64818"/>
    <w:rsid w:val="0EFB37A0"/>
    <w:rsid w:val="0F137FA4"/>
    <w:rsid w:val="0F2B317B"/>
    <w:rsid w:val="0F3D389D"/>
    <w:rsid w:val="0F434292"/>
    <w:rsid w:val="0F8236D5"/>
    <w:rsid w:val="0FA65B55"/>
    <w:rsid w:val="0FC55235"/>
    <w:rsid w:val="0FD05E00"/>
    <w:rsid w:val="0FDC58DC"/>
    <w:rsid w:val="1009280B"/>
    <w:rsid w:val="100E134E"/>
    <w:rsid w:val="10264018"/>
    <w:rsid w:val="104A2CE1"/>
    <w:rsid w:val="1050087E"/>
    <w:rsid w:val="107E4A72"/>
    <w:rsid w:val="10B2256F"/>
    <w:rsid w:val="10C17787"/>
    <w:rsid w:val="10C64A93"/>
    <w:rsid w:val="10DC68D5"/>
    <w:rsid w:val="112F2B2C"/>
    <w:rsid w:val="11355366"/>
    <w:rsid w:val="11641478"/>
    <w:rsid w:val="11803EC2"/>
    <w:rsid w:val="11A03675"/>
    <w:rsid w:val="11A825A9"/>
    <w:rsid w:val="11AC730F"/>
    <w:rsid w:val="11BC1C1F"/>
    <w:rsid w:val="11BD06D7"/>
    <w:rsid w:val="11C735A4"/>
    <w:rsid w:val="11CF1EF1"/>
    <w:rsid w:val="11EA2CE5"/>
    <w:rsid w:val="11F27F7D"/>
    <w:rsid w:val="12050414"/>
    <w:rsid w:val="121A40C0"/>
    <w:rsid w:val="12486B77"/>
    <w:rsid w:val="12633BA5"/>
    <w:rsid w:val="126D2AE8"/>
    <w:rsid w:val="12933A7D"/>
    <w:rsid w:val="12994AF8"/>
    <w:rsid w:val="12AE6B32"/>
    <w:rsid w:val="12C43EF0"/>
    <w:rsid w:val="12C4475B"/>
    <w:rsid w:val="12D6647C"/>
    <w:rsid w:val="12F81468"/>
    <w:rsid w:val="1328725E"/>
    <w:rsid w:val="132B46CB"/>
    <w:rsid w:val="1347382D"/>
    <w:rsid w:val="135421F8"/>
    <w:rsid w:val="135C0074"/>
    <w:rsid w:val="13616BDF"/>
    <w:rsid w:val="13753967"/>
    <w:rsid w:val="13A1080A"/>
    <w:rsid w:val="13C2533C"/>
    <w:rsid w:val="13DF2D80"/>
    <w:rsid w:val="13EB17D3"/>
    <w:rsid w:val="13FF717E"/>
    <w:rsid w:val="140C3B2C"/>
    <w:rsid w:val="142A4E08"/>
    <w:rsid w:val="14396A3C"/>
    <w:rsid w:val="145C6A1A"/>
    <w:rsid w:val="145E59DA"/>
    <w:rsid w:val="146B3973"/>
    <w:rsid w:val="14BB77D1"/>
    <w:rsid w:val="14D8207C"/>
    <w:rsid w:val="14DA386A"/>
    <w:rsid w:val="14E42898"/>
    <w:rsid w:val="14F224D3"/>
    <w:rsid w:val="14FF6569"/>
    <w:rsid w:val="15021C7C"/>
    <w:rsid w:val="15073605"/>
    <w:rsid w:val="1516320B"/>
    <w:rsid w:val="152A4236"/>
    <w:rsid w:val="15314717"/>
    <w:rsid w:val="155807CF"/>
    <w:rsid w:val="15616F60"/>
    <w:rsid w:val="156944AA"/>
    <w:rsid w:val="15786FC5"/>
    <w:rsid w:val="158546EC"/>
    <w:rsid w:val="15AA1BFD"/>
    <w:rsid w:val="15C218D6"/>
    <w:rsid w:val="15D34B8E"/>
    <w:rsid w:val="15E611B3"/>
    <w:rsid w:val="15FA4347"/>
    <w:rsid w:val="15FF0125"/>
    <w:rsid w:val="16135F43"/>
    <w:rsid w:val="162701DA"/>
    <w:rsid w:val="162B22EC"/>
    <w:rsid w:val="162C3647"/>
    <w:rsid w:val="16484942"/>
    <w:rsid w:val="164C31F0"/>
    <w:rsid w:val="164D4538"/>
    <w:rsid w:val="164E5502"/>
    <w:rsid w:val="1669259D"/>
    <w:rsid w:val="16AA643D"/>
    <w:rsid w:val="16AF3B22"/>
    <w:rsid w:val="16C16894"/>
    <w:rsid w:val="16CB405C"/>
    <w:rsid w:val="16E33E89"/>
    <w:rsid w:val="16E62698"/>
    <w:rsid w:val="170161F1"/>
    <w:rsid w:val="170B2AE0"/>
    <w:rsid w:val="170C2076"/>
    <w:rsid w:val="171347E8"/>
    <w:rsid w:val="171F0553"/>
    <w:rsid w:val="17412D20"/>
    <w:rsid w:val="17594F43"/>
    <w:rsid w:val="17656EC7"/>
    <w:rsid w:val="176C065D"/>
    <w:rsid w:val="17710209"/>
    <w:rsid w:val="17865E6F"/>
    <w:rsid w:val="178B2FCA"/>
    <w:rsid w:val="17AB12FD"/>
    <w:rsid w:val="17B54142"/>
    <w:rsid w:val="17D73777"/>
    <w:rsid w:val="17E12977"/>
    <w:rsid w:val="17E16748"/>
    <w:rsid w:val="17E64412"/>
    <w:rsid w:val="183A16EE"/>
    <w:rsid w:val="184834A6"/>
    <w:rsid w:val="185C0EDF"/>
    <w:rsid w:val="186308A7"/>
    <w:rsid w:val="187D7569"/>
    <w:rsid w:val="188859CE"/>
    <w:rsid w:val="189F55F4"/>
    <w:rsid w:val="18A75C99"/>
    <w:rsid w:val="18B20FCE"/>
    <w:rsid w:val="18B31707"/>
    <w:rsid w:val="18F273A6"/>
    <w:rsid w:val="192A68C8"/>
    <w:rsid w:val="19486FB2"/>
    <w:rsid w:val="19555DF8"/>
    <w:rsid w:val="195619E7"/>
    <w:rsid w:val="196E49C7"/>
    <w:rsid w:val="199475C6"/>
    <w:rsid w:val="19963360"/>
    <w:rsid w:val="199F5019"/>
    <w:rsid w:val="19A03350"/>
    <w:rsid w:val="19DF13F6"/>
    <w:rsid w:val="1A1856F2"/>
    <w:rsid w:val="1A390864"/>
    <w:rsid w:val="1A6930C2"/>
    <w:rsid w:val="1A6A324A"/>
    <w:rsid w:val="1A7D4C6E"/>
    <w:rsid w:val="1AC77936"/>
    <w:rsid w:val="1AEC4961"/>
    <w:rsid w:val="1B06535A"/>
    <w:rsid w:val="1B181533"/>
    <w:rsid w:val="1B44164E"/>
    <w:rsid w:val="1B565915"/>
    <w:rsid w:val="1B7E2B45"/>
    <w:rsid w:val="1BA7556B"/>
    <w:rsid w:val="1BCB3DAF"/>
    <w:rsid w:val="1BDE1760"/>
    <w:rsid w:val="1BF1026B"/>
    <w:rsid w:val="1BF12414"/>
    <w:rsid w:val="1C2551E1"/>
    <w:rsid w:val="1C4B349A"/>
    <w:rsid w:val="1C5E38E2"/>
    <w:rsid w:val="1C656F34"/>
    <w:rsid w:val="1C946602"/>
    <w:rsid w:val="1C962D68"/>
    <w:rsid w:val="1CA232AC"/>
    <w:rsid w:val="1CC10E62"/>
    <w:rsid w:val="1CCA7376"/>
    <w:rsid w:val="1CDA731B"/>
    <w:rsid w:val="1D074EC5"/>
    <w:rsid w:val="1D0B7287"/>
    <w:rsid w:val="1D0E5817"/>
    <w:rsid w:val="1D153E51"/>
    <w:rsid w:val="1D2826AC"/>
    <w:rsid w:val="1D481A9F"/>
    <w:rsid w:val="1D6F39A9"/>
    <w:rsid w:val="1DA03128"/>
    <w:rsid w:val="1DA05131"/>
    <w:rsid w:val="1DB25B96"/>
    <w:rsid w:val="1DC52A30"/>
    <w:rsid w:val="1DC65517"/>
    <w:rsid w:val="1DD66520"/>
    <w:rsid w:val="1DE11A27"/>
    <w:rsid w:val="1DE870A5"/>
    <w:rsid w:val="1DED5C0B"/>
    <w:rsid w:val="1E16127D"/>
    <w:rsid w:val="1E2A33E0"/>
    <w:rsid w:val="1E465BA2"/>
    <w:rsid w:val="1E5E47E0"/>
    <w:rsid w:val="1E65548D"/>
    <w:rsid w:val="1E6A5CCC"/>
    <w:rsid w:val="1E815AFF"/>
    <w:rsid w:val="1E84689A"/>
    <w:rsid w:val="1E9F3A7D"/>
    <w:rsid w:val="1EFE292E"/>
    <w:rsid w:val="1F004046"/>
    <w:rsid w:val="1F0F5251"/>
    <w:rsid w:val="1F1555E0"/>
    <w:rsid w:val="1F2E7427"/>
    <w:rsid w:val="1F5472F6"/>
    <w:rsid w:val="1F5662B7"/>
    <w:rsid w:val="1F663A3C"/>
    <w:rsid w:val="1F6E7EA0"/>
    <w:rsid w:val="1F805BBC"/>
    <w:rsid w:val="1FA83428"/>
    <w:rsid w:val="1FA91EA6"/>
    <w:rsid w:val="1FB31C97"/>
    <w:rsid w:val="1FE73C5F"/>
    <w:rsid w:val="1FF877BF"/>
    <w:rsid w:val="201803F2"/>
    <w:rsid w:val="202915A2"/>
    <w:rsid w:val="2038536A"/>
    <w:rsid w:val="20406BD6"/>
    <w:rsid w:val="204539A1"/>
    <w:rsid w:val="205D2600"/>
    <w:rsid w:val="206E486C"/>
    <w:rsid w:val="207019F5"/>
    <w:rsid w:val="20806241"/>
    <w:rsid w:val="208D6C00"/>
    <w:rsid w:val="20B030F9"/>
    <w:rsid w:val="20B05149"/>
    <w:rsid w:val="20DD7A52"/>
    <w:rsid w:val="20EC75B1"/>
    <w:rsid w:val="21087874"/>
    <w:rsid w:val="21346507"/>
    <w:rsid w:val="213C7062"/>
    <w:rsid w:val="21435719"/>
    <w:rsid w:val="21457AA6"/>
    <w:rsid w:val="217A745C"/>
    <w:rsid w:val="2184057F"/>
    <w:rsid w:val="219C4AB4"/>
    <w:rsid w:val="219D4ACD"/>
    <w:rsid w:val="21B76AE0"/>
    <w:rsid w:val="21C24E53"/>
    <w:rsid w:val="21F63830"/>
    <w:rsid w:val="221A760B"/>
    <w:rsid w:val="223C008F"/>
    <w:rsid w:val="22472B4C"/>
    <w:rsid w:val="225260EF"/>
    <w:rsid w:val="2253597B"/>
    <w:rsid w:val="225D2B4B"/>
    <w:rsid w:val="22643497"/>
    <w:rsid w:val="22794F14"/>
    <w:rsid w:val="227F77DE"/>
    <w:rsid w:val="227F7B13"/>
    <w:rsid w:val="229442B5"/>
    <w:rsid w:val="22C67959"/>
    <w:rsid w:val="22E406C3"/>
    <w:rsid w:val="22E87C23"/>
    <w:rsid w:val="22FB0688"/>
    <w:rsid w:val="230828C0"/>
    <w:rsid w:val="231C0C23"/>
    <w:rsid w:val="232063A6"/>
    <w:rsid w:val="23635693"/>
    <w:rsid w:val="239473AE"/>
    <w:rsid w:val="239F4B3B"/>
    <w:rsid w:val="23B76FD3"/>
    <w:rsid w:val="23B97AB4"/>
    <w:rsid w:val="23BE7309"/>
    <w:rsid w:val="23C44AC9"/>
    <w:rsid w:val="23ED7ADD"/>
    <w:rsid w:val="23F761C6"/>
    <w:rsid w:val="23FA536A"/>
    <w:rsid w:val="240C6AFA"/>
    <w:rsid w:val="2448342E"/>
    <w:rsid w:val="244B7F91"/>
    <w:rsid w:val="245C48D7"/>
    <w:rsid w:val="246E108F"/>
    <w:rsid w:val="24765465"/>
    <w:rsid w:val="2487230D"/>
    <w:rsid w:val="248A20F3"/>
    <w:rsid w:val="24A249FE"/>
    <w:rsid w:val="24B65B9C"/>
    <w:rsid w:val="24BB2ACC"/>
    <w:rsid w:val="24DE204A"/>
    <w:rsid w:val="24E3226F"/>
    <w:rsid w:val="24F37B94"/>
    <w:rsid w:val="25066EF6"/>
    <w:rsid w:val="2518296A"/>
    <w:rsid w:val="253F4C3B"/>
    <w:rsid w:val="25AE54D9"/>
    <w:rsid w:val="25B174DB"/>
    <w:rsid w:val="25B52531"/>
    <w:rsid w:val="25BA112C"/>
    <w:rsid w:val="25CE2471"/>
    <w:rsid w:val="25D16B1F"/>
    <w:rsid w:val="25D976AC"/>
    <w:rsid w:val="26066D6F"/>
    <w:rsid w:val="26235A5B"/>
    <w:rsid w:val="26276106"/>
    <w:rsid w:val="262E24B2"/>
    <w:rsid w:val="265A768D"/>
    <w:rsid w:val="26652C84"/>
    <w:rsid w:val="268B284C"/>
    <w:rsid w:val="26935619"/>
    <w:rsid w:val="26A26BEE"/>
    <w:rsid w:val="26C7367F"/>
    <w:rsid w:val="26CC34C5"/>
    <w:rsid w:val="26CD70F0"/>
    <w:rsid w:val="26E97493"/>
    <w:rsid w:val="26FE1742"/>
    <w:rsid w:val="26FF1B22"/>
    <w:rsid w:val="2701248A"/>
    <w:rsid w:val="27015D0E"/>
    <w:rsid w:val="272B4880"/>
    <w:rsid w:val="2745366C"/>
    <w:rsid w:val="274F6261"/>
    <w:rsid w:val="277A093D"/>
    <w:rsid w:val="27800637"/>
    <w:rsid w:val="278241BD"/>
    <w:rsid w:val="27877964"/>
    <w:rsid w:val="27971706"/>
    <w:rsid w:val="279767AD"/>
    <w:rsid w:val="27B365ED"/>
    <w:rsid w:val="27D05667"/>
    <w:rsid w:val="27DA4D31"/>
    <w:rsid w:val="27DB23E1"/>
    <w:rsid w:val="280755BB"/>
    <w:rsid w:val="284C2668"/>
    <w:rsid w:val="286012E2"/>
    <w:rsid w:val="286D29E1"/>
    <w:rsid w:val="288714FD"/>
    <w:rsid w:val="28902E8A"/>
    <w:rsid w:val="28C90B09"/>
    <w:rsid w:val="28CC3AA7"/>
    <w:rsid w:val="28CF34CF"/>
    <w:rsid w:val="28E656E0"/>
    <w:rsid w:val="28EA436C"/>
    <w:rsid w:val="29215BA4"/>
    <w:rsid w:val="292F41B4"/>
    <w:rsid w:val="2952541B"/>
    <w:rsid w:val="29660000"/>
    <w:rsid w:val="298174D0"/>
    <w:rsid w:val="298A5CBE"/>
    <w:rsid w:val="29A65A1D"/>
    <w:rsid w:val="29AB58E8"/>
    <w:rsid w:val="29AF38AF"/>
    <w:rsid w:val="29B4634A"/>
    <w:rsid w:val="29CE0EB8"/>
    <w:rsid w:val="29EA6C76"/>
    <w:rsid w:val="29F10992"/>
    <w:rsid w:val="29F1685F"/>
    <w:rsid w:val="29FA3D4D"/>
    <w:rsid w:val="2A035FF2"/>
    <w:rsid w:val="2A065716"/>
    <w:rsid w:val="2A2B6290"/>
    <w:rsid w:val="2A2E1289"/>
    <w:rsid w:val="2A5607F7"/>
    <w:rsid w:val="2A8074BA"/>
    <w:rsid w:val="2A8229CD"/>
    <w:rsid w:val="2A8453B1"/>
    <w:rsid w:val="2A863051"/>
    <w:rsid w:val="2A9920D3"/>
    <w:rsid w:val="2AA56CCB"/>
    <w:rsid w:val="2AC6139B"/>
    <w:rsid w:val="2AD53E0C"/>
    <w:rsid w:val="2ADD5BBA"/>
    <w:rsid w:val="2AE107FF"/>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F269A7"/>
    <w:rsid w:val="2C1C696A"/>
    <w:rsid w:val="2C263268"/>
    <w:rsid w:val="2C457AB2"/>
    <w:rsid w:val="2C5174E0"/>
    <w:rsid w:val="2C5618F8"/>
    <w:rsid w:val="2C5F33AB"/>
    <w:rsid w:val="2C6A365C"/>
    <w:rsid w:val="2C877A43"/>
    <w:rsid w:val="2C8F59B2"/>
    <w:rsid w:val="2CA86A04"/>
    <w:rsid w:val="2CE22AB5"/>
    <w:rsid w:val="2CFA0193"/>
    <w:rsid w:val="2D050326"/>
    <w:rsid w:val="2D0C3A26"/>
    <w:rsid w:val="2D2939B8"/>
    <w:rsid w:val="2D2E767E"/>
    <w:rsid w:val="2D320D1B"/>
    <w:rsid w:val="2D347FF2"/>
    <w:rsid w:val="2D4D44F0"/>
    <w:rsid w:val="2D5E00FB"/>
    <w:rsid w:val="2D845825"/>
    <w:rsid w:val="2D9A7120"/>
    <w:rsid w:val="2DC50F24"/>
    <w:rsid w:val="2DD318C3"/>
    <w:rsid w:val="2DE435D2"/>
    <w:rsid w:val="2DF36570"/>
    <w:rsid w:val="2E0532BC"/>
    <w:rsid w:val="2E1B5298"/>
    <w:rsid w:val="2E235B1A"/>
    <w:rsid w:val="2E2D4D5E"/>
    <w:rsid w:val="2E3512B9"/>
    <w:rsid w:val="2E3A7CE1"/>
    <w:rsid w:val="2E5E27D5"/>
    <w:rsid w:val="2E6218B1"/>
    <w:rsid w:val="2E8C2848"/>
    <w:rsid w:val="2ECC4C86"/>
    <w:rsid w:val="2ECF2A5B"/>
    <w:rsid w:val="2F042ADB"/>
    <w:rsid w:val="2F185165"/>
    <w:rsid w:val="2F1D6D65"/>
    <w:rsid w:val="2F2D4173"/>
    <w:rsid w:val="2F2E5DF2"/>
    <w:rsid w:val="2F323DD8"/>
    <w:rsid w:val="2F3C308F"/>
    <w:rsid w:val="2F3D0D32"/>
    <w:rsid w:val="2F4879FF"/>
    <w:rsid w:val="2F643906"/>
    <w:rsid w:val="2F7314D3"/>
    <w:rsid w:val="2F795989"/>
    <w:rsid w:val="2F8278DB"/>
    <w:rsid w:val="2F9C7A54"/>
    <w:rsid w:val="2F9D6043"/>
    <w:rsid w:val="2FB706E1"/>
    <w:rsid w:val="2FC04163"/>
    <w:rsid w:val="2FCC3FBC"/>
    <w:rsid w:val="2FD71C09"/>
    <w:rsid w:val="2FE13372"/>
    <w:rsid w:val="3006129D"/>
    <w:rsid w:val="303965FE"/>
    <w:rsid w:val="30494AE2"/>
    <w:rsid w:val="309E160B"/>
    <w:rsid w:val="30B5333E"/>
    <w:rsid w:val="30DC639E"/>
    <w:rsid w:val="30E52D9A"/>
    <w:rsid w:val="30F90549"/>
    <w:rsid w:val="313C614E"/>
    <w:rsid w:val="314A76B4"/>
    <w:rsid w:val="31505DAD"/>
    <w:rsid w:val="31532F2D"/>
    <w:rsid w:val="31624461"/>
    <w:rsid w:val="31796188"/>
    <w:rsid w:val="318320A8"/>
    <w:rsid w:val="31A40879"/>
    <w:rsid w:val="31AB7AB8"/>
    <w:rsid w:val="31C1309B"/>
    <w:rsid w:val="31CD7106"/>
    <w:rsid w:val="31F57EDC"/>
    <w:rsid w:val="320C1BA8"/>
    <w:rsid w:val="323E6AE2"/>
    <w:rsid w:val="32821075"/>
    <w:rsid w:val="329676E9"/>
    <w:rsid w:val="32AA5A6C"/>
    <w:rsid w:val="32B56792"/>
    <w:rsid w:val="32BC30EA"/>
    <w:rsid w:val="32C51192"/>
    <w:rsid w:val="32CD43F3"/>
    <w:rsid w:val="32DF51E8"/>
    <w:rsid w:val="32ED4A76"/>
    <w:rsid w:val="32EE7C35"/>
    <w:rsid w:val="330E11CE"/>
    <w:rsid w:val="331D4BBB"/>
    <w:rsid w:val="332848FF"/>
    <w:rsid w:val="334932BF"/>
    <w:rsid w:val="33676293"/>
    <w:rsid w:val="339E01F6"/>
    <w:rsid w:val="339F1778"/>
    <w:rsid w:val="33B33591"/>
    <w:rsid w:val="33C40DAF"/>
    <w:rsid w:val="33CB50F6"/>
    <w:rsid w:val="33EA5773"/>
    <w:rsid w:val="34156596"/>
    <w:rsid w:val="341579FF"/>
    <w:rsid w:val="34261ABC"/>
    <w:rsid w:val="34356D52"/>
    <w:rsid w:val="343B1E3D"/>
    <w:rsid w:val="34601EF9"/>
    <w:rsid w:val="347B2C27"/>
    <w:rsid w:val="3480762C"/>
    <w:rsid w:val="34A1323D"/>
    <w:rsid w:val="34B563E2"/>
    <w:rsid w:val="34BA47F2"/>
    <w:rsid w:val="34C71782"/>
    <w:rsid w:val="34CA2810"/>
    <w:rsid w:val="34CB7EBB"/>
    <w:rsid w:val="34F73875"/>
    <w:rsid w:val="35033E04"/>
    <w:rsid w:val="350A1874"/>
    <w:rsid w:val="350A2FE5"/>
    <w:rsid w:val="350C4714"/>
    <w:rsid w:val="35170314"/>
    <w:rsid w:val="351A087B"/>
    <w:rsid w:val="35270B41"/>
    <w:rsid w:val="35274AF8"/>
    <w:rsid w:val="353323D5"/>
    <w:rsid w:val="35552B7F"/>
    <w:rsid w:val="357915CD"/>
    <w:rsid w:val="35925C72"/>
    <w:rsid w:val="35973F2D"/>
    <w:rsid w:val="35C26DEE"/>
    <w:rsid w:val="360F267E"/>
    <w:rsid w:val="3617681A"/>
    <w:rsid w:val="365A50BB"/>
    <w:rsid w:val="366A7A1A"/>
    <w:rsid w:val="366E68DA"/>
    <w:rsid w:val="36881F0D"/>
    <w:rsid w:val="36C41867"/>
    <w:rsid w:val="36CB7728"/>
    <w:rsid w:val="36CC24F7"/>
    <w:rsid w:val="36DC1879"/>
    <w:rsid w:val="36F87756"/>
    <w:rsid w:val="370E4C3C"/>
    <w:rsid w:val="372D5DB7"/>
    <w:rsid w:val="373C3CC0"/>
    <w:rsid w:val="375436D4"/>
    <w:rsid w:val="37545502"/>
    <w:rsid w:val="37714B07"/>
    <w:rsid w:val="37855348"/>
    <w:rsid w:val="378927E1"/>
    <w:rsid w:val="37953F72"/>
    <w:rsid w:val="37961987"/>
    <w:rsid w:val="37D4606B"/>
    <w:rsid w:val="37FA4F3B"/>
    <w:rsid w:val="3815337F"/>
    <w:rsid w:val="38187FDE"/>
    <w:rsid w:val="381F5E35"/>
    <w:rsid w:val="383813C8"/>
    <w:rsid w:val="38462C64"/>
    <w:rsid w:val="385244BD"/>
    <w:rsid w:val="38623892"/>
    <w:rsid w:val="38650C3E"/>
    <w:rsid w:val="388809BB"/>
    <w:rsid w:val="388A07DC"/>
    <w:rsid w:val="38B5367F"/>
    <w:rsid w:val="38C1223C"/>
    <w:rsid w:val="38C34D80"/>
    <w:rsid w:val="38D23B1E"/>
    <w:rsid w:val="38DF4349"/>
    <w:rsid w:val="38E431AE"/>
    <w:rsid w:val="38E96309"/>
    <w:rsid w:val="38F57B5C"/>
    <w:rsid w:val="38FD2469"/>
    <w:rsid w:val="39031071"/>
    <w:rsid w:val="39173D9A"/>
    <w:rsid w:val="391908C8"/>
    <w:rsid w:val="39334744"/>
    <w:rsid w:val="393F256E"/>
    <w:rsid w:val="3948026B"/>
    <w:rsid w:val="39547D18"/>
    <w:rsid w:val="3956604D"/>
    <w:rsid w:val="39641092"/>
    <w:rsid w:val="397D2788"/>
    <w:rsid w:val="39A1679C"/>
    <w:rsid w:val="39F12A70"/>
    <w:rsid w:val="39FE5625"/>
    <w:rsid w:val="3A132F16"/>
    <w:rsid w:val="3A1B3237"/>
    <w:rsid w:val="3A473471"/>
    <w:rsid w:val="3A852CE4"/>
    <w:rsid w:val="3A8F4331"/>
    <w:rsid w:val="3A93517E"/>
    <w:rsid w:val="3AA20C1F"/>
    <w:rsid w:val="3AD562E8"/>
    <w:rsid w:val="3AEF12C8"/>
    <w:rsid w:val="3B2D2BEE"/>
    <w:rsid w:val="3B42434C"/>
    <w:rsid w:val="3B474F3F"/>
    <w:rsid w:val="3B8C0733"/>
    <w:rsid w:val="3B8E4A09"/>
    <w:rsid w:val="3BA24AAB"/>
    <w:rsid w:val="3BAC6896"/>
    <w:rsid w:val="3BCA17D2"/>
    <w:rsid w:val="3BD07133"/>
    <w:rsid w:val="3BDE0482"/>
    <w:rsid w:val="3BE55A8F"/>
    <w:rsid w:val="3BF44C1A"/>
    <w:rsid w:val="3C030505"/>
    <w:rsid w:val="3C0556F7"/>
    <w:rsid w:val="3C0B4BF1"/>
    <w:rsid w:val="3C0F07BF"/>
    <w:rsid w:val="3C197648"/>
    <w:rsid w:val="3C1D2C62"/>
    <w:rsid w:val="3C34574B"/>
    <w:rsid w:val="3C3B492E"/>
    <w:rsid w:val="3C5A2D1C"/>
    <w:rsid w:val="3C7941AB"/>
    <w:rsid w:val="3C845F7F"/>
    <w:rsid w:val="3CAD36F9"/>
    <w:rsid w:val="3CAE366A"/>
    <w:rsid w:val="3CB37024"/>
    <w:rsid w:val="3CE47750"/>
    <w:rsid w:val="3CF159F1"/>
    <w:rsid w:val="3D057F7D"/>
    <w:rsid w:val="3D0976C4"/>
    <w:rsid w:val="3D420765"/>
    <w:rsid w:val="3D4752E9"/>
    <w:rsid w:val="3D7E34D1"/>
    <w:rsid w:val="3D86314C"/>
    <w:rsid w:val="3D8C258A"/>
    <w:rsid w:val="3DA7157D"/>
    <w:rsid w:val="3DB10F40"/>
    <w:rsid w:val="3DC75D75"/>
    <w:rsid w:val="3DC90B35"/>
    <w:rsid w:val="3DDB534F"/>
    <w:rsid w:val="3DEC3000"/>
    <w:rsid w:val="3DED1264"/>
    <w:rsid w:val="3DEE70ED"/>
    <w:rsid w:val="3E0347A6"/>
    <w:rsid w:val="3E301932"/>
    <w:rsid w:val="3E37139E"/>
    <w:rsid w:val="3E386E20"/>
    <w:rsid w:val="3E3E18DD"/>
    <w:rsid w:val="3E403714"/>
    <w:rsid w:val="3E5C5F16"/>
    <w:rsid w:val="3E7811DF"/>
    <w:rsid w:val="3E7E6A1E"/>
    <w:rsid w:val="3EA67528"/>
    <w:rsid w:val="3EBC691E"/>
    <w:rsid w:val="3EC81074"/>
    <w:rsid w:val="3ECE2706"/>
    <w:rsid w:val="3EF21A56"/>
    <w:rsid w:val="3F087EB3"/>
    <w:rsid w:val="3F3527DB"/>
    <w:rsid w:val="3F610CAF"/>
    <w:rsid w:val="3F8218BD"/>
    <w:rsid w:val="3F92191C"/>
    <w:rsid w:val="3FBA3CFE"/>
    <w:rsid w:val="3FCD2F32"/>
    <w:rsid w:val="3FE2694A"/>
    <w:rsid w:val="3FF8468A"/>
    <w:rsid w:val="40130954"/>
    <w:rsid w:val="402F14D9"/>
    <w:rsid w:val="4042437C"/>
    <w:rsid w:val="40437225"/>
    <w:rsid w:val="40641201"/>
    <w:rsid w:val="40666255"/>
    <w:rsid w:val="40852B71"/>
    <w:rsid w:val="40A4504A"/>
    <w:rsid w:val="40A56A55"/>
    <w:rsid w:val="40D04F96"/>
    <w:rsid w:val="40D25774"/>
    <w:rsid w:val="40F42FF0"/>
    <w:rsid w:val="40F71D68"/>
    <w:rsid w:val="41232AC2"/>
    <w:rsid w:val="412F650A"/>
    <w:rsid w:val="4154383A"/>
    <w:rsid w:val="415826D8"/>
    <w:rsid w:val="416A77B2"/>
    <w:rsid w:val="417B2704"/>
    <w:rsid w:val="417F28BC"/>
    <w:rsid w:val="41A26E1E"/>
    <w:rsid w:val="41BD4938"/>
    <w:rsid w:val="41C97DFF"/>
    <w:rsid w:val="42092064"/>
    <w:rsid w:val="425056D7"/>
    <w:rsid w:val="426B7473"/>
    <w:rsid w:val="427E562E"/>
    <w:rsid w:val="428075BF"/>
    <w:rsid w:val="428B1B6D"/>
    <w:rsid w:val="428F5C09"/>
    <w:rsid w:val="42A900EE"/>
    <w:rsid w:val="42C22B34"/>
    <w:rsid w:val="42C269D8"/>
    <w:rsid w:val="42C433F4"/>
    <w:rsid w:val="42E6571C"/>
    <w:rsid w:val="42F36A35"/>
    <w:rsid w:val="42F624A6"/>
    <w:rsid w:val="43124F15"/>
    <w:rsid w:val="43132F50"/>
    <w:rsid w:val="43297F3D"/>
    <w:rsid w:val="434C069A"/>
    <w:rsid w:val="43707565"/>
    <w:rsid w:val="43814E59"/>
    <w:rsid w:val="439C6460"/>
    <w:rsid w:val="43BB070A"/>
    <w:rsid w:val="43BF2F1D"/>
    <w:rsid w:val="43CC24F9"/>
    <w:rsid w:val="43D60296"/>
    <w:rsid w:val="43DA723D"/>
    <w:rsid w:val="43EA6CA9"/>
    <w:rsid w:val="43FB05F8"/>
    <w:rsid w:val="4412373D"/>
    <w:rsid w:val="441C40BA"/>
    <w:rsid w:val="443A278E"/>
    <w:rsid w:val="44846EF4"/>
    <w:rsid w:val="448B20BD"/>
    <w:rsid w:val="449667D9"/>
    <w:rsid w:val="44D00889"/>
    <w:rsid w:val="44DB3186"/>
    <w:rsid w:val="44F11AA7"/>
    <w:rsid w:val="453146CD"/>
    <w:rsid w:val="45325C3F"/>
    <w:rsid w:val="45535650"/>
    <w:rsid w:val="455A36D4"/>
    <w:rsid w:val="45642733"/>
    <w:rsid w:val="456854C1"/>
    <w:rsid w:val="456D1461"/>
    <w:rsid w:val="45851C29"/>
    <w:rsid w:val="45880124"/>
    <w:rsid w:val="45A55EC8"/>
    <w:rsid w:val="45FB5915"/>
    <w:rsid w:val="462875A5"/>
    <w:rsid w:val="462E6C0B"/>
    <w:rsid w:val="468E2831"/>
    <w:rsid w:val="46A401F3"/>
    <w:rsid w:val="46EB2744"/>
    <w:rsid w:val="470044F7"/>
    <w:rsid w:val="47074A07"/>
    <w:rsid w:val="47077F50"/>
    <w:rsid w:val="4750237F"/>
    <w:rsid w:val="475A0EB2"/>
    <w:rsid w:val="475B3E56"/>
    <w:rsid w:val="475E4BEA"/>
    <w:rsid w:val="47766E62"/>
    <w:rsid w:val="479E21BE"/>
    <w:rsid w:val="47A32293"/>
    <w:rsid w:val="47AB5258"/>
    <w:rsid w:val="47CB5980"/>
    <w:rsid w:val="47CF0462"/>
    <w:rsid w:val="47E7569B"/>
    <w:rsid w:val="47F14B7F"/>
    <w:rsid w:val="48145B11"/>
    <w:rsid w:val="485410BD"/>
    <w:rsid w:val="48541AB4"/>
    <w:rsid w:val="488739F0"/>
    <w:rsid w:val="489A2900"/>
    <w:rsid w:val="489D3FD7"/>
    <w:rsid w:val="48AF30F8"/>
    <w:rsid w:val="48B35E3A"/>
    <w:rsid w:val="48BA78DE"/>
    <w:rsid w:val="48C14D62"/>
    <w:rsid w:val="48C2276C"/>
    <w:rsid w:val="48CA70FD"/>
    <w:rsid w:val="48CB5058"/>
    <w:rsid w:val="48CC2435"/>
    <w:rsid w:val="490D4C4F"/>
    <w:rsid w:val="49134474"/>
    <w:rsid w:val="494065BB"/>
    <w:rsid w:val="494824A6"/>
    <w:rsid w:val="496F6854"/>
    <w:rsid w:val="499814CB"/>
    <w:rsid w:val="499C42E2"/>
    <w:rsid w:val="49C11DC8"/>
    <w:rsid w:val="49D24DBE"/>
    <w:rsid w:val="49FA026B"/>
    <w:rsid w:val="49FA3470"/>
    <w:rsid w:val="4A3F23A4"/>
    <w:rsid w:val="4A596B7C"/>
    <w:rsid w:val="4A5E3A23"/>
    <w:rsid w:val="4A7E5677"/>
    <w:rsid w:val="4A8C19A6"/>
    <w:rsid w:val="4A92373A"/>
    <w:rsid w:val="4A9471BB"/>
    <w:rsid w:val="4AA043AA"/>
    <w:rsid w:val="4ABA51D3"/>
    <w:rsid w:val="4ABD1A49"/>
    <w:rsid w:val="4AD01B33"/>
    <w:rsid w:val="4AD16E3D"/>
    <w:rsid w:val="4AF931B1"/>
    <w:rsid w:val="4AFC3933"/>
    <w:rsid w:val="4B17556D"/>
    <w:rsid w:val="4B2A579B"/>
    <w:rsid w:val="4B46248B"/>
    <w:rsid w:val="4B804DBA"/>
    <w:rsid w:val="4B8D6483"/>
    <w:rsid w:val="4B994F91"/>
    <w:rsid w:val="4BBD33CE"/>
    <w:rsid w:val="4BC75233"/>
    <w:rsid w:val="4BD77678"/>
    <w:rsid w:val="4C5B7BDE"/>
    <w:rsid w:val="4C6355B0"/>
    <w:rsid w:val="4CAA6DEC"/>
    <w:rsid w:val="4CBB5870"/>
    <w:rsid w:val="4CC24C50"/>
    <w:rsid w:val="4CCE0DB7"/>
    <w:rsid w:val="4D0E12D1"/>
    <w:rsid w:val="4D291727"/>
    <w:rsid w:val="4D2A6786"/>
    <w:rsid w:val="4D365321"/>
    <w:rsid w:val="4D3913B2"/>
    <w:rsid w:val="4D681C3A"/>
    <w:rsid w:val="4D6E540A"/>
    <w:rsid w:val="4D976B7C"/>
    <w:rsid w:val="4DA27A1C"/>
    <w:rsid w:val="4DAA76F7"/>
    <w:rsid w:val="4DBE1C1A"/>
    <w:rsid w:val="4DDA2D1F"/>
    <w:rsid w:val="4DDD7078"/>
    <w:rsid w:val="4DE652ED"/>
    <w:rsid w:val="4DEF06D0"/>
    <w:rsid w:val="4DFF0486"/>
    <w:rsid w:val="4DFF3300"/>
    <w:rsid w:val="4E0C0B2F"/>
    <w:rsid w:val="4E1405C7"/>
    <w:rsid w:val="4E174533"/>
    <w:rsid w:val="4E1D0257"/>
    <w:rsid w:val="4E44756A"/>
    <w:rsid w:val="4EA53DCB"/>
    <w:rsid w:val="4EC877D1"/>
    <w:rsid w:val="4ED72506"/>
    <w:rsid w:val="4EF16D24"/>
    <w:rsid w:val="4F203DE0"/>
    <w:rsid w:val="4F72431F"/>
    <w:rsid w:val="4FA90FFB"/>
    <w:rsid w:val="4FBE780A"/>
    <w:rsid w:val="4FF442B8"/>
    <w:rsid w:val="4FF74036"/>
    <w:rsid w:val="50111272"/>
    <w:rsid w:val="50155B19"/>
    <w:rsid w:val="5023371B"/>
    <w:rsid w:val="503A7D50"/>
    <w:rsid w:val="505173DF"/>
    <w:rsid w:val="50573EE0"/>
    <w:rsid w:val="50687EE1"/>
    <w:rsid w:val="507D4863"/>
    <w:rsid w:val="50825ABD"/>
    <w:rsid w:val="50847E24"/>
    <w:rsid w:val="508B2042"/>
    <w:rsid w:val="5099044C"/>
    <w:rsid w:val="50A117D4"/>
    <w:rsid w:val="50DC48AF"/>
    <w:rsid w:val="50F1625A"/>
    <w:rsid w:val="51114685"/>
    <w:rsid w:val="5124215A"/>
    <w:rsid w:val="512A721C"/>
    <w:rsid w:val="51320B4E"/>
    <w:rsid w:val="513D3589"/>
    <w:rsid w:val="513F47ED"/>
    <w:rsid w:val="51564B62"/>
    <w:rsid w:val="515707D9"/>
    <w:rsid w:val="517806BF"/>
    <w:rsid w:val="51861412"/>
    <w:rsid w:val="51884FB5"/>
    <w:rsid w:val="519B7926"/>
    <w:rsid w:val="51B15013"/>
    <w:rsid w:val="51E62428"/>
    <w:rsid w:val="51EC5B49"/>
    <w:rsid w:val="51F04FD8"/>
    <w:rsid w:val="52177C0F"/>
    <w:rsid w:val="5222697F"/>
    <w:rsid w:val="5253705D"/>
    <w:rsid w:val="52641C31"/>
    <w:rsid w:val="527375B5"/>
    <w:rsid w:val="52BD5372"/>
    <w:rsid w:val="52C066E1"/>
    <w:rsid w:val="52D93B7C"/>
    <w:rsid w:val="52DC028C"/>
    <w:rsid w:val="52E0721B"/>
    <w:rsid w:val="52E51C8D"/>
    <w:rsid w:val="52E7467F"/>
    <w:rsid w:val="52F5153E"/>
    <w:rsid w:val="530379C0"/>
    <w:rsid w:val="5318224A"/>
    <w:rsid w:val="53211D72"/>
    <w:rsid w:val="53254D94"/>
    <w:rsid w:val="5334399F"/>
    <w:rsid w:val="533A3138"/>
    <w:rsid w:val="53436D6F"/>
    <w:rsid w:val="537D1372"/>
    <w:rsid w:val="538A397E"/>
    <w:rsid w:val="53AB4EBB"/>
    <w:rsid w:val="53BB45BD"/>
    <w:rsid w:val="53D8574B"/>
    <w:rsid w:val="53D9798A"/>
    <w:rsid w:val="53E03401"/>
    <w:rsid w:val="53E93774"/>
    <w:rsid w:val="53FE4378"/>
    <w:rsid w:val="53FF22C9"/>
    <w:rsid w:val="541146DE"/>
    <w:rsid w:val="54124691"/>
    <w:rsid w:val="54227209"/>
    <w:rsid w:val="542F6611"/>
    <w:rsid w:val="5443778A"/>
    <w:rsid w:val="544E4D2A"/>
    <w:rsid w:val="54747F77"/>
    <w:rsid w:val="54A52B04"/>
    <w:rsid w:val="54B86D99"/>
    <w:rsid w:val="54BD3E01"/>
    <w:rsid w:val="54CC5FEC"/>
    <w:rsid w:val="54E61D47"/>
    <w:rsid w:val="55061C05"/>
    <w:rsid w:val="550D4C7E"/>
    <w:rsid w:val="5534034E"/>
    <w:rsid w:val="55361973"/>
    <w:rsid w:val="55826059"/>
    <w:rsid w:val="559C4EB4"/>
    <w:rsid w:val="55B577AC"/>
    <w:rsid w:val="55B840E3"/>
    <w:rsid w:val="55DB4169"/>
    <w:rsid w:val="55EA0851"/>
    <w:rsid w:val="55FB65C8"/>
    <w:rsid w:val="56021E2A"/>
    <w:rsid w:val="560A0CCC"/>
    <w:rsid w:val="560A7BA7"/>
    <w:rsid w:val="561E24B4"/>
    <w:rsid w:val="5624608C"/>
    <w:rsid w:val="566762AF"/>
    <w:rsid w:val="567233E3"/>
    <w:rsid w:val="56813D12"/>
    <w:rsid w:val="56A35EB9"/>
    <w:rsid w:val="56B53234"/>
    <w:rsid w:val="56C07344"/>
    <w:rsid w:val="56D53EDE"/>
    <w:rsid w:val="56FE0584"/>
    <w:rsid w:val="57070F3F"/>
    <w:rsid w:val="570C69BC"/>
    <w:rsid w:val="571C5807"/>
    <w:rsid w:val="5738023E"/>
    <w:rsid w:val="573B17CB"/>
    <w:rsid w:val="573D4E87"/>
    <w:rsid w:val="577953C9"/>
    <w:rsid w:val="577A4C43"/>
    <w:rsid w:val="5781514F"/>
    <w:rsid w:val="578D15B1"/>
    <w:rsid w:val="57A25E51"/>
    <w:rsid w:val="57A80A97"/>
    <w:rsid w:val="57AB290B"/>
    <w:rsid w:val="57C16AE7"/>
    <w:rsid w:val="57E45843"/>
    <w:rsid w:val="57F22874"/>
    <w:rsid w:val="57F77A99"/>
    <w:rsid w:val="58036FF1"/>
    <w:rsid w:val="580E26D8"/>
    <w:rsid w:val="581F31B7"/>
    <w:rsid w:val="58367EC4"/>
    <w:rsid w:val="5847048E"/>
    <w:rsid w:val="58565193"/>
    <w:rsid w:val="585B2F03"/>
    <w:rsid w:val="58724BA7"/>
    <w:rsid w:val="58803767"/>
    <w:rsid w:val="58807951"/>
    <w:rsid w:val="58C53BF9"/>
    <w:rsid w:val="58DF4006"/>
    <w:rsid w:val="591724CF"/>
    <w:rsid w:val="591D14AE"/>
    <w:rsid w:val="591F64C4"/>
    <w:rsid w:val="59272B65"/>
    <w:rsid w:val="59284BD5"/>
    <w:rsid w:val="59324F49"/>
    <w:rsid w:val="593928F1"/>
    <w:rsid w:val="596E2614"/>
    <w:rsid w:val="59847F15"/>
    <w:rsid w:val="5987225B"/>
    <w:rsid w:val="59890768"/>
    <w:rsid w:val="59AE5E4D"/>
    <w:rsid w:val="59B30F36"/>
    <w:rsid w:val="59E35308"/>
    <w:rsid w:val="5A151319"/>
    <w:rsid w:val="5A567EF5"/>
    <w:rsid w:val="5A5A17E2"/>
    <w:rsid w:val="5A7E4921"/>
    <w:rsid w:val="5A8A3DB1"/>
    <w:rsid w:val="5A972372"/>
    <w:rsid w:val="5AA9184E"/>
    <w:rsid w:val="5AC72C61"/>
    <w:rsid w:val="5AD433FA"/>
    <w:rsid w:val="5AD9352C"/>
    <w:rsid w:val="5ADC5520"/>
    <w:rsid w:val="5AE31628"/>
    <w:rsid w:val="5AE80B9C"/>
    <w:rsid w:val="5AF77E33"/>
    <w:rsid w:val="5B0C3AF9"/>
    <w:rsid w:val="5B1B7F7F"/>
    <w:rsid w:val="5B3033C9"/>
    <w:rsid w:val="5B747B40"/>
    <w:rsid w:val="5B9135E6"/>
    <w:rsid w:val="5B976158"/>
    <w:rsid w:val="5BA3302A"/>
    <w:rsid w:val="5BC85BF2"/>
    <w:rsid w:val="5BD15CD7"/>
    <w:rsid w:val="5BD62506"/>
    <w:rsid w:val="5BE272F4"/>
    <w:rsid w:val="5C066391"/>
    <w:rsid w:val="5C166CA5"/>
    <w:rsid w:val="5C281CBF"/>
    <w:rsid w:val="5C375F97"/>
    <w:rsid w:val="5C3F2313"/>
    <w:rsid w:val="5C7F704A"/>
    <w:rsid w:val="5C992DE7"/>
    <w:rsid w:val="5CD003EE"/>
    <w:rsid w:val="5CD502ED"/>
    <w:rsid w:val="5CDB0255"/>
    <w:rsid w:val="5CDD2DC0"/>
    <w:rsid w:val="5CED0783"/>
    <w:rsid w:val="5CF750B0"/>
    <w:rsid w:val="5D0040C4"/>
    <w:rsid w:val="5D1B5705"/>
    <w:rsid w:val="5D3868D0"/>
    <w:rsid w:val="5D3D5F84"/>
    <w:rsid w:val="5D3E03A7"/>
    <w:rsid w:val="5D464C29"/>
    <w:rsid w:val="5D5C0714"/>
    <w:rsid w:val="5D72396D"/>
    <w:rsid w:val="5D771884"/>
    <w:rsid w:val="5D82078A"/>
    <w:rsid w:val="5D9406D1"/>
    <w:rsid w:val="5D96394F"/>
    <w:rsid w:val="5DC221B6"/>
    <w:rsid w:val="5DCC1CA1"/>
    <w:rsid w:val="5DF6043F"/>
    <w:rsid w:val="5DFE13F7"/>
    <w:rsid w:val="5E0A56D8"/>
    <w:rsid w:val="5E1E33A9"/>
    <w:rsid w:val="5E230800"/>
    <w:rsid w:val="5E271CE1"/>
    <w:rsid w:val="5E3B3CA9"/>
    <w:rsid w:val="5E3F7DAD"/>
    <w:rsid w:val="5E453DDA"/>
    <w:rsid w:val="5E53162C"/>
    <w:rsid w:val="5E8377B9"/>
    <w:rsid w:val="5E9C1ACB"/>
    <w:rsid w:val="5EC56BF4"/>
    <w:rsid w:val="5EC93112"/>
    <w:rsid w:val="5ECA75B8"/>
    <w:rsid w:val="5F103D27"/>
    <w:rsid w:val="5F88394B"/>
    <w:rsid w:val="5F8A6E4E"/>
    <w:rsid w:val="5F924DC1"/>
    <w:rsid w:val="5FA227CC"/>
    <w:rsid w:val="5FB95257"/>
    <w:rsid w:val="5FC664C8"/>
    <w:rsid w:val="5FC93F13"/>
    <w:rsid w:val="5FD93159"/>
    <w:rsid w:val="5FE837F5"/>
    <w:rsid w:val="5FF6617D"/>
    <w:rsid w:val="5FFE2592"/>
    <w:rsid w:val="603F0023"/>
    <w:rsid w:val="604134CD"/>
    <w:rsid w:val="604C0C43"/>
    <w:rsid w:val="605D42EA"/>
    <w:rsid w:val="60BA6E4F"/>
    <w:rsid w:val="60BC2341"/>
    <w:rsid w:val="60DB75D3"/>
    <w:rsid w:val="60FF5D94"/>
    <w:rsid w:val="61243ADB"/>
    <w:rsid w:val="615A7F35"/>
    <w:rsid w:val="618668C8"/>
    <w:rsid w:val="61AC22C2"/>
    <w:rsid w:val="61B13F9A"/>
    <w:rsid w:val="61BC05B0"/>
    <w:rsid w:val="61BF0745"/>
    <w:rsid w:val="62007B87"/>
    <w:rsid w:val="620361E5"/>
    <w:rsid w:val="62444D1E"/>
    <w:rsid w:val="62470D65"/>
    <w:rsid w:val="626211CB"/>
    <w:rsid w:val="626B4E79"/>
    <w:rsid w:val="626C5E8C"/>
    <w:rsid w:val="627D15E7"/>
    <w:rsid w:val="62851CDD"/>
    <w:rsid w:val="62A71108"/>
    <w:rsid w:val="62B12EE3"/>
    <w:rsid w:val="62C872A0"/>
    <w:rsid w:val="632623AE"/>
    <w:rsid w:val="6334467B"/>
    <w:rsid w:val="634B6A33"/>
    <w:rsid w:val="63537050"/>
    <w:rsid w:val="6366073D"/>
    <w:rsid w:val="637451BA"/>
    <w:rsid w:val="63856835"/>
    <w:rsid w:val="638C7095"/>
    <w:rsid w:val="63B1118B"/>
    <w:rsid w:val="64481CC9"/>
    <w:rsid w:val="644B7739"/>
    <w:rsid w:val="64530775"/>
    <w:rsid w:val="645A63E0"/>
    <w:rsid w:val="648264B3"/>
    <w:rsid w:val="648C1CA6"/>
    <w:rsid w:val="649C0C41"/>
    <w:rsid w:val="64B74F47"/>
    <w:rsid w:val="64BB1397"/>
    <w:rsid w:val="64CA33E1"/>
    <w:rsid w:val="64D360F3"/>
    <w:rsid w:val="64EB5CA0"/>
    <w:rsid w:val="64F91C54"/>
    <w:rsid w:val="65031CD1"/>
    <w:rsid w:val="650352E9"/>
    <w:rsid w:val="65053E1E"/>
    <w:rsid w:val="65054FBD"/>
    <w:rsid w:val="650B73ED"/>
    <w:rsid w:val="65420171"/>
    <w:rsid w:val="65526949"/>
    <w:rsid w:val="6569517A"/>
    <w:rsid w:val="657C30CF"/>
    <w:rsid w:val="658931EB"/>
    <w:rsid w:val="65BD50D4"/>
    <w:rsid w:val="65D373B2"/>
    <w:rsid w:val="65D5075D"/>
    <w:rsid w:val="65DD5452"/>
    <w:rsid w:val="65FC49E9"/>
    <w:rsid w:val="661B69F5"/>
    <w:rsid w:val="66240CDA"/>
    <w:rsid w:val="662A0A38"/>
    <w:rsid w:val="66486107"/>
    <w:rsid w:val="66494234"/>
    <w:rsid w:val="665011DF"/>
    <w:rsid w:val="666E2F01"/>
    <w:rsid w:val="668318A7"/>
    <w:rsid w:val="6684029B"/>
    <w:rsid w:val="668C16E3"/>
    <w:rsid w:val="669A7F65"/>
    <w:rsid w:val="66A35A24"/>
    <w:rsid w:val="66A65502"/>
    <w:rsid w:val="66B35A7A"/>
    <w:rsid w:val="66D76328"/>
    <w:rsid w:val="66DA3D3C"/>
    <w:rsid w:val="66DC180B"/>
    <w:rsid w:val="66E50D0E"/>
    <w:rsid w:val="66EC2A81"/>
    <w:rsid w:val="67164DA3"/>
    <w:rsid w:val="67247A5C"/>
    <w:rsid w:val="672B1A53"/>
    <w:rsid w:val="67313D78"/>
    <w:rsid w:val="67427C8E"/>
    <w:rsid w:val="67574B55"/>
    <w:rsid w:val="67917662"/>
    <w:rsid w:val="67C30AB2"/>
    <w:rsid w:val="680C0D40"/>
    <w:rsid w:val="6817653A"/>
    <w:rsid w:val="682A4B88"/>
    <w:rsid w:val="682F10B1"/>
    <w:rsid w:val="68542387"/>
    <w:rsid w:val="685A1EE9"/>
    <w:rsid w:val="688E6FDC"/>
    <w:rsid w:val="68946DA9"/>
    <w:rsid w:val="689B722B"/>
    <w:rsid w:val="68A42409"/>
    <w:rsid w:val="68A62796"/>
    <w:rsid w:val="68C95904"/>
    <w:rsid w:val="68E77426"/>
    <w:rsid w:val="690D5ADF"/>
    <w:rsid w:val="691C697F"/>
    <w:rsid w:val="692D497F"/>
    <w:rsid w:val="693A0334"/>
    <w:rsid w:val="69563B27"/>
    <w:rsid w:val="69567D99"/>
    <w:rsid w:val="69674BBF"/>
    <w:rsid w:val="69836008"/>
    <w:rsid w:val="69841C93"/>
    <w:rsid w:val="69892653"/>
    <w:rsid w:val="69B7412B"/>
    <w:rsid w:val="69BD5D28"/>
    <w:rsid w:val="69C27024"/>
    <w:rsid w:val="69CC7479"/>
    <w:rsid w:val="69E43C45"/>
    <w:rsid w:val="69F41164"/>
    <w:rsid w:val="69F5715D"/>
    <w:rsid w:val="6A270136"/>
    <w:rsid w:val="6A346DB0"/>
    <w:rsid w:val="6A5128E7"/>
    <w:rsid w:val="6A555782"/>
    <w:rsid w:val="6A617017"/>
    <w:rsid w:val="6A62085F"/>
    <w:rsid w:val="6A6D17E9"/>
    <w:rsid w:val="6A7F68EE"/>
    <w:rsid w:val="6A897109"/>
    <w:rsid w:val="6A970FBC"/>
    <w:rsid w:val="6A9F20FF"/>
    <w:rsid w:val="6AAD7CD0"/>
    <w:rsid w:val="6AC04C83"/>
    <w:rsid w:val="6AC255E7"/>
    <w:rsid w:val="6AD63407"/>
    <w:rsid w:val="6AE9375B"/>
    <w:rsid w:val="6AEF0C5E"/>
    <w:rsid w:val="6B1509C2"/>
    <w:rsid w:val="6B31046B"/>
    <w:rsid w:val="6B3A79C8"/>
    <w:rsid w:val="6B400911"/>
    <w:rsid w:val="6B41632D"/>
    <w:rsid w:val="6B4C4CA6"/>
    <w:rsid w:val="6B4F2CA1"/>
    <w:rsid w:val="6BA0669E"/>
    <w:rsid w:val="6BC16A63"/>
    <w:rsid w:val="6BCB6198"/>
    <w:rsid w:val="6BE31CE9"/>
    <w:rsid w:val="6BF63C41"/>
    <w:rsid w:val="6BF77DC1"/>
    <w:rsid w:val="6C160BB0"/>
    <w:rsid w:val="6C1908AC"/>
    <w:rsid w:val="6C2D5854"/>
    <w:rsid w:val="6C696408"/>
    <w:rsid w:val="6C6D2D0D"/>
    <w:rsid w:val="6C727629"/>
    <w:rsid w:val="6C7453DE"/>
    <w:rsid w:val="6C855301"/>
    <w:rsid w:val="6CA026F1"/>
    <w:rsid w:val="6CBC13F4"/>
    <w:rsid w:val="6CD25BDE"/>
    <w:rsid w:val="6CDB760C"/>
    <w:rsid w:val="6D014DE6"/>
    <w:rsid w:val="6D016666"/>
    <w:rsid w:val="6D1F041D"/>
    <w:rsid w:val="6D4C79DE"/>
    <w:rsid w:val="6D8650A8"/>
    <w:rsid w:val="6D877959"/>
    <w:rsid w:val="6D9209C4"/>
    <w:rsid w:val="6DA97C2D"/>
    <w:rsid w:val="6DB036E0"/>
    <w:rsid w:val="6DF339FD"/>
    <w:rsid w:val="6DF767A3"/>
    <w:rsid w:val="6E000787"/>
    <w:rsid w:val="6E091096"/>
    <w:rsid w:val="6E4352D1"/>
    <w:rsid w:val="6E68594D"/>
    <w:rsid w:val="6E737441"/>
    <w:rsid w:val="6EBC030F"/>
    <w:rsid w:val="6EBC04AD"/>
    <w:rsid w:val="6EBC1F01"/>
    <w:rsid w:val="6EE7690C"/>
    <w:rsid w:val="6F2F55F5"/>
    <w:rsid w:val="6F64004E"/>
    <w:rsid w:val="6F6D549F"/>
    <w:rsid w:val="6F833ED3"/>
    <w:rsid w:val="6FB27F32"/>
    <w:rsid w:val="6FE31E38"/>
    <w:rsid w:val="6FE9701D"/>
    <w:rsid w:val="6FF806A1"/>
    <w:rsid w:val="700B69B6"/>
    <w:rsid w:val="7016717C"/>
    <w:rsid w:val="701F46BD"/>
    <w:rsid w:val="702C2253"/>
    <w:rsid w:val="704F6C8A"/>
    <w:rsid w:val="70512CBB"/>
    <w:rsid w:val="706F7AF1"/>
    <w:rsid w:val="7073649E"/>
    <w:rsid w:val="70961C24"/>
    <w:rsid w:val="70997EB1"/>
    <w:rsid w:val="70B7737C"/>
    <w:rsid w:val="70B92CE1"/>
    <w:rsid w:val="70C61C53"/>
    <w:rsid w:val="70D06298"/>
    <w:rsid w:val="70D154FC"/>
    <w:rsid w:val="70D37054"/>
    <w:rsid w:val="70F03E32"/>
    <w:rsid w:val="70F41DF3"/>
    <w:rsid w:val="70FD6B31"/>
    <w:rsid w:val="71263532"/>
    <w:rsid w:val="71436850"/>
    <w:rsid w:val="71C071E9"/>
    <w:rsid w:val="71DF5A6C"/>
    <w:rsid w:val="71EE6E25"/>
    <w:rsid w:val="71FC599A"/>
    <w:rsid w:val="72085F0E"/>
    <w:rsid w:val="723C7C02"/>
    <w:rsid w:val="7248108B"/>
    <w:rsid w:val="724A05E8"/>
    <w:rsid w:val="724D54DA"/>
    <w:rsid w:val="72573420"/>
    <w:rsid w:val="726D2B99"/>
    <w:rsid w:val="72811853"/>
    <w:rsid w:val="729C3ADB"/>
    <w:rsid w:val="729C5E28"/>
    <w:rsid w:val="72AD647B"/>
    <w:rsid w:val="72BC0523"/>
    <w:rsid w:val="72BD5E94"/>
    <w:rsid w:val="72D37019"/>
    <w:rsid w:val="73112B0E"/>
    <w:rsid w:val="73122F1C"/>
    <w:rsid w:val="733A1E58"/>
    <w:rsid w:val="733F0605"/>
    <w:rsid w:val="7342058C"/>
    <w:rsid w:val="73580214"/>
    <w:rsid w:val="73735CE2"/>
    <w:rsid w:val="738730CC"/>
    <w:rsid w:val="738B56B3"/>
    <w:rsid w:val="738C1DEC"/>
    <w:rsid w:val="73905898"/>
    <w:rsid w:val="73C05842"/>
    <w:rsid w:val="73CD5085"/>
    <w:rsid w:val="73D253C5"/>
    <w:rsid w:val="73D9728E"/>
    <w:rsid w:val="73FD0B65"/>
    <w:rsid w:val="73FE6354"/>
    <w:rsid w:val="74045F5B"/>
    <w:rsid w:val="741065A6"/>
    <w:rsid w:val="74261C2A"/>
    <w:rsid w:val="743E4FDA"/>
    <w:rsid w:val="74454306"/>
    <w:rsid w:val="745D14B7"/>
    <w:rsid w:val="747779E8"/>
    <w:rsid w:val="74824798"/>
    <w:rsid w:val="74AE7EC3"/>
    <w:rsid w:val="74BE1A94"/>
    <w:rsid w:val="7502185A"/>
    <w:rsid w:val="75042CB0"/>
    <w:rsid w:val="751F5A9C"/>
    <w:rsid w:val="75325F01"/>
    <w:rsid w:val="7553092D"/>
    <w:rsid w:val="755B7EA8"/>
    <w:rsid w:val="7595642F"/>
    <w:rsid w:val="75C07742"/>
    <w:rsid w:val="75CD5B0E"/>
    <w:rsid w:val="75F730E2"/>
    <w:rsid w:val="76075D1D"/>
    <w:rsid w:val="762B6B2F"/>
    <w:rsid w:val="763F7F9F"/>
    <w:rsid w:val="76495049"/>
    <w:rsid w:val="76680E2B"/>
    <w:rsid w:val="767239E5"/>
    <w:rsid w:val="768A401D"/>
    <w:rsid w:val="76937039"/>
    <w:rsid w:val="7697416F"/>
    <w:rsid w:val="769F52A1"/>
    <w:rsid w:val="76AA20E5"/>
    <w:rsid w:val="76B37D2C"/>
    <w:rsid w:val="76EE55AC"/>
    <w:rsid w:val="76F220C7"/>
    <w:rsid w:val="77047779"/>
    <w:rsid w:val="772671D2"/>
    <w:rsid w:val="77405661"/>
    <w:rsid w:val="77440E21"/>
    <w:rsid w:val="77746DB1"/>
    <w:rsid w:val="779F79D2"/>
    <w:rsid w:val="77AE4C12"/>
    <w:rsid w:val="77AE557D"/>
    <w:rsid w:val="77DF569A"/>
    <w:rsid w:val="780139E8"/>
    <w:rsid w:val="78121F2E"/>
    <w:rsid w:val="78344EE6"/>
    <w:rsid w:val="783A61D4"/>
    <w:rsid w:val="7844255D"/>
    <w:rsid w:val="78444A87"/>
    <w:rsid w:val="784721A0"/>
    <w:rsid w:val="785E0E06"/>
    <w:rsid w:val="78696411"/>
    <w:rsid w:val="7883255F"/>
    <w:rsid w:val="7885742D"/>
    <w:rsid w:val="78866106"/>
    <w:rsid w:val="78915E65"/>
    <w:rsid w:val="78972FCD"/>
    <w:rsid w:val="78AD5C51"/>
    <w:rsid w:val="78B54A54"/>
    <w:rsid w:val="78C920C8"/>
    <w:rsid w:val="78CB24D8"/>
    <w:rsid w:val="78CB4BD8"/>
    <w:rsid w:val="78D90277"/>
    <w:rsid w:val="78E215F4"/>
    <w:rsid w:val="78F66B43"/>
    <w:rsid w:val="7907149F"/>
    <w:rsid w:val="791D5EFE"/>
    <w:rsid w:val="792E5ADB"/>
    <w:rsid w:val="792E5ECF"/>
    <w:rsid w:val="793A736F"/>
    <w:rsid w:val="79484259"/>
    <w:rsid w:val="795A6E1D"/>
    <w:rsid w:val="79630533"/>
    <w:rsid w:val="7972680A"/>
    <w:rsid w:val="799F4D83"/>
    <w:rsid w:val="79A63AAF"/>
    <w:rsid w:val="79B35723"/>
    <w:rsid w:val="79BF0825"/>
    <w:rsid w:val="79C32118"/>
    <w:rsid w:val="7A030083"/>
    <w:rsid w:val="7A3352C5"/>
    <w:rsid w:val="7A3D27CB"/>
    <w:rsid w:val="7A435623"/>
    <w:rsid w:val="7A5636DB"/>
    <w:rsid w:val="7A5A4664"/>
    <w:rsid w:val="7A840D5E"/>
    <w:rsid w:val="7A981DCF"/>
    <w:rsid w:val="7A990E28"/>
    <w:rsid w:val="7AAD422E"/>
    <w:rsid w:val="7ACC29DF"/>
    <w:rsid w:val="7AF00FBF"/>
    <w:rsid w:val="7B036CB8"/>
    <w:rsid w:val="7B0D6371"/>
    <w:rsid w:val="7B425546"/>
    <w:rsid w:val="7B5E2D46"/>
    <w:rsid w:val="7B62387C"/>
    <w:rsid w:val="7B631AB3"/>
    <w:rsid w:val="7B715A61"/>
    <w:rsid w:val="7B7C01F3"/>
    <w:rsid w:val="7B7C4E74"/>
    <w:rsid w:val="7B8E0777"/>
    <w:rsid w:val="7B9A1458"/>
    <w:rsid w:val="7BB0072A"/>
    <w:rsid w:val="7BC71E77"/>
    <w:rsid w:val="7BF662EE"/>
    <w:rsid w:val="7BF7021D"/>
    <w:rsid w:val="7BFF1548"/>
    <w:rsid w:val="7C0F05A7"/>
    <w:rsid w:val="7C16565F"/>
    <w:rsid w:val="7C354AAE"/>
    <w:rsid w:val="7C536936"/>
    <w:rsid w:val="7C585E3C"/>
    <w:rsid w:val="7C650FA9"/>
    <w:rsid w:val="7C816FEB"/>
    <w:rsid w:val="7C907171"/>
    <w:rsid w:val="7CBF0ED4"/>
    <w:rsid w:val="7CE945FD"/>
    <w:rsid w:val="7CF01E50"/>
    <w:rsid w:val="7D254BDC"/>
    <w:rsid w:val="7D2D083F"/>
    <w:rsid w:val="7D497142"/>
    <w:rsid w:val="7D703797"/>
    <w:rsid w:val="7D783084"/>
    <w:rsid w:val="7D7F4BE5"/>
    <w:rsid w:val="7D814D3F"/>
    <w:rsid w:val="7D90280C"/>
    <w:rsid w:val="7D9163DF"/>
    <w:rsid w:val="7DD11077"/>
    <w:rsid w:val="7DE328AD"/>
    <w:rsid w:val="7DF7205D"/>
    <w:rsid w:val="7E316932"/>
    <w:rsid w:val="7E57474F"/>
    <w:rsid w:val="7E597CD7"/>
    <w:rsid w:val="7E5A355A"/>
    <w:rsid w:val="7EB0558F"/>
    <w:rsid w:val="7EB65692"/>
    <w:rsid w:val="7EF42BBA"/>
    <w:rsid w:val="7EF62377"/>
    <w:rsid w:val="7EF96EB6"/>
    <w:rsid w:val="7EFF54A2"/>
    <w:rsid w:val="7F0A2079"/>
    <w:rsid w:val="7F1B49D7"/>
    <w:rsid w:val="7F2002CB"/>
    <w:rsid w:val="7F377547"/>
    <w:rsid w:val="7F3D15CE"/>
    <w:rsid w:val="7F4A43D7"/>
    <w:rsid w:val="7F694513"/>
    <w:rsid w:val="7F765689"/>
    <w:rsid w:val="7F9B1A35"/>
    <w:rsid w:val="7FA6487B"/>
    <w:rsid w:val="7FAA69A4"/>
    <w:rsid w:val="7FB90916"/>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link w:val="56"/>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index 1"/>
    <w:basedOn w:val="1"/>
    <w:next w:val="1"/>
    <w:semiHidden/>
    <w:qFormat/>
    <w:uiPriority w:val="0"/>
    <w:rPr>
      <w:szCs w:val="20"/>
    </w:rPr>
  </w:style>
  <w:style w:type="paragraph" w:styleId="22">
    <w:name w:val="annotation subject"/>
    <w:basedOn w:val="8"/>
    <w:next w:val="8"/>
    <w:semiHidden/>
    <w:qFormat/>
    <w:uiPriority w:val="0"/>
    <w:rPr>
      <w:rFonts w:ascii="Times New Roman" w:eastAsia="宋体"/>
      <w:b/>
      <w:bCs/>
      <w:sz w:val="21"/>
      <w:szCs w:val="24"/>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single"/>
    </w:rPr>
  </w:style>
  <w:style w:type="character" w:styleId="29">
    <w:name w:val="Hyperlink"/>
    <w:basedOn w:val="25"/>
    <w:qFormat/>
    <w:uiPriority w:val="99"/>
    <w:rPr>
      <w:color w:val="0000FF"/>
      <w:u w:val="single"/>
    </w:rPr>
  </w:style>
  <w:style w:type="character" w:styleId="30">
    <w:name w:val="annotation reference"/>
    <w:semiHidden/>
    <w:qFormat/>
    <w:uiPriority w:val="99"/>
    <w:rPr>
      <w:sz w:val="21"/>
      <w:szCs w:val="21"/>
    </w:rPr>
  </w:style>
  <w:style w:type="character" w:customStyle="1" w:styleId="31">
    <w:name w:val="文档结构图 字符"/>
    <w:link w:val="7"/>
    <w:qFormat/>
    <w:uiPriority w:val="0"/>
    <w:rPr>
      <w:rFonts w:ascii="宋体" w:eastAsia="宋体"/>
      <w:kern w:val="2"/>
      <w:sz w:val="18"/>
      <w:szCs w:val="18"/>
      <w:lang w:val="en-US" w:eastAsia="zh-CN" w:bidi="ar-SA"/>
    </w:rPr>
  </w:style>
  <w:style w:type="character" w:customStyle="1" w:styleId="32">
    <w:name w:val="批注文字 字符"/>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TOC 3 字符"/>
    <w:link w:val="10"/>
    <w:qFormat/>
    <w:uiPriority w:val="39"/>
    <w:rPr>
      <w:sz w:val="24"/>
    </w:rPr>
  </w:style>
  <w:style w:type="character" w:customStyle="1" w:styleId="36">
    <w:name w:val="纯文本 字符"/>
    <w:link w:val="11"/>
    <w:qFormat/>
    <w:uiPriority w:val="0"/>
    <w:rPr>
      <w:rFonts w:ascii="宋体" w:hAnsi="Courier New"/>
      <w:kern w:val="2"/>
      <w:sz w:val="21"/>
    </w:rPr>
  </w:style>
  <w:style w:type="character" w:customStyle="1" w:styleId="37">
    <w:name w:val="页脚 字符"/>
    <w:basedOn w:val="25"/>
    <w:link w:val="15"/>
    <w:qFormat/>
    <w:uiPriority w:val="99"/>
    <w:rPr>
      <w:kern w:val="2"/>
      <w:sz w:val="18"/>
      <w:szCs w:val="18"/>
    </w:rPr>
  </w:style>
  <w:style w:type="character" w:customStyle="1" w:styleId="38">
    <w:name w:val="正文文本缩进 字符"/>
    <w:link w:val="9"/>
    <w:qFormat/>
    <w:uiPriority w:val="0"/>
  </w:style>
  <w:style w:type="character" w:customStyle="1" w:styleId="39">
    <w:name w:val="正文缩进 字符"/>
    <w:link w:val="5"/>
    <w:qFormat/>
    <w:uiPriority w:val="0"/>
    <w:rPr>
      <w:rFonts w:ascii="宋体" w:eastAsia="宋体"/>
      <w:sz w:val="24"/>
      <w:lang w:val="en-US" w:eastAsia="zh-CN" w:bidi="ar-SA"/>
    </w:rPr>
  </w:style>
  <w:style w:type="character" w:customStyle="1" w:styleId="40">
    <w:name w:val="日期 字符"/>
    <w:basedOn w:val="25"/>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批注文字 Char1"/>
    <w:basedOn w:val="25"/>
    <w:semiHidden/>
    <w:qFormat/>
    <w:uiPriority w:val="99"/>
    <w:rPr>
      <w:rFonts w:ascii="Times New Roman" w:hAnsi="Times New Roman" w:eastAsia="宋体" w:cs="Times New Roman"/>
      <w:szCs w:val="24"/>
    </w:rPr>
  </w:style>
  <w:style w:type="paragraph" w:styleId="55">
    <w:name w:val="List Paragraph"/>
    <w:basedOn w:val="1"/>
    <w:qFormat/>
    <w:uiPriority w:val="99"/>
    <w:pPr>
      <w:ind w:firstLine="420" w:firstLineChars="200"/>
    </w:pPr>
  </w:style>
  <w:style w:type="character" w:customStyle="1" w:styleId="56">
    <w:name w:val="标题 3 字符"/>
    <w:basedOn w:val="25"/>
    <w:link w:val="6"/>
    <w:qFormat/>
    <w:uiPriority w:val="0"/>
    <w:rPr>
      <w:rFonts w:ascii="宋体"/>
      <w:b/>
      <w:sz w:val="24"/>
    </w:rPr>
  </w:style>
  <w:style w:type="character" w:customStyle="1" w:styleId="57">
    <w:name w:val="font01"/>
    <w:basedOn w:val="25"/>
    <w:qFormat/>
    <w:uiPriority w:val="0"/>
    <w:rPr>
      <w:rFonts w:hint="eastAsia" w:ascii="宋体" w:hAnsi="宋体" w:eastAsia="宋体" w:cs="宋体"/>
      <w:color w:val="000000"/>
      <w:sz w:val="20"/>
      <w:szCs w:val="20"/>
      <w:u w:val="none"/>
      <w:vertAlign w:val="superscript"/>
    </w:rPr>
  </w:style>
  <w:style w:type="paragraph" w:customStyle="1" w:styleId="58">
    <w:name w:val="Table Paragraph"/>
    <w:basedOn w:val="1"/>
    <w:qFormat/>
    <w:uiPriority w:val="0"/>
    <w:pPr>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4646</Words>
  <Characters>26484</Characters>
  <Lines>220</Lines>
  <Paragraphs>62</Paragraphs>
  <TotalTime>15</TotalTime>
  <ScaleCrop>false</ScaleCrop>
  <LinksUpToDate>false</LinksUpToDate>
  <CharactersWithSpaces>31068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2021-07-09T07:59:59Z</dcterms:modified>
  <dc:title>招标文件</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1E9AC2B4AA9A469BB57CF3A94A806EBC</vt:lpwstr>
  </property>
</Properties>
</file>