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2D885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 w:eastAsia="宋体"/>
          <w:lang w:eastAsia="zh-CN"/>
        </w:rPr>
      </w:pPr>
      <w:bookmarkStart w:id="5" w:name="_GoBack"/>
      <w:bookmarkEnd w:id="5"/>
      <w:bookmarkStart w:id="0" w:name="_Toc466024555"/>
      <w:bookmarkStart w:id="1" w:name="_Toc445554746"/>
      <w:bookmarkStart w:id="2" w:name="_Toc51074825"/>
      <w:r>
        <w:rPr>
          <w:rFonts w:hint="eastAsia" w:ascii="宋体" w:hAnsi="宋体"/>
        </w:rPr>
        <w:t xml:space="preserve"> </w:t>
      </w:r>
      <w:r>
        <w:rPr>
          <w:rFonts w:hint="eastAsia" w:ascii="宋体" w:hAnsi="宋体"/>
          <w:sz w:val="32"/>
          <w:szCs w:val="32"/>
        </w:rPr>
        <w:t>采购需求</w:t>
      </w:r>
      <w:bookmarkEnd w:id="0"/>
      <w:bookmarkEnd w:id="1"/>
      <w:bookmarkEnd w:id="2"/>
      <w:r>
        <w:rPr>
          <w:rFonts w:hint="eastAsia" w:ascii="宋体" w:hAnsi="宋体"/>
          <w:sz w:val="32"/>
          <w:szCs w:val="32"/>
          <w:lang w:eastAsia="zh-CN"/>
        </w:rPr>
        <w:t>（</w:t>
      </w:r>
      <w:r>
        <w:rPr>
          <w:rFonts w:hint="eastAsia" w:ascii="宋体" w:hAnsi="宋体"/>
          <w:sz w:val="32"/>
          <w:szCs w:val="32"/>
          <w:lang w:val="en-US" w:eastAsia="zh-CN"/>
        </w:rPr>
        <w:t>仅供参考，已采购文件为准</w:t>
      </w:r>
      <w:r>
        <w:rPr>
          <w:rFonts w:hint="eastAsia" w:ascii="宋体" w:hAnsi="宋体"/>
          <w:sz w:val="32"/>
          <w:szCs w:val="32"/>
          <w:lang w:eastAsia="zh-CN"/>
        </w:rPr>
        <w:t>）</w:t>
      </w:r>
    </w:p>
    <w:p w14:paraId="42FD4B5E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一、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商务要求</w:t>
      </w:r>
    </w:p>
    <w:tbl>
      <w:tblPr>
        <w:tblStyle w:val="4"/>
        <w:tblW w:w="0" w:type="auto"/>
        <w:tblInd w:w="-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793"/>
        <w:gridCol w:w="6093"/>
      </w:tblGrid>
      <w:tr w14:paraId="007197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10" w:hRule="atLeast"/>
        </w:trPr>
        <w:tc>
          <w:tcPr>
            <w:tcW w:w="1020" w:type="dxa"/>
            <w:noWrap w:val="0"/>
            <w:vAlign w:val="center"/>
          </w:tcPr>
          <w:p w14:paraId="4AB4E6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93" w:type="dxa"/>
            <w:noWrap w:val="0"/>
            <w:vAlign w:val="center"/>
          </w:tcPr>
          <w:p w14:paraId="0A5BFD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条款名称</w:t>
            </w:r>
          </w:p>
        </w:tc>
        <w:tc>
          <w:tcPr>
            <w:tcW w:w="6093" w:type="dxa"/>
            <w:noWrap w:val="0"/>
            <w:vAlign w:val="center"/>
          </w:tcPr>
          <w:p w14:paraId="4D8BAB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内容、说明与要求</w:t>
            </w:r>
          </w:p>
        </w:tc>
      </w:tr>
      <w:tr w14:paraId="468A80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020" w:type="dxa"/>
            <w:noWrap w:val="0"/>
            <w:vAlign w:val="center"/>
          </w:tcPr>
          <w:p w14:paraId="156B8F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93" w:type="dxa"/>
            <w:noWrap w:val="0"/>
            <w:vAlign w:val="center"/>
          </w:tcPr>
          <w:p w14:paraId="5BBC92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付款方式</w:t>
            </w:r>
          </w:p>
        </w:tc>
        <w:tc>
          <w:tcPr>
            <w:tcW w:w="6093" w:type="dxa"/>
            <w:noWrap w:val="0"/>
            <w:vAlign w:val="center"/>
          </w:tcPr>
          <w:p w14:paraId="5804E1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供货及安装维修完成，经采购人验收合格后一次性付清合同价款。</w:t>
            </w:r>
          </w:p>
        </w:tc>
      </w:tr>
      <w:tr w14:paraId="3F9AF4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20" w:type="dxa"/>
            <w:noWrap w:val="0"/>
            <w:vAlign w:val="center"/>
          </w:tcPr>
          <w:p w14:paraId="49CF76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793" w:type="dxa"/>
            <w:noWrap w:val="0"/>
            <w:vAlign w:val="center"/>
          </w:tcPr>
          <w:p w14:paraId="25A953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6093" w:type="dxa"/>
            <w:noWrap w:val="0"/>
            <w:vAlign w:val="center"/>
          </w:tcPr>
          <w:p w14:paraId="6DF304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安庆职业技术学院，采购人指定地点</w:t>
            </w:r>
          </w:p>
        </w:tc>
      </w:tr>
      <w:tr w14:paraId="2F46F8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20" w:type="dxa"/>
            <w:noWrap w:val="0"/>
            <w:vAlign w:val="center"/>
          </w:tcPr>
          <w:p w14:paraId="066C07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793" w:type="dxa"/>
            <w:noWrap w:val="0"/>
            <w:vAlign w:val="center"/>
          </w:tcPr>
          <w:p w14:paraId="4DE05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合同履行期限</w:t>
            </w:r>
          </w:p>
        </w:tc>
        <w:tc>
          <w:tcPr>
            <w:tcW w:w="6093" w:type="dxa"/>
            <w:noWrap w:val="0"/>
            <w:vAlign w:val="center"/>
          </w:tcPr>
          <w:p w14:paraId="4264D7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合同签订后30日历天内完成所有工作。</w:t>
            </w:r>
          </w:p>
        </w:tc>
      </w:tr>
    </w:tbl>
    <w:p w14:paraId="21ABCB4C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二、项目概况及采购范围 </w:t>
      </w:r>
    </w:p>
    <w:p w14:paraId="63599DC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购人校园视频监控系统建设较早，设备、管网、线路老化严重，很多监控点无法正常工作。鉴于此需解决线路重组，对部分监控点移位，相关监控设备进行维修，以及安防系统进行维护。另外，对学生宿舍5、6、7号楼北边盲区增装监控。</w:t>
      </w:r>
    </w:p>
    <w:p w14:paraId="0E42FE52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bookmarkStart w:id="3" w:name="三、总体要求"/>
      <w:bookmarkEnd w:id="3"/>
      <w:bookmarkStart w:id="4" w:name="（一）本地化服务"/>
      <w:bookmarkEnd w:id="4"/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三、服务要求</w:t>
      </w:r>
    </w:p>
    <w:tbl>
      <w:tblPr>
        <w:tblStyle w:val="4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419"/>
        <w:gridCol w:w="4683"/>
        <w:gridCol w:w="709"/>
        <w:gridCol w:w="709"/>
        <w:gridCol w:w="1298"/>
      </w:tblGrid>
      <w:tr w14:paraId="1269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673" w:type="dxa"/>
            <w:noWrap w:val="0"/>
            <w:vAlign w:val="center"/>
          </w:tcPr>
          <w:p w14:paraId="3057259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序号</w:t>
            </w:r>
          </w:p>
        </w:tc>
        <w:tc>
          <w:tcPr>
            <w:tcW w:w="1419" w:type="dxa"/>
            <w:noWrap w:val="0"/>
            <w:vAlign w:val="center"/>
          </w:tcPr>
          <w:p w14:paraId="40EAADC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设备名称</w:t>
            </w:r>
          </w:p>
        </w:tc>
        <w:tc>
          <w:tcPr>
            <w:tcW w:w="4683" w:type="dxa"/>
            <w:noWrap w:val="0"/>
            <w:vAlign w:val="center"/>
          </w:tcPr>
          <w:p w14:paraId="116C954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技术参数</w:t>
            </w:r>
          </w:p>
        </w:tc>
        <w:tc>
          <w:tcPr>
            <w:tcW w:w="709" w:type="dxa"/>
            <w:noWrap w:val="0"/>
            <w:vAlign w:val="center"/>
          </w:tcPr>
          <w:p w14:paraId="12A0195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数量</w:t>
            </w:r>
          </w:p>
        </w:tc>
        <w:tc>
          <w:tcPr>
            <w:tcW w:w="709" w:type="dxa"/>
            <w:noWrap w:val="0"/>
            <w:vAlign w:val="center"/>
          </w:tcPr>
          <w:p w14:paraId="32D78A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单位</w:t>
            </w:r>
          </w:p>
        </w:tc>
        <w:tc>
          <w:tcPr>
            <w:tcW w:w="1298" w:type="dxa"/>
            <w:noWrap w:val="0"/>
            <w:vAlign w:val="center"/>
          </w:tcPr>
          <w:p w14:paraId="0814E9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3D7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644A55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419" w:type="dxa"/>
            <w:noWrap w:val="0"/>
            <w:vAlign w:val="center"/>
          </w:tcPr>
          <w:p w14:paraId="60FBE3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机柜</w:t>
            </w:r>
          </w:p>
        </w:tc>
        <w:tc>
          <w:tcPr>
            <w:tcW w:w="4683" w:type="dxa"/>
            <w:noWrap w:val="0"/>
            <w:vAlign w:val="center"/>
          </w:tcPr>
          <w:p w14:paraId="7976F55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室外防水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不锈钢材质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尺寸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大于或等于5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00mm*400mm*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0mm</w:t>
            </w:r>
          </w:p>
        </w:tc>
        <w:tc>
          <w:tcPr>
            <w:tcW w:w="709" w:type="dxa"/>
            <w:noWrap w:val="0"/>
            <w:vAlign w:val="center"/>
          </w:tcPr>
          <w:p w14:paraId="29273F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9" w:type="dxa"/>
            <w:noWrap w:val="0"/>
            <w:vAlign w:val="center"/>
          </w:tcPr>
          <w:p w14:paraId="628779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个</w:t>
            </w:r>
          </w:p>
        </w:tc>
        <w:tc>
          <w:tcPr>
            <w:tcW w:w="1298" w:type="dxa"/>
            <w:noWrap w:val="0"/>
            <w:vAlign w:val="center"/>
          </w:tcPr>
          <w:p w14:paraId="585867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2FF1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5EA400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0836FD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网线</w:t>
            </w:r>
          </w:p>
        </w:tc>
        <w:tc>
          <w:tcPr>
            <w:tcW w:w="4683" w:type="dxa"/>
            <w:noWrap w:val="0"/>
            <w:vAlign w:val="center"/>
          </w:tcPr>
          <w:p w14:paraId="4971D75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国标网线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，线径大于或等于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0.51mm</w:t>
            </w:r>
          </w:p>
        </w:tc>
        <w:tc>
          <w:tcPr>
            <w:tcW w:w="709" w:type="dxa"/>
            <w:noWrap w:val="0"/>
            <w:vAlign w:val="center"/>
          </w:tcPr>
          <w:p w14:paraId="71642D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9" w:type="dxa"/>
            <w:noWrap w:val="0"/>
            <w:vAlign w:val="center"/>
          </w:tcPr>
          <w:p w14:paraId="1F34B9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箱</w:t>
            </w:r>
          </w:p>
        </w:tc>
        <w:tc>
          <w:tcPr>
            <w:tcW w:w="1298" w:type="dxa"/>
            <w:noWrap w:val="0"/>
            <w:vAlign w:val="center"/>
          </w:tcPr>
          <w:p w14:paraId="7786C5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930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6CB173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419" w:type="dxa"/>
            <w:noWrap w:val="0"/>
            <w:vAlign w:val="center"/>
          </w:tcPr>
          <w:p w14:paraId="55F1EA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光纤收发器</w:t>
            </w:r>
          </w:p>
        </w:tc>
        <w:tc>
          <w:tcPr>
            <w:tcW w:w="4683" w:type="dxa"/>
            <w:noWrap w:val="0"/>
            <w:vAlign w:val="center"/>
          </w:tcPr>
          <w:p w14:paraId="0127C5F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全千兆接口，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A端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B端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</w:t>
            </w:r>
          </w:p>
        </w:tc>
        <w:tc>
          <w:tcPr>
            <w:tcW w:w="709" w:type="dxa"/>
            <w:noWrap w:val="0"/>
            <w:vAlign w:val="center"/>
          </w:tcPr>
          <w:p w14:paraId="7C3482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709" w:type="dxa"/>
            <w:noWrap w:val="0"/>
            <w:vAlign w:val="center"/>
          </w:tcPr>
          <w:p w14:paraId="383075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对</w:t>
            </w:r>
          </w:p>
        </w:tc>
        <w:tc>
          <w:tcPr>
            <w:tcW w:w="1298" w:type="dxa"/>
            <w:noWrap w:val="0"/>
            <w:vAlign w:val="center"/>
          </w:tcPr>
          <w:p w14:paraId="201A54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34D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4D755A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419" w:type="dxa"/>
            <w:noWrap w:val="0"/>
            <w:vAlign w:val="center"/>
          </w:tcPr>
          <w:p w14:paraId="559FEB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光纤盒</w:t>
            </w:r>
          </w:p>
        </w:tc>
        <w:tc>
          <w:tcPr>
            <w:tcW w:w="4683" w:type="dxa"/>
            <w:noWrap w:val="0"/>
            <w:vAlign w:val="center"/>
          </w:tcPr>
          <w:p w14:paraId="5836637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1进4出光纤盒（含配套光纤跳线）</w:t>
            </w:r>
          </w:p>
        </w:tc>
        <w:tc>
          <w:tcPr>
            <w:tcW w:w="709" w:type="dxa"/>
            <w:noWrap w:val="0"/>
            <w:vAlign w:val="center"/>
          </w:tcPr>
          <w:p w14:paraId="5C4F1D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09" w:type="dxa"/>
            <w:noWrap w:val="0"/>
            <w:vAlign w:val="center"/>
          </w:tcPr>
          <w:p w14:paraId="6461E0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套</w:t>
            </w:r>
          </w:p>
        </w:tc>
        <w:tc>
          <w:tcPr>
            <w:tcW w:w="1298" w:type="dxa"/>
            <w:noWrap w:val="0"/>
            <w:vAlign w:val="center"/>
          </w:tcPr>
          <w:p w14:paraId="41BD1C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582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7D3701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1419" w:type="dxa"/>
            <w:noWrap w:val="0"/>
            <w:vAlign w:val="center"/>
          </w:tcPr>
          <w:p w14:paraId="15EF64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光缆</w:t>
            </w:r>
          </w:p>
        </w:tc>
        <w:tc>
          <w:tcPr>
            <w:tcW w:w="4683" w:type="dxa"/>
            <w:noWrap w:val="0"/>
            <w:vAlign w:val="center"/>
          </w:tcPr>
          <w:p w14:paraId="1A2AE1A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12芯单模光缆</w:t>
            </w:r>
          </w:p>
        </w:tc>
        <w:tc>
          <w:tcPr>
            <w:tcW w:w="709" w:type="dxa"/>
            <w:noWrap w:val="0"/>
            <w:vAlign w:val="center"/>
          </w:tcPr>
          <w:p w14:paraId="12B48C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3800</w:t>
            </w:r>
          </w:p>
        </w:tc>
        <w:tc>
          <w:tcPr>
            <w:tcW w:w="709" w:type="dxa"/>
            <w:noWrap w:val="0"/>
            <w:vAlign w:val="center"/>
          </w:tcPr>
          <w:p w14:paraId="5A4303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米</w:t>
            </w:r>
          </w:p>
        </w:tc>
        <w:tc>
          <w:tcPr>
            <w:tcW w:w="1298" w:type="dxa"/>
            <w:noWrap w:val="0"/>
            <w:vAlign w:val="center"/>
          </w:tcPr>
          <w:p w14:paraId="4C6A36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484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08A884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1419" w:type="dxa"/>
            <w:noWrap w:val="0"/>
            <w:vAlign w:val="center"/>
          </w:tcPr>
          <w:p w14:paraId="494C31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电缆线</w:t>
            </w:r>
          </w:p>
        </w:tc>
        <w:tc>
          <w:tcPr>
            <w:tcW w:w="4683" w:type="dxa"/>
            <w:noWrap w:val="0"/>
            <w:vAlign w:val="center"/>
          </w:tcPr>
          <w:p w14:paraId="4D99B5B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RVV2*1.0，国标</w:t>
            </w:r>
          </w:p>
        </w:tc>
        <w:tc>
          <w:tcPr>
            <w:tcW w:w="709" w:type="dxa"/>
            <w:noWrap w:val="0"/>
            <w:vAlign w:val="center"/>
          </w:tcPr>
          <w:p w14:paraId="3931B2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200</w:t>
            </w:r>
          </w:p>
        </w:tc>
        <w:tc>
          <w:tcPr>
            <w:tcW w:w="709" w:type="dxa"/>
            <w:noWrap w:val="0"/>
            <w:vAlign w:val="center"/>
          </w:tcPr>
          <w:p w14:paraId="50D893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米</w:t>
            </w:r>
          </w:p>
        </w:tc>
        <w:tc>
          <w:tcPr>
            <w:tcW w:w="1298" w:type="dxa"/>
            <w:noWrap w:val="0"/>
            <w:vAlign w:val="center"/>
          </w:tcPr>
          <w:p w14:paraId="6E6912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58A6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53C06C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7</w:t>
            </w:r>
          </w:p>
        </w:tc>
        <w:tc>
          <w:tcPr>
            <w:tcW w:w="1419" w:type="dxa"/>
            <w:noWrap w:val="0"/>
            <w:vAlign w:val="center"/>
          </w:tcPr>
          <w:p w14:paraId="48339C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防水管</w:t>
            </w:r>
          </w:p>
        </w:tc>
        <w:tc>
          <w:tcPr>
            <w:tcW w:w="4683" w:type="dxa"/>
            <w:noWrap w:val="0"/>
            <w:vAlign w:val="center"/>
          </w:tcPr>
          <w:p w14:paraId="71FA1F03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直径32mmPE管，无缝防水</w:t>
            </w:r>
          </w:p>
        </w:tc>
        <w:tc>
          <w:tcPr>
            <w:tcW w:w="709" w:type="dxa"/>
            <w:noWrap w:val="0"/>
            <w:vAlign w:val="center"/>
          </w:tcPr>
          <w:p w14:paraId="79913E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2400</w:t>
            </w:r>
          </w:p>
        </w:tc>
        <w:tc>
          <w:tcPr>
            <w:tcW w:w="709" w:type="dxa"/>
            <w:noWrap w:val="0"/>
            <w:vAlign w:val="center"/>
          </w:tcPr>
          <w:p w14:paraId="283F55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米</w:t>
            </w:r>
          </w:p>
        </w:tc>
        <w:tc>
          <w:tcPr>
            <w:tcW w:w="1298" w:type="dxa"/>
            <w:noWrap w:val="0"/>
            <w:vAlign w:val="center"/>
          </w:tcPr>
          <w:p w14:paraId="4E30C5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395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710BBB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8</w:t>
            </w:r>
          </w:p>
        </w:tc>
        <w:tc>
          <w:tcPr>
            <w:tcW w:w="1419" w:type="dxa"/>
            <w:noWrap w:val="0"/>
            <w:vAlign w:val="center"/>
          </w:tcPr>
          <w:p w14:paraId="3E9CF4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插座</w:t>
            </w:r>
          </w:p>
        </w:tc>
        <w:tc>
          <w:tcPr>
            <w:tcW w:w="4683" w:type="dxa"/>
            <w:noWrap w:val="0"/>
            <w:vAlign w:val="center"/>
          </w:tcPr>
          <w:p w14:paraId="08DAA340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6孔插座</w:t>
            </w:r>
          </w:p>
        </w:tc>
        <w:tc>
          <w:tcPr>
            <w:tcW w:w="709" w:type="dxa"/>
            <w:noWrap w:val="0"/>
            <w:vAlign w:val="center"/>
          </w:tcPr>
          <w:p w14:paraId="24D96A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709" w:type="dxa"/>
            <w:noWrap w:val="0"/>
            <w:vAlign w:val="center"/>
          </w:tcPr>
          <w:p w14:paraId="7452BF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个</w:t>
            </w:r>
          </w:p>
        </w:tc>
        <w:tc>
          <w:tcPr>
            <w:tcW w:w="1298" w:type="dxa"/>
            <w:noWrap w:val="0"/>
            <w:vAlign w:val="center"/>
          </w:tcPr>
          <w:p w14:paraId="3DD27F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62F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73" w:type="dxa"/>
            <w:noWrap w:val="0"/>
            <w:vAlign w:val="center"/>
          </w:tcPr>
          <w:p w14:paraId="55C280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19" w:type="dxa"/>
            <w:noWrap w:val="0"/>
            <w:vAlign w:val="center"/>
          </w:tcPr>
          <w:p w14:paraId="2F88E4E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智能警戒网络摄像机</w:t>
            </w:r>
          </w:p>
        </w:tc>
        <w:tc>
          <w:tcPr>
            <w:tcW w:w="4683" w:type="dxa"/>
            <w:noWrap w:val="0"/>
            <w:vAlign w:val="center"/>
          </w:tcPr>
          <w:p w14:paraId="5F20BA0F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1. 最大分辨率2688x1520@25fps。</w:t>
            </w:r>
          </w:p>
          <w:p w14:paraId="442387F8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2. 最低照度彩色0.005lx。</w:t>
            </w:r>
          </w:p>
          <w:p w14:paraId="65A8EA54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3. 内置GPU芯片，麦克风，扬声器。</w:t>
            </w:r>
          </w:p>
          <w:p w14:paraId="4B3452E7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4. ★当报警产生时，可触发联动声音报警。报警声音类型不低于12种，报警音量和重复次数可设置。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（提供功能截图证明）</w:t>
            </w:r>
          </w:p>
          <w:p w14:paraId="29FE14F4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5. 可对出现在监控场景内的两眼瞳距不小于40像素的人脸进行检验，并叠加目标提示框。</w:t>
            </w:r>
          </w:p>
          <w:p w14:paraId="10791B52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6. 可同时对经过设定检测区域内的不低于10 个行人进行人脸检测、跟踪、评分和抓拍。</w:t>
            </w:r>
          </w:p>
          <w:p w14:paraId="433E8FD9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7. 可筛选和抓拍最佳人脸图片存储及上报中心。抓拍图片数量、大小可设，支持上传全景照。</w:t>
            </w:r>
          </w:p>
          <w:p w14:paraId="5254E5CE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8. 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可在预览画面页开启/关闭“快捷配置”页面，页面打开后，可配置曝光参数、OSD配置、视音频参数、智能资源分配模式、智能资源参数等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，并支持恢复默认操作（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提供功能截图证明）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 w14:paraId="5FA66272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9.★ 支持在预览画面上设置最多4个多边形屏蔽区域，不对预设区域内的人脸进行检测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（提供功能截图证明）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709" w:type="dxa"/>
            <w:noWrap w:val="0"/>
            <w:vAlign w:val="center"/>
          </w:tcPr>
          <w:p w14:paraId="715FC5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9" w:type="dxa"/>
            <w:noWrap w:val="0"/>
            <w:vAlign w:val="center"/>
          </w:tcPr>
          <w:p w14:paraId="3100E7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98" w:type="dxa"/>
            <w:noWrap w:val="0"/>
            <w:vAlign w:val="center"/>
          </w:tcPr>
          <w:p w14:paraId="4E47C7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17B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  <w:jc w:val="center"/>
        </w:trPr>
        <w:tc>
          <w:tcPr>
            <w:tcW w:w="673" w:type="dxa"/>
            <w:noWrap w:val="0"/>
            <w:vAlign w:val="center"/>
          </w:tcPr>
          <w:p w14:paraId="360A7A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9" w:type="dxa"/>
            <w:noWrap w:val="0"/>
            <w:vAlign w:val="center"/>
          </w:tcPr>
          <w:p w14:paraId="3BD05B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交换机</w:t>
            </w:r>
          </w:p>
        </w:tc>
        <w:tc>
          <w:tcPr>
            <w:tcW w:w="4683" w:type="dxa"/>
            <w:noWrap w:val="0"/>
            <w:vAlign w:val="center"/>
          </w:tcPr>
          <w:p w14:paraId="01BDF536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1. 交换容量≥6.7Tbps，包转发率≥175Mpps；</w:t>
            </w:r>
          </w:p>
          <w:p w14:paraId="0524D45C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2. 固化10/100/1000M以太网电口≥24，1000M/2.5G SFP千兆光接口≥4个；</w:t>
            </w:r>
          </w:p>
          <w:p w14:paraId="429A3F97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3.★当网络出现环路时能自动产生告警，支持查看最近告警时间、告警级别、重复次数、设备名称、区域、设备序列号、告警事件名称、处理状态等信息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（提供功能截图证明）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 w14:paraId="6B731B5A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4. ★支持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快速以太网链路检测协议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，可快速检测链路的通断和光纤链路的单向性，并支持端口下的环路检测功能，防止端口下因私接Hub等设备形成的环路而导致网络故障的现象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（提供官网截图及链接证明）；</w:t>
            </w:r>
          </w:p>
          <w:p w14:paraId="36BC08EF">
            <w:p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5. ★支持光模块与光链路运维检测与故障告警，可查看详细信息，包括提供原因、影响以及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修复建议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提供产品功能界面截图）。</w:t>
            </w:r>
          </w:p>
        </w:tc>
        <w:tc>
          <w:tcPr>
            <w:tcW w:w="709" w:type="dxa"/>
            <w:noWrap w:val="0"/>
            <w:vAlign w:val="center"/>
          </w:tcPr>
          <w:p w14:paraId="6B1C58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7A64B1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98" w:type="dxa"/>
            <w:noWrap w:val="0"/>
            <w:vAlign w:val="center"/>
          </w:tcPr>
          <w:p w14:paraId="5DAC33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B93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673" w:type="dxa"/>
            <w:noWrap w:val="0"/>
            <w:vAlign w:val="center"/>
          </w:tcPr>
          <w:p w14:paraId="73A52A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19" w:type="dxa"/>
            <w:noWrap w:val="0"/>
            <w:vAlign w:val="center"/>
          </w:tcPr>
          <w:p w14:paraId="281C20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室外监控立杆</w:t>
            </w:r>
          </w:p>
        </w:tc>
        <w:tc>
          <w:tcPr>
            <w:tcW w:w="4683" w:type="dxa"/>
            <w:noWrap w:val="0"/>
            <w:vAlign w:val="center"/>
          </w:tcPr>
          <w:p w14:paraId="49B4B08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4米圆柱形主杆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直径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165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cm,壁厚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，镀锌钢管喷塑白色，2.5米处开穿线孔，顶部配避雷针，横臂组合立杆，标配0.5米长60圆管安装一台吊装球机，法兰盘对角线280*10MM厚，加角筋，地笼对角线280*M16*55CM高折叠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709" w:type="dxa"/>
            <w:noWrap w:val="0"/>
            <w:vAlign w:val="center"/>
          </w:tcPr>
          <w:p w14:paraId="05A8F3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067407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套</w:t>
            </w:r>
          </w:p>
        </w:tc>
        <w:tc>
          <w:tcPr>
            <w:tcW w:w="1298" w:type="dxa"/>
            <w:noWrap w:val="0"/>
            <w:vAlign w:val="center"/>
          </w:tcPr>
          <w:p w14:paraId="64D15C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0C3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1985A0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67249D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光纤熔接</w:t>
            </w:r>
          </w:p>
        </w:tc>
        <w:tc>
          <w:tcPr>
            <w:tcW w:w="4683" w:type="dxa"/>
            <w:noWrap w:val="0"/>
            <w:vAlign w:val="center"/>
          </w:tcPr>
          <w:p w14:paraId="732077DB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光纤熔接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及配套服务</w:t>
            </w:r>
          </w:p>
        </w:tc>
        <w:tc>
          <w:tcPr>
            <w:tcW w:w="709" w:type="dxa"/>
            <w:noWrap w:val="0"/>
            <w:vAlign w:val="center"/>
          </w:tcPr>
          <w:p w14:paraId="07DD48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 w14:paraId="63B274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点</w:t>
            </w:r>
          </w:p>
        </w:tc>
        <w:tc>
          <w:tcPr>
            <w:tcW w:w="1298" w:type="dxa"/>
            <w:noWrap w:val="0"/>
            <w:vAlign w:val="center"/>
          </w:tcPr>
          <w:p w14:paraId="3C216E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5C66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73" w:type="dxa"/>
            <w:noWrap w:val="0"/>
            <w:vAlign w:val="center"/>
          </w:tcPr>
          <w:p w14:paraId="462FA0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9" w:type="dxa"/>
            <w:noWrap w:val="0"/>
            <w:vAlign w:val="center"/>
          </w:tcPr>
          <w:p w14:paraId="4C5541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摄像头维修</w:t>
            </w:r>
          </w:p>
        </w:tc>
        <w:tc>
          <w:tcPr>
            <w:tcW w:w="4683" w:type="dxa"/>
            <w:noWrap w:val="0"/>
            <w:vAlign w:val="center"/>
          </w:tcPr>
          <w:p w14:paraId="48DCE53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按要求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对学校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无图像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摄像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坏了的摄像头进行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维修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（包含拆除、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维修、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安装、线路重组与支架固定及搭脚手架费用）</w:t>
            </w:r>
          </w:p>
        </w:tc>
        <w:tc>
          <w:tcPr>
            <w:tcW w:w="709" w:type="dxa"/>
            <w:noWrap w:val="0"/>
            <w:vAlign w:val="center"/>
          </w:tcPr>
          <w:p w14:paraId="155D73E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68DBE6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1C569C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214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673" w:type="dxa"/>
            <w:noWrap w:val="0"/>
            <w:vAlign w:val="center"/>
          </w:tcPr>
          <w:p w14:paraId="24CB50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9" w:type="dxa"/>
            <w:noWrap w:val="0"/>
            <w:vAlign w:val="center"/>
          </w:tcPr>
          <w:p w14:paraId="26C259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摄像头位置调整</w:t>
            </w:r>
          </w:p>
        </w:tc>
        <w:tc>
          <w:tcPr>
            <w:tcW w:w="4683" w:type="dxa"/>
            <w:noWrap w:val="0"/>
            <w:vAlign w:val="center"/>
          </w:tcPr>
          <w:p w14:paraId="0049D3E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按要求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对学校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无图像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摄像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个位置调整（包含拆除、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换点位、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安装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、线路重组与支架固定及搭脚手架费用）</w:t>
            </w:r>
          </w:p>
        </w:tc>
        <w:tc>
          <w:tcPr>
            <w:tcW w:w="709" w:type="dxa"/>
            <w:noWrap w:val="0"/>
            <w:vAlign w:val="center"/>
          </w:tcPr>
          <w:p w14:paraId="117201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4748EF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755FA79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2F5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448FE2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9" w:type="dxa"/>
            <w:noWrap w:val="0"/>
            <w:vAlign w:val="center"/>
          </w:tcPr>
          <w:p w14:paraId="0F290E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布线槽、线管、防水管</w:t>
            </w:r>
          </w:p>
        </w:tc>
        <w:tc>
          <w:tcPr>
            <w:tcW w:w="4683" w:type="dxa"/>
            <w:noWrap w:val="0"/>
            <w:vAlign w:val="center"/>
          </w:tcPr>
          <w:p w14:paraId="0D524DB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约2500米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防水管施工与线槽线管施工（包含搭脚手架费用）</w:t>
            </w:r>
          </w:p>
        </w:tc>
        <w:tc>
          <w:tcPr>
            <w:tcW w:w="709" w:type="dxa"/>
            <w:noWrap w:val="0"/>
            <w:vAlign w:val="center"/>
          </w:tcPr>
          <w:p w14:paraId="21C926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735DB5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5C3D6D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EC5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427C1A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9" w:type="dxa"/>
            <w:noWrap w:val="0"/>
            <w:vAlign w:val="center"/>
          </w:tcPr>
          <w:p w14:paraId="34F323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光缆敷设</w:t>
            </w:r>
          </w:p>
        </w:tc>
        <w:tc>
          <w:tcPr>
            <w:tcW w:w="4683" w:type="dxa"/>
            <w:noWrap w:val="0"/>
            <w:vAlign w:val="center"/>
          </w:tcPr>
          <w:p w14:paraId="0FE0F36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3800米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光缆施工（包含搭脚手架费用）</w:t>
            </w:r>
          </w:p>
        </w:tc>
        <w:tc>
          <w:tcPr>
            <w:tcW w:w="709" w:type="dxa"/>
            <w:noWrap w:val="0"/>
            <w:vAlign w:val="center"/>
          </w:tcPr>
          <w:p w14:paraId="32140B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035577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2EA6ED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02B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7D0C9E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19" w:type="dxa"/>
            <w:noWrap w:val="0"/>
            <w:vAlign w:val="center"/>
          </w:tcPr>
          <w:p w14:paraId="335FA2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网络布线</w:t>
            </w:r>
          </w:p>
        </w:tc>
        <w:tc>
          <w:tcPr>
            <w:tcW w:w="4683" w:type="dxa"/>
            <w:noWrap w:val="0"/>
            <w:vAlign w:val="center"/>
          </w:tcPr>
          <w:p w14:paraId="37781A1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2300米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网络布线施工（包含搭脚手架费用）</w:t>
            </w:r>
          </w:p>
        </w:tc>
        <w:tc>
          <w:tcPr>
            <w:tcW w:w="709" w:type="dxa"/>
            <w:noWrap w:val="0"/>
            <w:vAlign w:val="center"/>
          </w:tcPr>
          <w:p w14:paraId="76E8FE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290723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7492ED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3B12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73" w:type="dxa"/>
            <w:noWrap w:val="0"/>
            <w:vAlign w:val="center"/>
          </w:tcPr>
          <w:p w14:paraId="37AE10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9" w:type="dxa"/>
            <w:noWrap w:val="0"/>
            <w:vAlign w:val="center"/>
          </w:tcPr>
          <w:p w14:paraId="13FD6D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电源布线</w:t>
            </w:r>
          </w:p>
        </w:tc>
        <w:tc>
          <w:tcPr>
            <w:tcW w:w="4683" w:type="dxa"/>
            <w:noWrap w:val="0"/>
            <w:vAlign w:val="center"/>
          </w:tcPr>
          <w:p w14:paraId="7BD1975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2200米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电源布线施工（包含搭脚手架费用）</w:t>
            </w:r>
          </w:p>
        </w:tc>
        <w:tc>
          <w:tcPr>
            <w:tcW w:w="709" w:type="dxa"/>
            <w:noWrap w:val="0"/>
            <w:vAlign w:val="center"/>
          </w:tcPr>
          <w:p w14:paraId="323D85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4303E0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17FF36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62C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73" w:type="dxa"/>
            <w:noWrap w:val="0"/>
            <w:vAlign w:val="center"/>
          </w:tcPr>
          <w:p w14:paraId="6473AF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419" w:type="dxa"/>
            <w:noWrap w:val="0"/>
            <w:vAlign w:val="center"/>
          </w:tcPr>
          <w:p w14:paraId="2D38C5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安防系统维护</w:t>
            </w:r>
          </w:p>
        </w:tc>
        <w:tc>
          <w:tcPr>
            <w:tcW w:w="4683" w:type="dxa"/>
            <w:noWrap w:val="0"/>
            <w:vAlign w:val="center"/>
          </w:tcPr>
          <w:p w14:paraId="4886AEB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4台存储维修（至少质保24月）、平台系统维护（包含硬盘维护）以及监控室存储设备除尘服务，并保障平台正常运行</w:t>
            </w:r>
          </w:p>
        </w:tc>
        <w:tc>
          <w:tcPr>
            <w:tcW w:w="709" w:type="dxa"/>
            <w:noWrap w:val="0"/>
            <w:vAlign w:val="center"/>
          </w:tcPr>
          <w:p w14:paraId="5E2F47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60F228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220DB6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44EB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673" w:type="dxa"/>
            <w:noWrap w:val="0"/>
            <w:vAlign w:val="center"/>
          </w:tcPr>
          <w:p w14:paraId="60AEF3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19" w:type="dxa"/>
            <w:noWrap w:val="0"/>
            <w:vAlign w:val="center"/>
          </w:tcPr>
          <w:p w14:paraId="336C5C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挖沟填埋</w:t>
            </w:r>
          </w:p>
        </w:tc>
        <w:tc>
          <w:tcPr>
            <w:tcW w:w="4683" w:type="dxa"/>
            <w:noWrap w:val="0"/>
            <w:vAlign w:val="center"/>
          </w:tcPr>
          <w:p w14:paraId="72EE862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2400米开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挖填埋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道路填平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施工（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包含机器破路、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恢复绿化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恢复道路服务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）</w:t>
            </w:r>
          </w:p>
        </w:tc>
        <w:tc>
          <w:tcPr>
            <w:tcW w:w="709" w:type="dxa"/>
            <w:noWrap w:val="0"/>
            <w:vAlign w:val="center"/>
          </w:tcPr>
          <w:p w14:paraId="1067FA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551C17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604FC6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D747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673" w:type="dxa"/>
            <w:noWrap w:val="0"/>
            <w:vAlign w:val="center"/>
          </w:tcPr>
          <w:p w14:paraId="195A90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419" w:type="dxa"/>
            <w:noWrap w:val="0"/>
            <w:vAlign w:val="center"/>
          </w:tcPr>
          <w:p w14:paraId="637144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摄像头镜头清洗及线路维修</w:t>
            </w:r>
          </w:p>
        </w:tc>
        <w:tc>
          <w:tcPr>
            <w:tcW w:w="4683" w:type="dxa"/>
            <w:noWrap w:val="0"/>
            <w:vAlign w:val="center"/>
          </w:tcPr>
          <w:p w14:paraId="1A7FB60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3号与4号宿舍楼装修完毕后对此两栋宿舍楼共51个摄像头镜头进行清洗及线路维修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（包含搭脚手架费用）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09" w:type="dxa"/>
            <w:noWrap w:val="0"/>
            <w:vAlign w:val="center"/>
          </w:tcPr>
          <w:p w14:paraId="1C13B2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4076C5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1298" w:type="dxa"/>
            <w:noWrap w:val="0"/>
            <w:vAlign w:val="center"/>
          </w:tcPr>
          <w:p w14:paraId="59EC6B7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BC7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9491" w:type="dxa"/>
            <w:gridSpan w:val="6"/>
            <w:noWrap w:val="0"/>
            <w:vAlign w:val="center"/>
          </w:tcPr>
          <w:p w14:paraId="005F661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说明：</w:t>
            </w:r>
          </w:p>
          <w:p w14:paraId="0BE38B6F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1.供应商的响应文件必须标明所投货物的品牌与参数，保证原厂正品供货。</w:t>
            </w:r>
          </w:p>
          <w:p w14:paraId="7F30D6C0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2.所有监控摄像机均须接入学校安防监控平台，供应商应考虑此项费用。</w:t>
            </w:r>
          </w:p>
          <w:p w14:paraId="66862112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3.保修期：项目维修完成后保质期为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个月。保修期从货物验收合格后算起。</w:t>
            </w:r>
          </w:p>
          <w:p w14:paraId="18CCB3AC"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4.售后维保时限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及培训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成交人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接到维修请求后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半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小时内响应，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小时内到达现场，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小时内修复。不能及时修复的，需反馈校方并明确修复时间。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成交人需对校方有关人员进行培训，培训内容包含但不限于设备的理论培训、实际操作培训、简单故障排除、设备日常维护与保养等。</w:t>
            </w:r>
          </w:p>
          <w:p w14:paraId="5FBB0F16">
            <w:pPr>
              <w:spacing w:line="360" w:lineRule="auto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.项目实施团队需要配置：1名项目负责人，主要职责为协调项目整体进程，包括施工规划，组网规划，与原系统对接规划，设备调试与施工技术规范、项目验收等；1名安全负责人，主要负责校园监控系统整体安全管理工作，包含但不限于监控设备维修、安装全流程安全管控、系统安全漏洞巡检、视频隐私数据安全防护等；技术人员，主要负责具体线路施工、设备安装、后续项目具体维保业务等。</w:t>
            </w:r>
          </w:p>
          <w:p w14:paraId="031814DF">
            <w:pPr>
              <w:spacing w:line="360" w:lineRule="auto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.上述维保服务类项目涉及到高空作业，供应商自行负责维保人员安全责任，并考虑相应费用。</w:t>
            </w:r>
          </w:p>
          <w:p w14:paraId="2E3687B0">
            <w:pPr>
              <w:spacing w:line="360" w:lineRule="auto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7.本需求提出的技术参数及要求为最低限度的技术要求，并未对一切技术细节做出规定，也未充分引述有关标准和规范的条文，响应人应保证提供符合或优于本技术参数及要求和有关标准、规范的优质产品。 </w:t>
            </w:r>
          </w:p>
          <w:p w14:paraId="27C238E6">
            <w:pPr>
              <w:spacing w:line="360" w:lineRule="auto"/>
              <w:ind w:firstLine="422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本项目为交钥匙工程，上述数量实施过程中可能会发生增减，供应商应充分踏勘现场，实际发生时不得以数量不符或不了解现场为由要求增加任何费用。</w:t>
            </w:r>
          </w:p>
        </w:tc>
      </w:tr>
    </w:tbl>
    <w:p w14:paraId="06B911D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76EB869C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四、报价</w:t>
      </w:r>
    </w:p>
    <w:p w14:paraId="7AFD3ED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项目报价最高限价为19.30万元，包括但不限于：本项目需求的全部货物、机械、人工、安装调试、对接协调费、配件辅材、购置费、包装费、运输费、机械费、人工费、保险费、各种税费、资料费、措施费、不可预见费等完成项目应有的全部费用，响应人报价中漏报、少报的费用，视为此项费用已隐含在响应报价中，响应人应对本项目现场进行踏勘，对项目现状等因素，做出合理的判断和估价，一旦成交不得再向采购人收取任何费用。</w:t>
      </w:r>
    </w:p>
    <w:p w14:paraId="50B9B592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五、验收</w:t>
      </w:r>
    </w:p>
    <w:p w14:paraId="4A87AB44"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成交人和采购人双方依据项目内容和进度共同实施验收工作，验收结果和验收报告经双方确认后生效。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C2187"/>
    <w:rsid w:val="28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/>
      <w:snapToGrid w:val="0"/>
      <w:spacing w:line="360" w:lineRule="auto"/>
      <w:jc w:val="left"/>
      <w:outlineLvl w:val="2"/>
    </w:pPr>
    <w:rPr>
      <w:rFonts w:ascii="宋体" w:hAnsi="宋体" w:eastAsia="宋体" w:cs="Times New Roman"/>
      <w:b/>
      <w:bCs/>
      <w:kern w:val="0"/>
      <w:sz w:val="28"/>
      <w:szCs w:val="24"/>
      <w:lang w:val="en-US"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2026-07-27T12:16:00Z</dcterms:created>
  <dc:creator>半支烟</dc:creator>
  <cp:lastModifiedBy>半支烟</cp:lastModifiedBy>
  <dcterms:modified xsi:type="dcterms:W3CDTF">2026-07-27T12:16:53Z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2B004FF4AAB3431FB82502CF68A0BF28_11</vt:lpwstr>
  </property>
  <property fmtid="{D5CDD505-2E9C-101B-9397-08002B2CF9AE}" pid="4" name="KSOTemplateDocerSaveRecord">
    <vt:lpwstr>eyJoZGlkIjoiODcwZDgxYmNjODY1NWU5NDg4ZDFmZjJhNjY1ODc0NTkiLCJ1c2VySWQiOiI0NTYyMzQ4NDkifQ==</vt:lpwstr>
  </property>
</Properties>
</file>