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cs="宋体"/>
          <w:b/>
          <w:sz w:val="44"/>
          <w:szCs w:val="44"/>
        </w:rPr>
      </w:pPr>
      <w:r>
        <w:rPr>
          <w:rFonts w:hint="eastAsia" w:ascii="宋体" w:hAnsi="宋体" w:cs="宋体"/>
          <w:b/>
          <w:sz w:val="44"/>
          <w:szCs w:val="44"/>
        </w:rPr>
        <w:t>安庆职业技术学院食品质量与安全理实一体化实验实训室改造项目</w:t>
      </w:r>
    </w:p>
    <w:p>
      <w:pPr>
        <w:spacing w:line="360" w:lineRule="auto"/>
        <w:jc w:val="center"/>
        <w:rPr>
          <w:rFonts w:ascii="宋体" w:hAnsi="宋体" w:cs="宋体"/>
          <w:b/>
          <w:sz w:val="48"/>
          <w:szCs w:val="48"/>
        </w:rPr>
      </w:pPr>
    </w:p>
    <w:p>
      <w:pPr>
        <w:spacing w:line="360" w:lineRule="auto"/>
        <w:jc w:val="center"/>
        <w:rPr>
          <w:rFonts w:ascii="宋体" w:hAnsi="宋体" w:cs="宋体"/>
          <w:b/>
          <w:sz w:val="110"/>
          <w:szCs w:val="110"/>
        </w:rPr>
      </w:pPr>
      <w:r>
        <w:rPr>
          <w:rFonts w:hint="eastAsia" w:ascii="宋体" w:hAnsi="宋体" w:cs="宋体"/>
          <w:b/>
          <w:sz w:val="110"/>
          <w:szCs w:val="110"/>
        </w:rPr>
        <w:t xml:space="preserve"> 竞争性谈判文件</w:t>
      </w:r>
    </w:p>
    <w:p>
      <w:pPr>
        <w:spacing w:line="360" w:lineRule="auto"/>
        <w:jc w:val="center"/>
        <w:rPr>
          <w:rFonts w:hint="eastAsia" w:ascii="宋体" w:hAnsi="宋体" w:eastAsia="宋体" w:cs="宋体"/>
          <w:b/>
          <w:sz w:val="24"/>
          <w:szCs w:val="32"/>
          <w:lang w:eastAsia="zh-CN"/>
        </w:rPr>
      </w:pPr>
      <w:r>
        <w:rPr>
          <w:rFonts w:hint="eastAsia" w:ascii="宋体" w:hAnsi="宋体" w:cs="宋体"/>
          <w:b/>
          <w:sz w:val="24"/>
        </w:rPr>
        <w:t>项目编号：</w:t>
      </w:r>
      <w:r>
        <w:rPr>
          <w:rFonts w:hint="eastAsia" w:ascii="宋体" w:hAnsi="宋体" w:cs="宋体"/>
          <w:b/>
          <w:sz w:val="24"/>
          <w:lang w:eastAsia="zh-CN"/>
        </w:rPr>
        <w:t>CG-AZ-2021-009</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Cs w:val="21"/>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pacing w:val="40"/>
          <w:sz w:val="30"/>
          <w:szCs w:val="30"/>
          <w:u w:val="single"/>
        </w:rPr>
        <w:t xml:space="preserve"> 安庆职业技术学院  </w:t>
      </w:r>
      <w:r>
        <w:rPr>
          <w:rFonts w:hint="eastAsia" w:ascii="宋体" w:hAnsi="宋体" w:cs="宋体"/>
          <w:b/>
          <w:sz w:val="30"/>
          <w:szCs w:val="30"/>
          <w:u w:val="single"/>
        </w:rPr>
        <w:t xml:space="preserve">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rPr>
          <w:rFonts w:ascii="宋体" w:hAnsi="宋体" w:cs="宋体"/>
          <w:sz w:val="24"/>
        </w:rPr>
      </w:pPr>
    </w:p>
    <w:p>
      <w:pPr>
        <w:spacing w:line="360" w:lineRule="auto"/>
        <w:rPr>
          <w:rFonts w:ascii="宋体" w:hAnsi="宋体" w:cs="宋体"/>
          <w:b/>
          <w:sz w:val="24"/>
          <w:u w:val="single"/>
        </w:rPr>
      </w:pPr>
    </w:p>
    <w:p>
      <w:pPr>
        <w:spacing w:line="360" w:lineRule="auto"/>
        <w:rPr>
          <w:rFonts w:ascii="宋体" w:hAnsi="宋体" w:cs="宋体"/>
          <w:b/>
          <w:sz w:val="24"/>
          <w:u w:val="single"/>
        </w:rPr>
      </w:pPr>
    </w:p>
    <w:p>
      <w:pPr>
        <w:spacing w:line="360" w:lineRule="auto"/>
        <w:jc w:val="center"/>
        <w:rPr>
          <w:rFonts w:ascii="宋体" w:hAnsi="宋体" w:cs="宋体"/>
          <w:b/>
          <w:sz w:val="30"/>
          <w:szCs w:val="30"/>
        </w:rPr>
      </w:pPr>
      <w:r>
        <w:rPr>
          <w:rFonts w:hint="eastAsia" w:ascii="宋体" w:hAnsi="宋体" w:cs="宋体"/>
          <w:b/>
          <w:sz w:val="30"/>
          <w:szCs w:val="30"/>
        </w:rPr>
        <w:t>日  期：二〇二一 年 六 月</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rPr>
        <w:t>2021</w:t>
      </w:r>
      <w:r>
        <w:rPr>
          <w:rFonts w:ascii="仿宋" w:hAnsi="仿宋" w:eastAsia="仿宋" w:cs="仿宋"/>
          <w:bCs/>
          <w:kern w:val="0"/>
          <w:sz w:val="32"/>
          <w:szCs w:val="32"/>
        </w:rPr>
        <w:t>年</w:t>
      </w:r>
      <w:r>
        <w:rPr>
          <w:rFonts w:hint="eastAsia" w:ascii="仿宋" w:hAnsi="仿宋" w:eastAsia="仿宋" w:cs="仿宋"/>
          <w:bCs/>
          <w:kern w:val="0"/>
          <w:sz w:val="32"/>
          <w:szCs w:val="32"/>
          <w:lang w:val="en-US" w:eastAsia="zh-CN"/>
        </w:rPr>
        <w:t>7</w:t>
      </w:r>
      <w:r>
        <w:rPr>
          <w:rFonts w:ascii="仿宋" w:hAnsi="仿宋" w:eastAsia="仿宋" w:cs="仿宋"/>
          <w:bCs/>
          <w:kern w:val="0"/>
          <w:sz w:val="32"/>
          <w:szCs w:val="32"/>
        </w:rPr>
        <w:t>月</w:t>
      </w:r>
      <w:r>
        <w:rPr>
          <w:rFonts w:hint="eastAsia" w:ascii="仿宋" w:hAnsi="仿宋" w:eastAsia="仿宋" w:cs="仿宋"/>
          <w:bCs/>
          <w:kern w:val="0"/>
          <w:sz w:val="32"/>
          <w:szCs w:val="32"/>
          <w:lang w:val="en-US" w:eastAsia="zh-CN"/>
        </w:rPr>
        <w:t>5</w:t>
      </w:r>
      <w:r>
        <w:rPr>
          <w:rFonts w:ascii="仿宋" w:hAnsi="仿宋" w:eastAsia="仿宋" w:cs="仿宋"/>
          <w:bCs/>
          <w:kern w:val="0"/>
          <w:sz w:val="32"/>
          <w:szCs w:val="32"/>
        </w:rPr>
        <w:t>日24时前最新发布的政府行政部门官网截图（或网址链接），或社居委或卫生主管部门等政府部门出具的书面证明材料；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二、鉴于新冠肺炎疫情防控工作需要，建议谈判响应人至少提前30分钟到达开标会现场。</w:t>
      </w: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ind w:firstLine="640" w:firstLineChars="200"/>
        <w:rPr>
          <w:rFonts w:ascii="仿宋" w:hAnsi="仿宋" w:eastAsia="仿宋" w:cs="仿宋"/>
          <w:bCs/>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3、谈判响应人代表在参加开标会时须携带有效身份证；</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4、对投标活动中可能发生的质疑、投诉行为，须依法在规定的时间内提出。</w:t>
      </w:r>
    </w:p>
    <w:p>
      <w:pPr>
        <w:widowControl/>
        <w:jc w:val="left"/>
        <w:rPr>
          <w:rFonts w:ascii="仿宋" w:hAnsi="仿宋" w:eastAsia="仿宋" w:cs="仿宋"/>
          <w:bCs/>
          <w:kern w:val="0"/>
          <w:sz w:val="32"/>
          <w:szCs w:val="32"/>
        </w:rPr>
      </w:pPr>
      <w:r>
        <w:rPr>
          <w:rFonts w:ascii="宋体" w:hAnsi="宋体" w:cs="宋体"/>
          <w:b/>
          <w:kern w:val="0"/>
          <w:sz w:val="24"/>
        </w:rPr>
        <w:br w:type="page"/>
      </w:r>
    </w:p>
    <w:p>
      <w:pPr>
        <w:widowControl/>
        <w:jc w:val="left"/>
        <w:rPr>
          <w:rFonts w:ascii="宋体" w:hAnsi="宋体" w:cs="宋体"/>
          <w:b/>
          <w:kern w:val="0"/>
          <w:sz w:val="24"/>
        </w:rPr>
      </w:pPr>
    </w:p>
    <w:p>
      <w:pPr>
        <w:jc w:val="center"/>
        <w:rPr>
          <w:rFonts w:ascii="宋体" w:hAnsi="宋体" w:cs="宋体"/>
          <w:b/>
          <w:sz w:val="36"/>
          <w:szCs w:val="36"/>
        </w:rPr>
      </w:pPr>
      <w:r>
        <w:rPr>
          <w:rFonts w:hint="eastAsia" w:ascii="宋体" w:hAnsi="宋体" w:cs="宋体"/>
          <w:b/>
          <w:sz w:val="36"/>
          <w:szCs w:val="36"/>
        </w:rPr>
        <w:t>目   录</w:t>
      </w:r>
    </w:p>
    <w:p>
      <w:pPr>
        <w:pStyle w:val="17"/>
        <w:rPr>
          <w:rFonts w:asciiTheme="minorHAnsi" w:hAnsiTheme="minorHAnsi" w:eastAsiaTheme="minorEastAsia" w:cstheme="minorBidi"/>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"_Toc54939187" </w:instrText>
      </w:r>
      <w:r>
        <w:fldChar w:fldCharType="separate"/>
      </w:r>
      <w:r>
        <w:rPr>
          <w:rStyle w:val="29"/>
          <w:rFonts w:ascii="宋体" w:hAnsi="宋体" w:cs="宋体"/>
          <w:b/>
          <w:bCs/>
          <w:color w:val="auto"/>
        </w:rPr>
        <w:t>第一章   竞争性谈判公告</w:t>
      </w:r>
      <w:r>
        <w:tab/>
      </w:r>
      <w:r>
        <w:fldChar w:fldCharType="begin"/>
      </w:r>
      <w:r>
        <w:instrText xml:space="preserve"> PAGEREF _Toc54939187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"_Toc54939188" </w:instrText>
      </w:r>
      <w:r>
        <w:fldChar w:fldCharType="separate"/>
      </w:r>
      <w:r>
        <w:rPr>
          <w:rStyle w:val="29"/>
          <w:rFonts w:ascii="宋体" w:hAnsi="宋体" w:cs="宋体"/>
          <w:color w:val="auto"/>
        </w:rPr>
        <w:t>第二章   谈判响应人须知</w:t>
      </w:r>
      <w:r>
        <w:tab/>
      </w:r>
      <w:r>
        <w:fldChar w:fldCharType="begin"/>
      </w:r>
      <w:r>
        <w:instrText xml:space="preserve"> PAGEREF _Toc54939188 \h </w:instrText>
      </w:r>
      <w:r>
        <w:fldChar w:fldCharType="separate"/>
      </w:r>
      <w:r>
        <w:t>1</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"_Toc54939189" </w:instrText>
      </w:r>
      <w:r>
        <w:fldChar w:fldCharType="separate"/>
      </w:r>
      <w:r>
        <w:rPr>
          <w:rStyle w:val="29"/>
          <w:rFonts w:ascii="宋体" w:hAnsi="宋体"/>
          <w:color w:val="auto"/>
        </w:rPr>
        <w:t>第一节  谈判响应人须知前附表</w:t>
      </w:r>
      <w:r>
        <w:tab/>
      </w:r>
      <w:r>
        <w:fldChar w:fldCharType="begin"/>
      </w:r>
      <w:r>
        <w:instrText xml:space="preserve"> PAGEREF _Toc54939189 \h </w:instrText>
      </w:r>
      <w:r>
        <w:fldChar w:fldCharType="separate"/>
      </w:r>
      <w:r>
        <w:t>5</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"_Toc54939190" </w:instrText>
      </w:r>
      <w:r>
        <w:fldChar w:fldCharType="separate"/>
      </w:r>
      <w:r>
        <w:rPr>
          <w:rStyle w:val="29"/>
          <w:rFonts w:ascii="宋体" w:hAnsi="宋体"/>
          <w:color w:val="auto"/>
        </w:rPr>
        <w:t>第二节  谈判响应人须知</w:t>
      </w:r>
      <w:r>
        <w:tab/>
      </w:r>
      <w:r>
        <w:fldChar w:fldCharType="begin"/>
      </w:r>
      <w:r>
        <w:instrText xml:space="preserve"> PAGEREF _Toc54939190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"_Toc54939191" </w:instrText>
      </w:r>
      <w:r>
        <w:fldChar w:fldCharType="separate"/>
      </w:r>
      <w:r>
        <w:rPr>
          <w:rStyle w:val="29"/>
          <w:rFonts w:hAnsi="宋体" w:cs="宋体"/>
          <w:color w:val="auto"/>
        </w:rPr>
        <w:t>一、总则</w:t>
      </w:r>
      <w:r>
        <w:tab/>
      </w:r>
      <w:r>
        <w:fldChar w:fldCharType="begin"/>
      </w:r>
      <w:r>
        <w:instrText xml:space="preserve"> PAGEREF _Toc54939191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"_Toc54939192" </w:instrText>
      </w:r>
      <w:r>
        <w:fldChar w:fldCharType="separate"/>
      </w:r>
      <w:r>
        <w:rPr>
          <w:rStyle w:val="29"/>
          <w:rFonts w:hAnsi="宋体" w:cs="宋体"/>
          <w:color w:val="auto"/>
        </w:rPr>
        <w:t>二、竞争性谈判文件</w:t>
      </w:r>
      <w:r>
        <w:tab/>
      </w:r>
      <w:r>
        <w:fldChar w:fldCharType="begin"/>
      </w:r>
      <w:r>
        <w:instrText xml:space="preserve"> PAGEREF _Toc54939192 \h </w:instrText>
      </w:r>
      <w:r>
        <w:fldChar w:fldCharType="separate"/>
      </w:r>
      <w:r>
        <w:t>8</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"_Toc54939193" </w:instrText>
      </w:r>
      <w:r>
        <w:fldChar w:fldCharType="separate"/>
      </w:r>
      <w:r>
        <w:rPr>
          <w:rStyle w:val="29"/>
          <w:rFonts w:hAnsi="宋体" w:cs="宋体"/>
          <w:color w:val="auto"/>
        </w:rPr>
        <w:t>三、谈判响应文件的编制</w:t>
      </w:r>
      <w:r>
        <w:tab/>
      </w:r>
      <w:r>
        <w:fldChar w:fldCharType="begin"/>
      </w:r>
      <w:r>
        <w:instrText xml:space="preserve"> PAGEREF _Toc54939193 \h </w:instrText>
      </w:r>
      <w:r>
        <w:fldChar w:fldCharType="separate"/>
      </w:r>
      <w:r>
        <w:t>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"_Toc54939194" </w:instrText>
      </w:r>
      <w:r>
        <w:fldChar w:fldCharType="separate"/>
      </w:r>
      <w:r>
        <w:rPr>
          <w:rStyle w:val="29"/>
          <w:rFonts w:hAnsi="宋体" w:cs="宋体"/>
          <w:color w:val="auto"/>
        </w:rPr>
        <w:t>四、 谈判响应文件的提交</w:t>
      </w:r>
      <w:r>
        <w:tab/>
      </w:r>
      <w:r>
        <w:fldChar w:fldCharType="begin"/>
      </w:r>
      <w:r>
        <w:instrText xml:space="preserve"> PAGEREF _Toc54939194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"_Toc54939195" </w:instrText>
      </w:r>
      <w:r>
        <w:fldChar w:fldCharType="separate"/>
      </w:r>
      <w:r>
        <w:rPr>
          <w:rStyle w:val="29"/>
          <w:rFonts w:hAnsi="宋体" w:cs="宋体"/>
          <w:color w:val="auto"/>
        </w:rPr>
        <w:t>五、谈判程序</w:t>
      </w:r>
      <w:r>
        <w:tab/>
      </w:r>
      <w:r>
        <w:fldChar w:fldCharType="begin"/>
      </w:r>
      <w:r>
        <w:instrText xml:space="preserve"> PAGEREF _Toc54939195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"_Toc54939196" </w:instrText>
      </w:r>
      <w:r>
        <w:fldChar w:fldCharType="separate"/>
      </w:r>
      <w:r>
        <w:rPr>
          <w:rStyle w:val="29"/>
          <w:rFonts w:hAnsi="宋体" w:cs="宋体"/>
          <w:color w:val="auto"/>
        </w:rPr>
        <w:t>六、谈判</w:t>
      </w:r>
      <w:r>
        <w:tab/>
      </w:r>
      <w:r>
        <w:fldChar w:fldCharType="begin"/>
      </w:r>
      <w:r>
        <w:instrText xml:space="preserve"> PAGEREF _Toc54939196 \h </w:instrText>
      </w:r>
      <w:r>
        <w:fldChar w:fldCharType="separate"/>
      </w:r>
      <w:r>
        <w:t>15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"_Toc54939197" </w:instrText>
      </w:r>
      <w:r>
        <w:fldChar w:fldCharType="separate"/>
      </w:r>
      <w:r>
        <w:rPr>
          <w:rStyle w:val="29"/>
          <w:rFonts w:ascii="宋体" w:hAnsi="宋体" w:cs="宋体"/>
          <w:b/>
          <w:bCs/>
          <w:color w:val="auto"/>
        </w:rPr>
        <w:t>七、合同授予</w:t>
      </w:r>
      <w:r>
        <w:tab/>
      </w:r>
      <w:r>
        <w:fldChar w:fldCharType="begin"/>
      </w:r>
      <w:r>
        <w:instrText xml:space="preserve"> PAGEREF _Toc54939197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"_Toc54939198" </w:instrText>
      </w:r>
      <w:r>
        <w:fldChar w:fldCharType="separate"/>
      </w:r>
      <w:r>
        <w:rPr>
          <w:rStyle w:val="29"/>
          <w:rFonts w:ascii="宋体" w:hAnsi="宋体" w:cs="宋体"/>
          <w:color w:val="auto"/>
        </w:rPr>
        <w:t>第三章 服务需求及技术要求</w:t>
      </w:r>
      <w:r>
        <w:tab/>
      </w:r>
      <w:r>
        <w:fldChar w:fldCharType="begin"/>
      </w:r>
      <w:r>
        <w:instrText xml:space="preserve"> PAGEREF _Toc54939198 \h </w:instrText>
      </w:r>
      <w:r>
        <w:fldChar w:fldCharType="separate"/>
      </w:r>
      <w:r>
        <w:t>20</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"_Toc54939199" </w:instrText>
      </w:r>
      <w:r>
        <w:fldChar w:fldCharType="separate"/>
      </w:r>
      <w:r>
        <w:rPr>
          <w:rStyle w:val="29"/>
          <w:rFonts w:ascii="宋体" w:hAnsi="宋体" w:cs="宋体"/>
          <w:color w:val="auto"/>
        </w:rPr>
        <w:t>第四章  合同主要条款</w:t>
      </w:r>
      <w:r>
        <w:tab/>
      </w:r>
      <w:r>
        <w:fldChar w:fldCharType="begin"/>
      </w:r>
      <w:r>
        <w:instrText xml:space="preserve"> PAGEREF _Toc54939199 \h </w:instrText>
      </w:r>
      <w:r>
        <w:fldChar w:fldCharType="separate"/>
      </w:r>
      <w:r>
        <w:t>25</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"_Toc54939200" </w:instrText>
      </w:r>
      <w:r>
        <w:fldChar w:fldCharType="separate"/>
      </w:r>
      <w:r>
        <w:rPr>
          <w:rStyle w:val="29"/>
          <w:rFonts w:ascii="宋体" w:hAnsi="宋体" w:cs="宋体"/>
          <w:color w:val="auto"/>
        </w:rPr>
        <w:t>第五章   谈判响应文件格式</w:t>
      </w:r>
      <w:r>
        <w:tab/>
      </w:r>
      <w:r>
        <w:fldChar w:fldCharType="begin"/>
      </w:r>
      <w:r>
        <w:instrText xml:space="preserve"> PAGEREF _Toc54939200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"_Toc54939201" </w:instrText>
      </w:r>
      <w:r>
        <w:fldChar w:fldCharType="separate"/>
      </w:r>
      <w:r>
        <w:rPr>
          <w:rStyle w:val="29"/>
          <w:rFonts w:hAnsi="宋体" w:cs="宋体"/>
          <w:color w:val="auto"/>
        </w:rPr>
        <w:t>一、谈判响应函</w:t>
      </w:r>
      <w:r>
        <w:tab/>
      </w:r>
      <w:r>
        <w:fldChar w:fldCharType="begin"/>
      </w:r>
      <w:r>
        <w:instrText xml:space="preserve"> PAGEREF _Toc54939201 \h </w:instrText>
      </w:r>
      <w:r>
        <w:fldChar w:fldCharType="separate"/>
      </w:r>
      <w:r>
        <w:t>29</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"_Toc54939202" </w:instrText>
      </w:r>
      <w:r>
        <w:fldChar w:fldCharType="separate"/>
      </w:r>
      <w:r>
        <w:rPr>
          <w:rStyle w:val="29"/>
          <w:rFonts w:hAnsi="宋体" w:cs="宋体"/>
          <w:color w:val="auto"/>
        </w:rPr>
        <w:t>二、</w:t>
      </w:r>
      <w:r>
        <w:rPr>
          <w:rStyle w:val="29"/>
          <w:rFonts w:hint="eastAsia" w:hAnsi="宋体" w:cs="宋体"/>
          <w:color w:val="auto"/>
        </w:rPr>
        <w:t>货物报价表</w:t>
      </w:r>
      <w:r>
        <w:rPr>
          <w:rStyle w:val="29"/>
          <w:rFonts w:hAnsi="宋体" w:cs="宋体"/>
          <w:color w:val="auto"/>
        </w:rPr>
        <w:t>(首轮)</w:t>
      </w:r>
      <w:r>
        <w:tab/>
      </w:r>
      <w:r>
        <w:fldChar w:fldCharType="begin"/>
      </w:r>
      <w:r>
        <w:instrText xml:space="preserve"> PAGEREF _Toc54939202 \h </w:instrText>
      </w:r>
      <w:r>
        <w:fldChar w:fldCharType="separate"/>
      </w:r>
      <w:r>
        <w:t>30</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"_Toc54939203" </w:instrText>
      </w:r>
      <w:r>
        <w:fldChar w:fldCharType="separate"/>
      </w:r>
      <w:r>
        <w:rPr>
          <w:rStyle w:val="29"/>
          <w:rFonts w:hAnsi="宋体" w:cs="宋体"/>
          <w:color w:val="auto"/>
        </w:rPr>
        <w:t>最终报价表</w:t>
      </w:r>
      <w:r>
        <w:tab/>
      </w:r>
      <w:r>
        <w:fldChar w:fldCharType="begin"/>
      </w:r>
      <w:r>
        <w:instrText xml:space="preserve"> PAGEREF _Toc54939203 \h </w:instrText>
      </w:r>
      <w:r>
        <w:fldChar w:fldCharType="separate"/>
      </w:r>
      <w:r>
        <w:t>31</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"_Toc54939204" </w:instrText>
      </w:r>
      <w:r>
        <w:fldChar w:fldCharType="separate"/>
      </w:r>
      <w:r>
        <w:rPr>
          <w:rStyle w:val="29"/>
          <w:rFonts w:hAnsi="宋体" w:cs="宋体"/>
          <w:color w:val="auto"/>
        </w:rPr>
        <w:t>三、</w:t>
      </w:r>
      <w:r>
        <w:rPr>
          <w:rStyle w:val="29"/>
          <w:rFonts w:hint="eastAsia" w:hAnsi="宋体" w:cs="宋体"/>
          <w:color w:val="auto"/>
        </w:rPr>
        <w:t>技术参数响应表</w:t>
      </w:r>
      <w:r>
        <w:tab/>
      </w:r>
      <w:r>
        <w:fldChar w:fldCharType="begin"/>
      </w:r>
      <w:r>
        <w:instrText xml:space="preserve"> PAGEREF _Toc54939204 \h </w:instrText>
      </w:r>
      <w:r>
        <w:fldChar w:fldCharType="separate"/>
      </w:r>
      <w:r>
        <w:t>32</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"_Toc54939205" </w:instrText>
      </w:r>
      <w:r>
        <w:fldChar w:fldCharType="separate"/>
      </w:r>
      <w:r>
        <w:rPr>
          <w:rStyle w:val="29"/>
          <w:rFonts w:hAnsi="宋体" w:cs="宋体"/>
          <w:color w:val="auto"/>
        </w:rPr>
        <w:t>四、服务方案</w:t>
      </w:r>
      <w:r>
        <w:tab/>
      </w:r>
      <w:r>
        <w:fldChar w:fldCharType="begin"/>
      </w:r>
      <w:r>
        <w:instrText xml:space="preserve"> PAGEREF _Toc54939205 \h </w:instrText>
      </w:r>
      <w:r>
        <w:fldChar w:fldCharType="separate"/>
      </w:r>
      <w:r>
        <w:t>34</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"_Toc54939206" </w:instrText>
      </w:r>
      <w:r>
        <w:fldChar w:fldCharType="separate"/>
      </w:r>
      <w:r>
        <w:rPr>
          <w:rStyle w:val="29"/>
          <w:rFonts w:hAnsi="宋体" w:cs="宋体"/>
          <w:color w:val="auto"/>
        </w:rPr>
        <w:t>五、诚信谈判响应承诺书</w:t>
      </w:r>
      <w:r>
        <w:tab/>
      </w:r>
      <w:r>
        <w:fldChar w:fldCharType="begin"/>
      </w:r>
      <w:r>
        <w:instrText xml:space="preserve"> PAGEREF _Toc54939206 \h </w:instrText>
      </w:r>
      <w:r>
        <w:fldChar w:fldCharType="separate"/>
      </w:r>
      <w:r>
        <w:t>35</w:t>
      </w:r>
      <w:r>
        <w:fldChar w:fldCharType="end"/>
      </w:r>
      <w:r>
        <w:fldChar w:fldCharType="end"/>
      </w:r>
    </w:p>
    <w:p>
      <w:pPr>
        <w:pStyle w:val="10"/>
        <w:tabs>
          <w:tab w:val="right" w:leader="dot" w:pos="9060"/>
        </w:tabs>
        <w:ind w:left="840"/>
        <w:rPr>
          <w:rFonts w:asciiTheme="minorHAnsi" w:hAnsiTheme="minorHAnsi" w:eastAsiaTheme="minorEastAsia" w:cstheme="minorBidi"/>
          <w:kern w:val="2"/>
          <w:sz w:val="21"/>
          <w:szCs w:val="22"/>
        </w:rPr>
      </w:pPr>
      <w:r>
        <w:fldChar w:fldCharType="begin"/>
      </w:r>
      <w:r>
        <w:instrText xml:space="preserve"> HYPERLINK \l "_Toc54939209" </w:instrText>
      </w:r>
      <w:r>
        <w:fldChar w:fldCharType="separate"/>
      </w:r>
      <w:r>
        <w:rPr>
          <w:rFonts w:hint="eastAsia"/>
        </w:rPr>
        <w:t>六</w:t>
      </w:r>
      <w:r>
        <w:rPr>
          <w:rStyle w:val="29"/>
          <w:rFonts w:hAnsi="宋体" w:cs="宋体"/>
          <w:color w:val="auto"/>
        </w:rPr>
        <w:t>、资格证明文件</w:t>
      </w:r>
      <w:r>
        <w:tab/>
      </w:r>
      <w:r>
        <w:fldChar w:fldCharType="begin"/>
      </w:r>
      <w:r>
        <w:instrText xml:space="preserve"> PAGEREF _Toc54939209 \h </w:instrText>
      </w:r>
      <w:r>
        <w:fldChar w:fldCharType="separate"/>
      </w:r>
      <w:r>
        <w:t>36</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rPr>
      </w:pPr>
      <w:r>
        <w:rPr>
          <w:rFonts w:hint="eastAsia" w:ascii="宋体" w:hAnsi="宋体" w:cs="宋体"/>
        </w:rPr>
        <w:fldChar w:fldCharType="end"/>
      </w:r>
    </w:p>
    <w:p>
      <w:pPr>
        <w:pStyle w:val="10"/>
        <w:tabs>
          <w:tab w:val="right" w:leader="dot" w:pos="9060"/>
        </w:tabs>
        <w:spacing w:line="240" w:lineRule="auto"/>
        <w:ind w:left="0" w:leftChars="0"/>
        <w:jc w:val="center"/>
        <w:outlineLvl w:val="0"/>
        <w:rPr>
          <w:rFonts w:ascii="宋体" w:hAnsi="宋体" w:cs="宋体"/>
        </w:rPr>
        <w:sectPr>
          <w:headerReference r:id="rId3" w:type="default"/>
          <w:pgSz w:w="11906" w:h="16838"/>
          <w:pgMar w:top="1417" w:right="1418" w:bottom="1417" w:left="1418" w:header="680" w:footer="680" w:gutter="0"/>
          <w:pgNumType w:start="1"/>
          <w:cols w:space="720" w:num="1"/>
          <w:docGrid w:type="lines" w:linePitch="312" w:charSpace="0"/>
        </w:sectPr>
      </w:pPr>
    </w:p>
    <w:p/>
    <w:p>
      <w:pPr>
        <w:pStyle w:val="10"/>
        <w:tabs>
          <w:tab w:val="right" w:leader="dot" w:pos="9060"/>
        </w:tabs>
        <w:spacing w:line="240" w:lineRule="auto"/>
        <w:ind w:left="0" w:leftChars="0"/>
        <w:jc w:val="center"/>
        <w:outlineLvl w:val="0"/>
        <w:rPr>
          <w:rStyle w:val="35"/>
          <w:rFonts w:ascii="宋体" w:hAnsi="宋体" w:cs="宋体"/>
          <w:b/>
          <w:bCs/>
          <w:sz w:val="32"/>
          <w:szCs w:val="32"/>
        </w:rPr>
      </w:pPr>
      <w:bookmarkStart w:id="0" w:name="_Toc54939187"/>
      <w:r>
        <w:rPr>
          <w:rStyle w:val="35"/>
          <w:rFonts w:hint="eastAsia" w:ascii="宋体" w:hAnsi="宋体" w:cs="宋体"/>
          <w:b/>
          <w:bCs/>
          <w:sz w:val="32"/>
          <w:szCs w:val="32"/>
        </w:rPr>
        <w:t>第一章   竞争性谈判公告</w:t>
      </w:r>
      <w:bookmarkEnd w:id="0"/>
      <w:bookmarkStart w:id="1" w:name="_Toc35393797"/>
      <w:bookmarkStart w:id="2" w:name="_Toc28359011"/>
    </w:p>
    <w:p>
      <w:pPr>
        <w:pStyle w:val="10"/>
        <w:tabs>
          <w:tab w:val="right" w:leader="dot" w:pos="9060"/>
        </w:tabs>
        <w:spacing w:line="240" w:lineRule="auto"/>
        <w:ind w:left="0" w:leftChars="0"/>
        <w:jc w:val="center"/>
        <w:rPr>
          <w:rFonts w:hint="eastAsia" w:ascii="华文中宋" w:hAnsi="华文中宋" w:eastAsia="华文中宋"/>
          <w:b/>
          <w:bCs/>
          <w:kern w:val="44"/>
          <w:sz w:val="28"/>
          <w:szCs w:val="28"/>
        </w:rPr>
      </w:pPr>
      <w:r>
        <w:rPr>
          <w:rFonts w:hint="eastAsia" w:ascii="华文中宋" w:hAnsi="华文中宋" w:eastAsia="华文中宋"/>
          <w:b/>
          <w:bCs/>
          <w:kern w:val="44"/>
          <w:sz w:val="28"/>
          <w:szCs w:val="28"/>
          <w:lang w:eastAsia="zh-CN"/>
        </w:rPr>
        <w:t>安庆职业技术学院食品质量与安全理实一体化实验实训室改造</w:t>
      </w:r>
      <w:r>
        <w:rPr>
          <w:rFonts w:hint="eastAsia" w:ascii="华文中宋" w:hAnsi="华文中宋" w:eastAsia="华文中宋"/>
          <w:b/>
          <w:bCs/>
          <w:kern w:val="44"/>
          <w:sz w:val="28"/>
          <w:szCs w:val="28"/>
        </w:rPr>
        <w:t>项目</w:t>
      </w:r>
    </w:p>
    <w:p>
      <w:pPr>
        <w:pStyle w:val="10"/>
        <w:tabs>
          <w:tab w:val="right" w:leader="dot" w:pos="9060"/>
        </w:tabs>
        <w:spacing w:line="240" w:lineRule="auto"/>
        <w:ind w:left="0" w:leftChars="0"/>
        <w:jc w:val="center"/>
        <w:rPr>
          <w:rFonts w:ascii="华文中宋" w:hAnsi="华文中宋" w:eastAsia="华文中宋"/>
          <w:b/>
          <w:bCs/>
          <w:kern w:val="44"/>
          <w:sz w:val="28"/>
          <w:szCs w:val="28"/>
        </w:rPr>
      </w:pPr>
      <w:r>
        <w:rPr>
          <w:rFonts w:hint="eastAsia" w:ascii="华文中宋" w:hAnsi="华文中宋" w:eastAsia="华文中宋"/>
          <w:b/>
          <w:bCs/>
          <w:kern w:val="44"/>
          <w:sz w:val="28"/>
          <w:szCs w:val="28"/>
        </w:rPr>
        <w:t>竞争性谈判公告</w:t>
      </w:r>
      <w:bookmarkEnd w:id="1"/>
      <w:bookmarkEnd w:id="2"/>
    </w:p>
    <w:tbl>
      <w:tblPr>
        <w:tblStyle w:val="2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bookmarkStart w:id="3" w:name="_Toc5725"/>
            <w:bookmarkStart w:id="4" w:name="_Toc54939188"/>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安庆职业技术学院食品质量与安全理实一体化实验实训室改造</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分（北京时间）前提交响应文件。</w:t>
            </w:r>
            <w:r>
              <w:rPr>
                <w:rFonts w:ascii="Calibri" w:hAnsi="Calibri"/>
                <w:szCs w:val="21"/>
                <w:lang w:bidi="ar"/>
              </w:rPr>
              <w:t> </w:t>
            </w:r>
          </w:p>
        </w:tc>
      </w:tr>
    </w:tbl>
    <w:p>
      <w:pPr>
        <w:rPr>
          <w:rFonts w:ascii="黑体" w:hAnsi="黑体" w:eastAsia="黑体" w:cs="宋体"/>
          <w:bCs/>
          <w:sz w:val="28"/>
          <w:szCs w:val="28"/>
        </w:rPr>
      </w:pPr>
      <w:r>
        <w:rPr>
          <w:rFonts w:ascii="Calibri" w:hAnsi="Calibri"/>
          <w:szCs w:val="21"/>
          <w:lang w:bidi="ar"/>
        </w:rPr>
        <w:t xml:space="preserve"> </w:t>
      </w:r>
      <w:bookmarkStart w:id="5" w:name="_Toc35393798"/>
      <w:bookmarkStart w:id="6" w:name="_Toc28359012"/>
      <w:bookmarkStart w:id="7" w:name="_Toc28359089"/>
      <w:bookmarkStart w:id="8" w:name="_Toc35393629"/>
      <w:r>
        <w:rPr>
          <w:rFonts w:hint="eastAsia" w:ascii="黑体" w:hAnsi="黑体" w:eastAsia="黑体" w:cs="宋体"/>
          <w:bCs/>
          <w:sz w:val="28"/>
          <w:szCs w:val="28"/>
        </w:rPr>
        <w:t>一、项目基本情况</w:t>
      </w:r>
      <w:bookmarkEnd w:id="5"/>
      <w:bookmarkEnd w:id="6"/>
      <w:bookmarkEnd w:id="7"/>
      <w:bookmarkEnd w:id="8"/>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CG-AZ-2021-009</w:t>
      </w:r>
    </w:p>
    <w:p>
      <w:pPr>
        <w:ind w:firstLine="708" w:firstLineChars="253"/>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安庆职业技术学院食品质量与安全理实一体化实验实训室改造</w:t>
      </w:r>
      <w:r>
        <w:rPr>
          <w:rFonts w:hint="eastAsia" w:ascii="仿宋" w:hAnsi="仿宋" w:eastAsia="仿宋"/>
          <w:sz w:val="28"/>
          <w:szCs w:val="28"/>
        </w:rPr>
        <w:t>项目</w:t>
      </w:r>
    </w:p>
    <w:p>
      <w:pPr>
        <w:ind w:firstLine="708" w:firstLineChars="253"/>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708" w:firstLineChars="253"/>
        <w:rPr>
          <w:rFonts w:ascii="仿宋" w:hAnsi="仿宋" w:eastAsia="仿宋"/>
          <w:sz w:val="28"/>
          <w:szCs w:val="28"/>
        </w:rPr>
      </w:pPr>
      <w:r>
        <w:rPr>
          <w:rFonts w:hint="eastAsia" w:ascii="仿宋" w:hAnsi="仿宋" w:eastAsia="仿宋"/>
          <w:sz w:val="28"/>
          <w:szCs w:val="28"/>
        </w:rPr>
        <w:t>资金来源：财政资金</w:t>
      </w:r>
    </w:p>
    <w:p>
      <w:pPr>
        <w:ind w:firstLine="708" w:firstLineChars="253"/>
        <w:rPr>
          <w:rFonts w:ascii="仿宋" w:hAnsi="仿宋" w:eastAsia="仿宋"/>
          <w:sz w:val="28"/>
          <w:szCs w:val="28"/>
        </w:rPr>
      </w:pPr>
      <w:r>
        <w:rPr>
          <w:rFonts w:hint="eastAsia" w:ascii="仿宋" w:hAnsi="仿宋" w:eastAsia="仿宋"/>
          <w:sz w:val="28"/>
          <w:szCs w:val="28"/>
        </w:rPr>
        <w:t>预算金额：1</w:t>
      </w:r>
      <w:r>
        <w:rPr>
          <w:rFonts w:hint="eastAsia" w:ascii="仿宋" w:hAnsi="仿宋" w:eastAsia="仿宋"/>
          <w:sz w:val="28"/>
          <w:szCs w:val="28"/>
          <w:lang w:val="en-US" w:eastAsia="zh-CN"/>
        </w:rPr>
        <w:t>2</w:t>
      </w:r>
      <w:r>
        <w:rPr>
          <w:rFonts w:hint="eastAsia" w:ascii="仿宋" w:hAnsi="仿宋" w:eastAsia="仿宋"/>
          <w:sz w:val="28"/>
          <w:szCs w:val="28"/>
        </w:rPr>
        <w:t>万元</w:t>
      </w:r>
    </w:p>
    <w:p>
      <w:pPr>
        <w:ind w:firstLine="708" w:firstLineChars="253"/>
        <w:rPr>
          <w:rFonts w:ascii="仿宋" w:hAnsi="仿宋" w:eastAsia="仿宋"/>
          <w:sz w:val="28"/>
          <w:szCs w:val="28"/>
        </w:rPr>
      </w:pPr>
      <w:r>
        <w:rPr>
          <w:rFonts w:hint="eastAsia" w:ascii="仿宋" w:hAnsi="仿宋" w:eastAsia="仿宋"/>
          <w:sz w:val="28"/>
          <w:szCs w:val="28"/>
        </w:rPr>
        <w:t>最高限价：1</w:t>
      </w:r>
      <w:r>
        <w:rPr>
          <w:rFonts w:hint="eastAsia" w:ascii="仿宋" w:hAnsi="仿宋" w:eastAsia="仿宋"/>
          <w:sz w:val="28"/>
          <w:szCs w:val="28"/>
          <w:lang w:val="en-US" w:eastAsia="zh-CN"/>
        </w:rPr>
        <w:t>2</w:t>
      </w:r>
      <w:r>
        <w:rPr>
          <w:rFonts w:hint="eastAsia" w:ascii="仿宋" w:hAnsi="仿宋" w:eastAsia="仿宋"/>
          <w:sz w:val="28"/>
          <w:szCs w:val="28"/>
        </w:rPr>
        <w:t>万元</w:t>
      </w:r>
    </w:p>
    <w:p>
      <w:pPr>
        <w:ind w:firstLine="708" w:firstLineChars="253"/>
        <w:rPr>
          <w:rFonts w:ascii="仿宋" w:hAnsi="仿宋" w:eastAsia="仿宋"/>
          <w:sz w:val="28"/>
          <w:szCs w:val="28"/>
          <w:u w:val="single"/>
        </w:rPr>
      </w:pPr>
      <w:r>
        <w:rPr>
          <w:rFonts w:hint="eastAsia" w:ascii="仿宋" w:hAnsi="仿宋" w:eastAsia="仿宋"/>
          <w:sz w:val="28"/>
          <w:szCs w:val="28"/>
        </w:rPr>
        <w:t>采购需求：理实一体教学实验台柜</w:t>
      </w:r>
      <w:r>
        <w:rPr>
          <w:rFonts w:hint="eastAsia" w:ascii="仿宋" w:hAnsi="仿宋" w:eastAsia="仿宋"/>
          <w:sz w:val="28"/>
          <w:szCs w:val="28"/>
          <w:lang w:eastAsia="zh-CN"/>
        </w:rPr>
        <w:t>、理实一体教学专用大屏、水电改造、墙面刷新等</w:t>
      </w:r>
      <w:r>
        <w:rPr>
          <w:rFonts w:hint="eastAsia" w:ascii="仿宋" w:hAnsi="仿宋" w:eastAsia="仿宋"/>
          <w:sz w:val="28"/>
          <w:szCs w:val="28"/>
        </w:rPr>
        <w:t>。详见谈判文件</w:t>
      </w:r>
    </w:p>
    <w:p>
      <w:pPr>
        <w:ind w:firstLine="708" w:firstLineChars="253"/>
        <w:rPr>
          <w:rFonts w:ascii="仿宋" w:hAnsi="仿宋" w:eastAsia="仿宋"/>
          <w:sz w:val="28"/>
          <w:szCs w:val="28"/>
        </w:rPr>
      </w:pPr>
      <w:r>
        <w:rPr>
          <w:rFonts w:hint="eastAsia" w:ascii="仿宋" w:hAnsi="仿宋" w:eastAsia="仿宋"/>
          <w:sz w:val="28"/>
          <w:szCs w:val="28"/>
        </w:rPr>
        <w:t>标段（包别）划分：一个包</w:t>
      </w:r>
    </w:p>
    <w:p>
      <w:pPr>
        <w:ind w:firstLine="708" w:firstLineChars="253"/>
        <w:rPr>
          <w:rFonts w:ascii="仿宋" w:hAnsi="仿宋" w:eastAsia="仿宋" w:cs="仿宋"/>
          <w:sz w:val="28"/>
          <w:szCs w:val="28"/>
        </w:rPr>
      </w:pPr>
      <w:r>
        <w:rPr>
          <w:rFonts w:hint="eastAsia" w:ascii="仿宋" w:hAnsi="仿宋" w:eastAsia="仿宋"/>
          <w:sz w:val="28"/>
          <w:szCs w:val="28"/>
        </w:rPr>
        <w:t>评标</w:t>
      </w:r>
      <w:r>
        <w:rPr>
          <w:rFonts w:hint="eastAsia" w:ascii="仿宋" w:hAnsi="仿宋" w:eastAsia="仿宋" w:cs="仿宋"/>
          <w:sz w:val="28"/>
          <w:szCs w:val="28"/>
        </w:rPr>
        <w:t>办法：采用符合性评审的有效最低价评审办法</w:t>
      </w:r>
    </w:p>
    <w:p>
      <w:pPr>
        <w:ind w:firstLine="708" w:firstLineChars="253"/>
        <w:rPr>
          <w:rFonts w:ascii="仿宋" w:hAnsi="仿宋" w:eastAsia="仿宋"/>
          <w:sz w:val="28"/>
          <w:szCs w:val="28"/>
          <w:highlight w:val="yellow"/>
        </w:rPr>
      </w:pPr>
      <w:r>
        <w:rPr>
          <w:rFonts w:hint="eastAsia" w:ascii="仿宋" w:hAnsi="仿宋" w:eastAsia="仿宋" w:cs="仿宋"/>
          <w:sz w:val="28"/>
          <w:szCs w:val="28"/>
        </w:rPr>
        <w:t>合同履行期限：自合同签字生效后</w:t>
      </w:r>
      <w:r>
        <w:rPr>
          <w:rFonts w:hint="eastAsia" w:ascii="仿宋" w:hAnsi="仿宋" w:eastAsia="仿宋" w:cs="仿宋"/>
          <w:sz w:val="28"/>
          <w:szCs w:val="28"/>
          <w:lang w:val="en-US" w:eastAsia="zh-CN"/>
        </w:rPr>
        <w:t>30</w:t>
      </w:r>
      <w:r>
        <w:rPr>
          <w:rFonts w:hint="eastAsia" w:ascii="仿宋" w:hAnsi="仿宋" w:eastAsia="仿宋" w:cs="仿宋"/>
          <w:sz w:val="28"/>
          <w:szCs w:val="28"/>
        </w:rPr>
        <w:t>日历天</w:t>
      </w:r>
    </w:p>
    <w:p>
      <w:pPr>
        <w:ind w:firstLine="708" w:firstLineChars="253"/>
        <w:rPr>
          <w:rFonts w:ascii="仿宋" w:hAnsi="仿宋" w:eastAsia="仿宋"/>
          <w:sz w:val="28"/>
          <w:szCs w:val="28"/>
        </w:rPr>
      </w:pPr>
      <w:r>
        <w:rPr>
          <w:rFonts w:hint="eastAsia" w:ascii="仿宋" w:hAnsi="仿宋" w:eastAsia="仿宋"/>
          <w:sz w:val="28"/>
          <w:szCs w:val="28"/>
        </w:rPr>
        <w:t>本项目不接受联合体谈判。</w:t>
      </w:r>
    </w:p>
    <w:p>
      <w:pPr>
        <w:rPr>
          <w:rFonts w:ascii="黑体" w:hAnsi="黑体" w:eastAsia="黑体" w:cs="宋体"/>
          <w:bCs/>
          <w:sz w:val="28"/>
          <w:szCs w:val="28"/>
        </w:rPr>
      </w:pPr>
      <w:bookmarkStart w:id="9" w:name="_Toc35393630"/>
      <w:bookmarkStart w:id="10" w:name="_Toc35393799"/>
      <w:bookmarkStart w:id="11" w:name="_Toc28359090"/>
      <w:bookmarkStart w:id="12" w:name="_Toc28359013"/>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5" w:firstLineChars="202"/>
        <w:rPr>
          <w:rFonts w:ascii="仿宋" w:hAnsi="仿宋" w:eastAsia="仿宋"/>
          <w:sz w:val="28"/>
          <w:szCs w:val="28"/>
        </w:rPr>
      </w:pPr>
      <w:bookmarkStart w:id="13" w:name="_Toc28359014"/>
      <w:bookmarkStart w:id="14"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ascii="仿宋" w:hAnsi="仿宋" w:eastAsia="仿宋"/>
          <w:i/>
          <w:iCs/>
          <w:sz w:val="28"/>
          <w:szCs w:val="28"/>
          <w:u w:val="single"/>
        </w:rPr>
      </w:pPr>
      <w:r>
        <w:rPr>
          <w:rFonts w:hint="eastAsia" w:ascii="仿宋" w:hAnsi="仿宋" w:eastAsia="仿宋"/>
          <w:sz w:val="28"/>
          <w:szCs w:val="28"/>
        </w:rPr>
        <w:t>3.本项目的特定资格要求：/</w:t>
      </w:r>
    </w:p>
    <w:p>
      <w:pPr>
        <w:ind w:firstLine="565" w:firstLineChars="20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rPr>
          <w:rFonts w:ascii="黑体" w:hAnsi="黑体" w:eastAsia="黑体" w:cs="宋体"/>
          <w:bCs/>
          <w:sz w:val="28"/>
          <w:szCs w:val="28"/>
        </w:rPr>
      </w:pPr>
      <w:bookmarkStart w:id="15" w:name="_Toc35393631"/>
      <w:bookmarkStart w:id="16" w:name="_Toc35393800"/>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ascii="仿宋" w:hAnsi="仿宋" w:eastAsia="仿宋" w:cs="宋体"/>
          <w:sz w:val="28"/>
          <w:szCs w:val="28"/>
        </w:rPr>
      </w:pPr>
      <w:r>
        <w:rPr>
          <w:rFonts w:hint="eastAsia" w:ascii="仿宋" w:hAnsi="仿宋" w:eastAsia="仿宋" w:cs="仿宋"/>
          <w:kern w:val="0"/>
          <w:sz w:val="28"/>
          <w:szCs w:val="28"/>
        </w:rPr>
        <w:t>潜在供应商于2021年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时</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分前，将盖公章的获取竞争性谈判文件的函（详见附件）发送至邮箱504476178@qq.com。（超过时间的邮件无效，无法获取文件）</w:t>
      </w:r>
    </w:p>
    <w:p>
      <w:pPr>
        <w:ind w:firstLine="565" w:firstLineChars="202"/>
        <w:rPr>
          <w:rFonts w:ascii="仿宋" w:hAnsi="仿宋" w:eastAsia="仿宋" w:cs="宋体"/>
          <w:sz w:val="28"/>
          <w:szCs w:val="28"/>
        </w:rPr>
      </w:pPr>
      <w:r>
        <w:rPr>
          <w:rFonts w:hint="eastAsia" w:ascii="仿宋" w:hAnsi="仿宋" w:eastAsia="仿宋" w:cs="宋体"/>
          <w:sz w:val="28"/>
          <w:szCs w:val="28"/>
        </w:rPr>
        <w:t>售价：免费。</w:t>
      </w:r>
    </w:p>
    <w:p>
      <w:pPr>
        <w:rPr>
          <w:rFonts w:ascii="黑体" w:hAnsi="黑体" w:eastAsia="黑体" w:cs="宋体"/>
          <w:bCs/>
          <w:sz w:val="28"/>
          <w:szCs w:val="28"/>
        </w:rPr>
      </w:pPr>
      <w:bookmarkStart w:id="17" w:name="_Toc35393632"/>
      <w:bookmarkStart w:id="18" w:name="_Toc35393801"/>
      <w:bookmarkStart w:id="19" w:name="_Toc28359015"/>
      <w:bookmarkStart w:id="20" w:name="_Toc28359092"/>
      <w:r>
        <w:rPr>
          <w:rFonts w:hint="eastAsia" w:ascii="黑体" w:hAnsi="黑体" w:eastAsia="黑体" w:cs="宋体"/>
          <w:bCs/>
          <w:sz w:val="28"/>
          <w:szCs w:val="28"/>
        </w:rPr>
        <w:t>四、响应文件提交</w:t>
      </w:r>
      <w:bookmarkEnd w:id="17"/>
      <w:bookmarkEnd w:id="18"/>
      <w:bookmarkEnd w:id="19"/>
      <w:bookmarkEnd w:id="20"/>
      <w:bookmarkStart w:id="123" w:name="_GoBack"/>
      <w:bookmarkEnd w:id="123"/>
    </w:p>
    <w:p>
      <w:pPr>
        <w:ind w:firstLine="565" w:firstLineChars="202"/>
        <w:rPr>
          <w:rFonts w:ascii="仿宋" w:hAnsi="仿宋" w:eastAsia="仿宋"/>
          <w:bCs/>
          <w:sz w:val="28"/>
          <w:szCs w:val="28"/>
          <w:u w:val="single"/>
        </w:rPr>
      </w:pPr>
      <w:r>
        <w:rPr>
          <w:rFonts w:hint="eastAsia" w:ascii="仿宋" w:hAnsi="仿宋" w:eastAsia="仿宋"/>
          <w:sz w:val="28"/>
          <w:szCs w:val="28"/>
        </w:rPr>
        <w:t>截止时间：2021年7月6日15点30分</w:t>
      </w:r>
      <w:r>
        <w:rPr>
          <w:rFonts w:hint="eastAsia" w:ascii="仿宋" w:hAnsi="仿宋" w:eastAsia="仿宋"/>
          <w:bCs/>
          <w:sz w:val="28"/>
          <w:szCs w:val="28"/>
        </w:rPr>
        <w:t>（北京时间）</w:t>
      </w:r>
    </w:p>
    <w:p>
      <w:pPr>
        <w:widowControl/>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安庆市公共资源交易中心(具体开标地点见当天一楼大厅电子显示屏)</w:t>
      </w:r>
    </w:p>
    <w:p>
      <w:pPr>
        <w:rPr>
          <w:rFonts w:ascii="黑体" w:hAnsi="黑体" w:eastAsia="黑体" w:cs="宋体"/>
          <w:bCs/>
          <w:sz w:val="28"/>
          <w:szCs w:val="28"/>
        </w:rPr>
      </w:pPr>
      <w:bookmarkStart w:id="21" w:name="_Toc28359016"/>
      <w:bookmarkStart w:id="22" w:name="_Toc35393633"/>
      <w:bookmarkStart w:id="23" w:name="_Toc35393802"/>
      <w:bookmarkStart w:id="24" w:name="_Toc28359093"/>
      <w:r>
        <w:rPr>
          <w:rFonts w:hint="eastAsia" w:ascii="黑体" w:hAnsi="黑体" w:eastAsia="黑体" w:cs="宋体"/>
          <w:bCs/>
          <w:sz w:val="28"/>
          <w:szCs w:val="28"/>
        </w:rPr>
        <w:t>五、开启</w:t>
      </w:r>
      <w:bookmarkEnd w:id="21"/>
      <w:bookmarkEnd w:id="22"/>
      <w:bookmarkEnd w:id="23"/>
      <w:bookmarkEnd w:id="24"/>
    </w:p>
    <w:p>
      <w:pPr>
        <w:ind w:firstLine="565" w:firstLineChars="202"/>
        <w:rPr>
          <w:rFonts w:ascii="仿宋" w:hAnsi="仿宋" w:eastAsia="仿宋"/>
          <w:bCs/>
          <w:sz w:val="28"/>
          <w:szCs w:val="28"/>
          <w:u w:val="single"/>
        </w:rPr>
      </w:pPr>
      <w:r>
        <w:rPr>
          <w:rFonts w:hint="eastAsia" w:ascii="仿宋" w:hAnsi="仿宋" w:eastAsia="仿宋"/>
          <w:sz w:val="28"/>
          <w:szCs w:val="28"/>
        </w:rPr>
        <w:t>时间：2021年7月6日15点30分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kern w:val="0"/>
          <w:sz w:val="28"/>
          <w:szCs w:val="28"/>
        </w:rPr>
        <w:t>安庆市公共资源交易中心</w:t>
      </w:r>
    </w:p>
    <w:p>
      <w:pPr>
        <w:rPr>
          <w:rFonts w:ascii="黑体" w:hAnsi="黑体" w:eastAsia="黑体" w:cs="宋体"/>
          <w:bCs/>
          <w:sz w:val="28"/>
          <w:szCs w:val="28"/>
        </w:rPr>
      </w:pPr>
      <w:bookmarkStart w:id="25" w:name="_Toc28359017"/>
      <w:bookmarkStart w:id="26" w:name="_Toc28359094"/>
      <w:bookmarkStart w:id="27" w:name="_Toc35393803"/>
      <w:bookmarkStart w:id="28" w:name="_Toc35393634"/>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29" w:name="_Toc35393635"/>
      <w:bookmarkStart w:id="30" w:name="_Toc35393804"/>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职业技术学院（https://www.aqvtc.edu.cn/）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3.获取竞争性谈判文件，而放弃参加投标的供应商，请在响应文件提交截止日前以单位名义向504476178@qq.com邮箱发送弃标函（格式自拟）。</w:t>
      </w:r>
    </w:p>
    <w:p>
      <w:pPr>
        <w:rPr>
          <w:rFonts w:ascii="黑体" w:hAnsi="黑体" w:eastAsia="黑体" w:cs="宋体"/>
          <w:bCs/>
          <w:sz w:val="28"/>
          <w:szCs w:val="28"/>
        </w:rPr>
      </w:pPr>
      <w:bookmarkStart w:id="31" w:name="_Toc28359095"/>
      <w:bookmarkStart w:id="32" w:name="_Toc28359018"/>
      <w:bookmarkStart w:id="33" w:name="_Toc35393805"/>
      <w:bookmarkStart w:id="34" w:name="_Toc35393636"/>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ind w:firstLine="565" w:firstLineChars="202"/>
        <w:rPr>
          <w:rFonts w:ascii="仿宋" w:hAnsi="仿宋" w:eastAsia="仿宋" w:cs="宋体"/>
          <w:bCs/>
          <w:sz w:val="28"/>
          <w:szCs w:val="28"/>
        </w:rPr>
      </w:pPr>
      <w:bookmarkStart w:id="35" w:name="_Toc28359096"/>
      <w:bookmarkStart w:id="36" w:name="_Toc35393637"/>
      <w:bookmarkStart w:id="37" w:name="_Toc28359019"/>
      <w:bookmarkStart w:id="38" w:name="_Toc35393806"/>
      <w:r>
        <w:rPr>
          <w:rFonts w:hint="eastAsia" w:ascii="仿宋" w:hAnsi="仿宋" w:eastAsia="仿宋" w:cs="宋体"/>
          <w:bCs/>
          <w:sz w:val="28"/>
          <w:szCs w:val="28"/>
        </w:rPr>
        <w:t>1.采购人信息</w:t>
      </w:r>
      <w:bookmarkEnd w:id="35"/>
      <w:bookmarkEnd w:id="36"/>
      <w:bookmarkEnd w:id="37"/>
      <w:bookmarkEnd w:id="38"/>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安庆职业技术学院</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安庆市天柱山东路99号</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仿宋"/>
          <w:kern w:val="0"/>
          <w:sz w:val="28"/>
          <w:szCs w:val="28"/>
        </w:rPr>
        <w:t>余老师</w:t>
      </w:r>
    </w:p>
    <w:p>
      <w:pPr>
        <w:ind w:firstLine="565" w:firstLineChars="202"/>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kern w:val="0"/>
          <w:sz w:val="28"/>
          <w:szCs w:val="28"/>
        </w:rPr>
        <w:t>0556-5283045</w:t>
      </w:r>
    </w:p>
    <w:p>
      <w:pPr>
        <w:ind w:firstLine="565" w:firstLineChars="202"/>
        <w:rPr>
          <w:rFonts w:ascii="仿宋" w:hAnsi="仿宋" w:eastAsia="仿宋" w:cs="宋体"/>
          <w:bCs/>
          <w:sz w:val="28"/>
          <w:szCs w:val="28"/>
        </w:rPr>
      </w:pPr>
      <w:bookmarkStart w:id="39" w:name="_Toc35393638"/>
      <w:bookmarkStart w:id="40" w:name="_Toc28359097"/>
      <w:bookmarkStart w:id="41" w:name="_Toc35393807"/>
      <w:bookmarkStart w:id="42" w:name="_Toc28359020"/>
      <w:r>
        <w:rPr>
          <w:rFonts w:hint="eastAsia" w:ascii="仿宋" w:hAnsi="仿宋" w:eastAsia="仿宋" w:cs="宋体"/>
          <w:bCs/>
          <w:sz w:val="28"/>
          <w:szCs w:val="28"/>
        </w:rPr>
        <w:t>2.采购代理机构信息</w:t>
      </w:r>
      <w:bookmarkEnd w:id="39"/>
      <w:bookmarkEnd w:id="40"/>
      <w:bookmarkEnd w:id="41"/>
      <w:bookmarkEnd w:id="42"/>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kern w:val="0"/>
          <w:sz w:val="28"/>
          <w:szCs w:val="28"/>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仿宋"/>
          <w:kern w:val="0"/>
          <w:sz w:val="28"/>
          <w:szCs w:val="28"/>
        </w:rPr>
        <w:t>安庆市龙山路215号五楼政府采购部</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rPr>
        <w:t>武惠梅</w:t>
      </w:r>
    </w:p>
    <w:p>
      <w:pPr>
        <w:ind w:firstLine="565" w:firstLineChars="202"/>
        <w:rPr>
          <w:rFonts w:ascii="仿宋" w:hAnsi="仿宋" w:eastAsia="仿宋"/>
          <w:sz w:val="28"/>
          <w:szCs w:val="28"/>
        </w:rPr>
      </w:pPr>
      <w:r>
        <w:rPr>
          <w:rFonts w:hint="eastAsia" w:ascii="仿宋" w:hAnsi="仿宋" w:eastAsia="仿宋"/>
          <w:sz w:val="28"/>
          <w:szCs w:val="28"/>
        </w:rPr>
        <w:t>联系方式：0556-5991152</w:t>
      </w:r>
    </w:p>
    <w:p>
      <w:pPr>
        <w:ind w:firstLine="565" w:firstLineChars="202"/>
        <w:rPr>
          <w:rFonts w:ascii="仿宋" w:hAnsi="仿宋" w:eastAsia="仿宋" w:cs="宋体"/>
          <w:bCs/>
          <w:sz w:val="28"/>
          <w:szCs w:val="28"/>
        </w:rPr>
      </w:pPr>
      <w:bookmarkStart w:id="43" w:name="_Toc35393639"/>
      <w:bookmarkStart w:id="44" w:name="_Toc35393808"/>
      <w:bookmarkStart w:id="45" w:name="_Toc28359021"/>
      <w:bookmarkStart w:id="46" w:name="_Toc28359098"/>
      <w:r>
        <w:rPr>
          <w:rFonts w:hint="eastAsia" w:ascii="仿宋" w:hAnsi="仿宋" w:eastAsia="仿宋" w:cs="宋体"/>
          <w:bCs/>
          <w:sz w:val="28"/>
          <w:szCs w:val="28"/>
        </w:rPr>
        <w:t>3.项目联系</w:t>
      </w:r>
      <w:r>
        <w:rPr>
          <w:rFonts w:ascii="仿宋" w:hAnsi="仿宋" w:eastAsia="仿宋" w:cs="宋体"/>
          <w:bCs/>
          <w:sz w:val="28"/>
          <w:szCs w:val="28"/>
        </w:rPr>
        <w:t>方式</w:t>
      </w:r>
      <w:bookmarkEnd w:id="43"/>
      <w:bookmarkEnd w:id="44"/>
      <w:bookmarkEnd w:id="45"/>
      <w:bookmarkEnd w:id="46"/>
    </w:p>
    <w:p>
      <w:pPr>
        <w:ind w:firstLine="565" w:firstLineChars="202"/>
        <w:rPr>
          <w:rFonts w:ascii="仿宋" w:hAnsi="仿宋" w:eastAsia="仿宋" w:cstheme="minorBidi"/>
          <w:sz w:val="28"/>
          <w:szCs w:val="28"/>
        </w:rPr>
      </w:pPr>
      <w:r>
        <w:rPr>
          <w:rFonts w:hint="eastAsia" w:ascii="仿宋" w:hAnsi="仿宋" w:eastAsia="仿宋" w:cstheme="minorBidi"/>
          <w:sz w:val="28"/>
          <w:szCs w:val="28"/>
        </w:rPr>
        <w:t>项目联系人：</w:t>
      </w:r>
      <w:r>
        <w:rPr>
          <w:rFonts w:hint="eastAsia" w:ascii="仿宋" w:hAnsi="仿宋" w:eastAsia="仿宋" w:cs="仿宋"/>
          <w:kern w:val="0"/>
          <w:sz w:val="28"/>
          <w:szCs w:val="28"/>
        </w:rPr>
        <w:t>余老师</w:t>
      </w:r>
    </w:p>
    <w:p>
      <w:pPr>
        <w:ind w:firstLine="565" w:firstLineChars="202"/>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仿宋"/>
          <w:kern w:val="0"/>
          <w:sz w:val="28"/>
          <w:szCs w:val="28"/>
        </w:rPr>
        <w:t>0556-5283045</w:t>
      </w:r>
    </w:p>
    <w:p>
      <w:pPr>
        <w:rPr>
          <w:rFonts w:ascii="仿宋_GB2312" w:hAnsi="宋体" w:eastAsia="仿宋_GB2312" w:cs="宋体"/>
          <w:kern w:val="0"/>
          <w:sz w:val="32"/>
          <w:szCs w:val="32"/>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我单位的要求</w:t>
      </w:r>
      <w:r>
        <w:rPr>
          <w:rFonts w:hint="eastAsia" w:ascii="仿宋" w:hAnsi="仿宋" w:eastAsia="仿宋" w:cs="仿宋"/>
          <w:sz w:val="32"/>
          <w:szCs w:val="32"/>
          <w:lang w:eastAsia="zh-CN"/>
        </w:rPr>
        <w:t>安庆职业技术学院食品质量与安全理实一体化实验实训室改造</w:t>
      </w:r>
      <w:r>
        <w:rPr>
          <w:rFonts w:hint="eastAsia" w:ascii="仿宋" w:hAnsi="仿宋" w:eastAsia="仿宋" w:cs="仿宋"/>
          <w:sz w:val="32"/>
          <w:szCs w:val="32"/>
        </w:rPr>
        <w:t>项目的竞争性谈判文件电子版，该电子版仅做本次投标使用，并承诺不做外用。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安庆职业技术学院食品质量与安全理实一体化实验实训室改造</w:t>
      </w:r>
      <w:r>
        <w:rPr>
          <w:rFonts w:hint="eastAsia" w:ascii="仿宋" w:hAnsi="仿宋" w:eastAsia="仿宋" w:cs="仿宋"/>
          <w:sz w:val="32"/>
          <w:szCs w:val="32"/>
        </w:rPr>
        <w:t>项目竞争性谈判文件发至以下邮箱：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2021年  月  日</w:t>
      </w: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ind w:firstLine="640"/>
        <w:rPr>
          <w:rFonts w:ascii="仿宋" w:hAnsi="仿宋" w:eastAsia="仿宋" w:cs="仿宋"/>
          <w:sz w:val="32"/>
          <w:szCs w:val="32"/>
        </w:rPr>
      </w:pPr>
    </w:p>
    <w:p>
      <w:pPr>
        <w:rPr>
          <w:rFonts w:ascii="仿宋_GB2312" w:hAnsi="宋体" w:eastAsia="仿宋_GB2312" w:cs="宋体"/>
          <w:kern w:val="0"/>
          <w:sz w:val="28"/>
          <w:szCs w:val="28"/>
        </w:rPr>
      </w:pPr>
    </w:p>
    <w:p>
      <w:pPr>
        <w:pStyle w:val="3"/>
        <w:rPr>
          <w:rFonts w:ascii="宋体" w:hAnsi="宋体" w:cs="宋体"/>
        </w:rPr>
      </w:pPr>
      <w:r>
        <w:rPr>
          <w:rFonts w:hint="eastAsia" w:ascii="宋体" w:hAnsi="宋体" w:cs="宋体"/>
        </w:rPr>
        <w:t>第二章   谈判响应人须知</w:t>
      </w:r>
      <w:bookmarkEnd w:id="3"/>
      <w:bookmarkEnd w:id="4"/>
    </w:p>
    <w:p>
      <w:pPr>
        <w:pStyle w:val="46"/>
        <w:rPr>
          <w:rFonts w:ascii="宋体" w:hAnsi="宋体"/>
        </w:rPr>
      </w:pPr>
      <w:bookmarkStart w:id="47" w:name="_Toc54939189"/>
      <w:bookmarkStart w:id="48" w:name="_Toc27607"/>
      <w:r>
        <w:rPr>
          <w:rFonts w:hint="eastAsia" w:ascii="宋体" w:hAnsi="宋体"/>
        </w:rPr>
        <w:t>第一节  谈判响应人须知前附表</w:t>
      </w:r>
      <w:bookmarkEnd w:id="47"/>
      <w:bookmarkEnd w:id="48"/>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szCs w:val="21"/>
              </w:rPr>
            </w:pPr>
            <w:r>
              <w:rPr>
                <w:rFonts w:hint="eastAsia" w:ascii="宋体" w:hAnsi="宋体" w:cs="宋体"/>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szCs w:val="21"/>
              </w:rPr>
            </w:pPr>
            <w:r>
              <w:rPr>
                <w:rFonts w:hint="eastAsia" w:ascii="宋体" w:hAnsi="宋体" w:cs="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Cs w:val="21"/>
                <w:lang w:eastAsia="zh-CN"/>
              </w:rPr>
            </w:pPr>
            <w:r>
              <w:rPr>
                <w:rFonts w:hint="eastAsia" w:ascii="宋体" w:hAnsi="宋体" w:cs="宋体"/>
                <w:kern w:val="0"/>
                <w:szCs w:val="21"/>
                <w:lang w:eastAsia="zh-CN"/>
              </w:rPr>
              <w:t>CG-AZ-2021-009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lang w:eastAsia="zh-CN"/>
              </w:rPr>
              <w:t>安庆职业技术学院食品质量与安全理实一体化实验实训室改造</w:t>
            </w:r>
            <w:r>
              <w:rPr>
                <w:rFonts w:hint="eastAsia" w:ascii="宋体" w:hAnsi="宋体" w:cs="宋体"/>
                <w:kern w:val="0"/>
                <w:szCs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kern w:val="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代理机构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kern w:val="0"/>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1</w:t>
            </w:r>
            <w:r>
              <w:rPr>
                <w:rFonts w:hint="eastAsia" w:ascii="宋体" w:hAnsi="宋体" w:cs="宋体"/>
                <w:szCs w:val="21"/>
                <w:lang w:val="en-US" w:eastAsia="zh-CN"/>
              </w:rPr>
              <w:t>2</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 xml:space="preserve"> 自合同签字生效后</w:t>
            </w:r>
            <w:r>
              <w:rPr>
                <w:rFonts w:hint="eastAsia" w:ascii="宋体" w:hAnsi="宋体" w:cs="宋体"/>
                <w:szCs w:val="21"/>
                <w:lang w:val="en-US" w:eastAsia="zh-CN"/>
              </w:rPr>
              <w:t>30</w:t>
            </w:r>
            <w:r>
              <w:rPr>
                <w:rFonts w:hint="eastAsia" w:ascii="宋体" w:hAnsi="宋体" w:cs="宋体"/>
                <w:szCs w:val="21"/>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1.满足《中华人民共和国政府采购法》第二十二条规定；</w:t>
            </w:r>
          </w:p>
          <w:p>
            <w:pPr>
              <w:spacing w:line="420" w:lineRule="exact"/>
              <w:rPr>
                <w:rFonts w:ascii="宋体" w:hAnsi="宋体" w:cs="宋体"/>
                <w:szCs w:val="21"/>
              </w:rPr>
            </w:pPr>
            <w:r>
              <w:rPr>
                <w:rFonts w:hint="eastAsia" w:ascii="宋体" w:hAnsi="宋体" w:cs="宋体"/>
                <w:szCs w:val="21"/>
              </w:rPr>
              <w:t>2.落实政府采购政策需满足的资格要求：/</w:t>
            </w:r>
          </w:p>
          <w:p>
            <w:pPr>
              <w:spacing w:line="420" w:lineRule="exact"/>
              <w:rPr>
                <w:rFonts w:ascii="宋体" w:hAnsi="宋体" w:cs="宋体"/>
                <w:szCs w:val="21"/>
              </w:rPr>
            </w:pPr>
            <w:r>
              <w:rPr>
                <w:rFonts w:hint="eastAsia" w:ascii="宋体" w:hAnsi="宋体" w:cs="宋体"/>
                <w:szCs w:val="21"/>
              </w:rPr>
              <w:t>3.本项目的特定资格要求：/</w:t>
            </w:r>
          </w:p>
          <w:p>
            <w:pPr>
              <w:spacing w:line="420" w:lineRule="exact"/>
              <w:rPr>
                <w:rFonts w:ascii="宋体" w:hAnsi="宋体" w:cs="宋体"/>
                <w:szCs w:val="21"/>
              </w:rPr>
            </w:pPr>
            <w:r>
              <w:rPr>
                <w:rFonts w:hint="eastAsia" w:ascii="宋体" w:hAnsi="宋体" w:cs="宋体"/>
                <w:szCs w:val="21"/>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szCs w:val="21"/>
              </w:rPr>
            </w:pPr>
            <w:r>
              <w:rPr>
                <w:rFonts w:hint="eastAsia" w:ascii="宋体" w:hAnsi="宋体" w:cs="宋体"/>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eastAsia="宋体" w:cs="宋体"/>
                <w:sz w:val="21"/>
                <w:szCs w:val="21"/>
              </w:rPr>
            </w:pPr>
            <w:r>
              <w:rPr>
                <w:rFonts w:hint="eastAsia" w:ascii="宋体" w:hAnsi="宋体" w:eastAsia="宋体" w:cs="宋体"/>
                <w:sz w:val="21"/>
                <w:szCs w:val="21"/>
              </w:rPr>
              <w:t>1、提交响应文件截止时间：2021年7月6日15点30分</w:t>
            </w:r>
          </w:p>
          <w:p>
            <w:pPr>
              <w:adjustRightInd w:val="0"/>
              <w:snapToGrid w:val="0"/>
              <w:spacing w:line="420" w:lineRule="exact"/>
              <w:rPr>
                <w:rFonts w:hAnsi="宋体"/>
                <w:szCs w:val="21"/>
              </w:rPr>
            </w:pPr>
            <w:r>
              <w:rPr>
                <w:rFonts w:hint="eastAsia" w:hAnsi="宋体"/>
                <w:szCs w:val="21"/>
              </w:rPr>
              <w:t>2、一</w:t>
            </w:r>
            <w:r>
              <w:rPr>
                <w:rFonts w:hAnsi="宋体"/>
                <w:szCs w:val="21"/>
              </w:rPr>
              <w:t>份正本，</w:t>
            </w:r>
            <w:r>
              <w:rPr>
                <w:rFonts w:hint="eastAsia" w:hAnsi="宋体"/>
                <w:szCs w:val="21"/>
              </w:rPr>
              <w:t>一</w:t>
            </w:r>
            <w:r>
              <w:rPr>
                <w:rFonts w:hAnsi="宋体"/>
                <w:szCs w:val="21"/>
              </w:rPr>
              <w:t>份副本</w:t>
            </w:r>
            <w:r>
              <w:rPr>
                <w:rFonts w:hint="eastAsia" w:hAnsi="宋体"/>
                <w:szCs w:val="21"/>
              </w:rPr>
              <w:t>，</w:t>
            </w:r>
            <w:r>
              <w:rPr>
                <w:rFonts w:hint="eastAsia" w:hAnsi="宋体"/>
              </w:rPr>
              <w:t>装在同一密封袋内，</w:t>
            </w:r>
            <w:r>
              <w:rPr>
                <w:rFonts w:hint="eastAsia" w:hAnsi="宋体" w:cs="宋体"/>
              </w:rPr>
              <w:t>密封提交。</w:t>
            </w:r>
          </w:p>
          <w:p>
            <w:pPr>
              <w:pStyle w:val="11"/>
              <w:spacing w:line="420" w:lineRule="exact"/>
              <w:rPr>
                <w:rFonts w:ascii="Times New Roman" w:hAnsi="Times New Roman"/>
              </w:rPr>
            </w:pPr>
            <w:r>
              <w:rPr>
                <w:rFonts w:hint="eastAsia" w:ascii="Times New Roman" w:hAnsi="Times New Roman"/>
              </w:rPr>
              <w:t>3、密封袋上应加盖响应人公章。</w:t>
            </w:r>
          </w:p>
          <w:p>
            <w:pPr>
              <w:pStyle w:val="8"/>
              <w:widowControl/>
              <w:spacing w:line="420" w:lineRule="exact"/>
              <w:jc w:val="both"/>
              <w:rPr>
                <w:rFonts w:ascii="宋体" w:hAnsi="宋体" w:eastAsia="宋体" w:cs="宋体"/>
                <w:sz w:val="21"/>
                <w:szCs w:val="21"/>
              </w:rPr>
            </w:pPr>
            <w:r>
              <w:rPr>
                <w:rFonts w:hint="eastAsia" w:ascii="Times New Roman" w:eastAsia="宋体"/>
                <w:sz w:val="21"/>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 2021年7月6日15点30分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20" w:lineRule="exact"/>
              <w:ind w:firstLine="525" w:firstLineChars="250"/>
              <w:rPr>
                <w:rFonts w:ascii="宋体" w:hAnsi="宋体" w:cs="宋体"/>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b/>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履约保证金金额：成交价的</w:t>
            </w:r>
            <w:r>
              <w:rPr>
                <w:rFonts w:hint="eastAsia" w:ascii="宋体" w:hAnsi="宋体" w:cs="宋体"/>
                <w:szCs w:val="21"/>
                <w:u w:val="single"/>
              </w:rPr>
              <w:t xml:space="preserve"> 5 </w:t>
            </w:r>
            <w:r>
              <w:rPr>
                <w:rFonts w:hint="eastAsia" w:ascii="宋体" w:hAnsi="宋体" w:cs="宋体"/>
                <w:szCs w:val="21"/>
              </w:rPr>
              <w:t>%</w:t>
            </w:r>
          </w:p>
          <w:p>
            <w:pPr>
              <w:spacing w:line="420" w:lineRule="exact"/>
              <w:rPr>
                <w:rFonts w:ascii="宋体" w:hAnsi="宋体" w:cs="宋体"/>
                <w:szCs w:val="21"/>
              </w:rPr>
            </w:pPr>
            <w:r>
              <w:rPr>
                <w:rFonts w:hint="eastAsia" w:ascii="宋体" w:hAnsi="宋体" w:cs="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szCs w:val="21"/>
              </w:rPr>
            </w:pPr>
            <w:r>
              <w:rPr>
                <w:rFonts w:hint="eastAsia" w:ascii="宋体" w:hAnsi="宋体" w:cs="宋体"/>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工程结束后支付合同价款的95%,剩余5%作为质保金一年后无质量问题不计息退还。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22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rPr>
            </w:pPr>
            <w:r>
              <w:rPr>
                <w:rFonts w:hint="eastAsia" w:ascii="宋体" w:hAnsi="宋体" w:cs="宋体"/>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1、本竞争性谈判文件的解释权归采购单位；</w:t>
            </w:r>
          </w:p>
          <w:p>
            <w:pPr>
              <w:spacing w:line="420" w:lineRule="exact"/>
              <w:rPr>
                <w:rFonts w:ascii="宋体" w:hAnsi="宋体" w:cs="宋体"/>
                <w:szCs w:val="21"/>
              </w:rPr>
            </w:pPr>
            <w:r>
              <w:rPr>
                <w:rFonts w:hint="eastAsia" w:ascii="宋体" w:hAnsi="宋体" w:cs="宋体"/>
                <w:b/>
                <w:szCs w:val="21"/>
              </w:rPr>
              <w:t>2、本项目若涉及到专业分包工程，如成交人没有相应资质，则必须委托有资质的单位实施。该专业分包单位的选定须事先征得采购人同意。</w:t>
            </w:r>
          </w:p>
        </w:tc>
      </w:tr>
    </w:tbl>
    <w:p>
      <w:pPr>
        <w:pStyle w:val="46"/>
        <w:rPr>
          <w:rFonts w:ascii="宋体" w:hAnsi="宋体"/>
        </w:rPr>
      </w:pPr>
      <w:bookmarkStart w:id="49" w:name="_Toc54939190"/>
      <w:bookmarkStart w:id="50" w:name="_Toc14999"/>
      <w:r>
        <w:rPr>
          <w:rFonts w:hint="eastAsia" w:ascii="宋体" w:hAnsi="宋体"/>
        </w:rPr>
        <w:t>第二节  谈判响应人须知</w:t>
      </w:r>
      <w:bookmarkEnd w:id="49"/>
      <w:bookmarkEnd w:id="50"/>
    </w:p>
    <w:p>
      <w:pPr>
        <w:pStyle w:val="6"/>
        <w:ind w:firstLine="472" w:firstLineChars="196"/>
        <w:jc w:val="both"/>
        <w:rPr>
          <w:rFonts w:hAnsi="宋体" w:cs="宋体"/>
        </w:rPr>
      </w:pPr>
      <w:bookmarkStart w:id="51" w:name="_Toc7034"/>
      <w:bookmarkStart w:id="52" w:name="_Toc54939191"/>
      <w:r>
        <w:rPr>
          <w:rFonts w:hint="eastAsia" w:hAnsi="宋体" w:cs="宋体"/>
        </w:rPr>
        <w:t>一、总则</w:t>
      </w:r>
      <w:bookmarkEnd w:id="51"/>
      <w:bookmarkEnd w:id="52"/>
    </w:p>
    <w:p>
      <w:pPr>
        <w:spacing w:line="360" w:lineRule="auto"/>
        <w:ind w:firstLine="422" w:firstLineChars="200"/>
        <w:rPr>
          <w:rFonts w:ascii="宋体" w:hAnsi="宋体" w:cs="宋体"/>
          <w:szCs w:val="21"/>
        </w:rPr>
      </w:pPr>
      <w:r>
        <w:rPr>
          <w:rFonts w:hint="eastAsia" w:ascii="宋体" w:hAnsi="宋体" w:cs="宋体"/>
          <w:b/>
          <w:szCs w:val="21"/>
        </w:rPr>
        <w:t>1、</w:t>
      </w:r>
      <w:r>
        <w:rPr>
          <w:rFonts w:hint="eastAsia" w:ascii="宋体" w:hAnsi="宋体" w:cs="宋体"/>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szCs w:val="21"/>
        </w:rPr>
      </w:pPr>
      <w:r>
        <w:rPr>
          <w:rFonts w:hint="eastAsia" w:ascii="宋体" w:hAnsi="宋体" w:cs="宋体"/>
          <w:b/>
          <w:szCs w:val="21"/>
        </w:rPr>
        <w:t>2、定义</w:t>
      </w:r>
    </w:p>
    <w:p>
      <w:pPr>
        <w:spacing w:line="360" w:lineRule="auto"/>
        <w:ind w:firstLine="420" w:firstLineChars="200"/>
        <w:rPr>
          <w:rFonts w:ascii="宋体" w:hAnsi="宋体" w:cs="宋体"/>
          <w:szCs w:val="21"/>
        </w:rPr>
      </w:pPr>
      <w:r>
        <w:rPr>
          <w:rFonts w:hint="eastAsia" w:ascii="宋体" w:hAnsi="宋体" w:cs="宋体"/>
          <w:szCs w:val="21"/>
        </w:rPr>
        <w:t>2.1、采购单位是指采购人和采购代理机构。</w:t>
      </w:r>
    </w:p>
    <w:p>
      <w:pPr>
        <w:spacing w:line="360" w:lineRule="auto"/>
        <w:ind w:firstLine="420" w:firstLineChars="200"/>
        <w:rPr>
          <w:rFonts w:ascii="宋体" w:hAnsi="宋体" w:cs="宋体"/>
          <w:szCs w:val="21"/>
        </w:rPr>
      </w:pPr>
      <w:r>
        <w:rPr>
          <w:rFonts w:hint="eastAsia" w:ascii="宋体" w:hAnsi="宋体" w:cs="宋体"/>
          <w:szCs w:val="21"/>
        </w:rPr>
        <w:t>2.2、谈判响应人是指对“谈判响应人须知前附表”序号2所指的项目表现出兴趣，按照</w:t>
      </w:r>
      <w:r>
        <w:rPr>
          <w:rFonts w:hint="eastAsia" w:ascii="宋体" w:hAnsi="宋体" w:cs="宋体"/>
        </w:rPr>
        <w:t>约定</w:t>
      </w:r>
      <w:r>
        <w:rPr>
          <w:rFonts w:hint="eastAsia" w:ascii="宋体" w:hAnsi="宋体" w:cs="宋体"/>
          <w:szCs w:val="21"/>
        </w:rPr>
        <w:t>的程序，从采购单位获取了竞争性谈判文件，并实际参与了该项目谈判活动的供应商。</w:t>
      </w:r>
    </w:p>
    <w:p>
      <w:pPr>
        <w:spacing w:line="360" w:lineRule="auto"/>
        <w:ind w:firstLine="422" w:firstLineChars="200"/>
        <w:rPr>
          <w:rFonts w:ascii="宋体" w:hAnsi="宋体" w:cs="宋体"/>
          <w:b/>
          <w:szCs w:val="21"/>
        </w:rPr>
      </w:pPr>
      <w:r>
        <w:rPr>
          <w:rFonts w:hint="eastAsia" w:ascii="宋体" w:hAnsi="宋体" w:cs="宋体"/>
          <w:b/>
          <w:szCs w:val="21"/>
        </w:rPr>
        <w:t>3、谈判响应人资格要求</w:t>
      </w:r>
    </w:p>
    <w:p>
      <w:pPr>
        <w:spacing w:line="360" w:lineRule="auto"/>
        <w:ind w:firstLine="420" w:firstLineChars="200"/>
        <w:rPr>
          <w:rFonts w:ascii="宋体" w:hAnsi="宋体" w:cs="宋体"/>
          <w:szCs w:val="21"/>
        </w:rPr>
      </w:pPr>
      <w:r>
        <w:rPr>
          <w:rFonts w:hint="eastAsia" w:ascii="宋体" w:hAnsi="宋体" w:cs="宋体"/>
          <w:szCs w:val="21"/>
        </w:rPr>
        <w:t>3.1、参与本项目的谈判响应人必须满足的要求：详见谈判响应人须知前附表。</w:t>
      </w:r>
    </w:p>
    <w:p>
      <w:pPr>
        <w:spacing w:line="500" w:lineRule="exact"/>
        <w:ind w:firstLine="420" w:firstLineChars="200"/>
        <w:rPr>
          <w:rFonts w:ascii="宋体" w:hAnsi="宋体" w:cs="宋体"/>
          <w:szCs w:val="21"/>
        </w:rPr>
      </w:pPr>
      <w:r>
        <w:rPr>
          <w:rFonts w:hint="eastAsia" w:ascii="宋体" w:hAnsi="宋体" w:cs="宋体"/>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rPr>
        <w:t>单位负责人为同一人或者存在直接控股、管理关系的不同供应商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rPr>
        <w:t>除单一来源采购项目外，为采购项目提供整体设计、规范编制或者项目管理、监理、检测等服务的供应商</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szCs w:val="21"/>
        </w:rPr>
        <w:t>谈判</w:t>
      </w:r>
      <w:r>
        <w:rPr>
          <w:rFonts w:hint="eastAsia" w:ascii="Arial" w:hAnsi="Arial" w:cs="Arial"/>
        </w:rPr>
        <w:t>，须取得总公司的相关授权（</w:t>
      </w:r>
      <w:r>
        <w:rPr>
          <w:rFonts w:hint="eastAsia" w:ascii="宋体" w:hAnsi="宋体" w:cs="宋体"/>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4</w:t>
      </w:r>
      <w:r>
        <w:rPr>
          <w:rFonts w:hint="eastAsia" w:ascii="宋体" w:hAnsi="宋体" w:cs="宋体"/>
          <w:szCs w:val="21"/>
        </w:rPr>
        <w:t>、谈判响应人必须确保自己信息真实、准确，否则，谈判响应人因此蒙受损失，采购单位概不负责。</w:t>
      </w:r>
    </w:p>
    <w:p>
      <w:pPr>
        <w:spacing w:line="360" w:lineRule="auto"/>
        <w:ind w:firstLine="422" w:firstLineChars="200"/>
        <w:rPr>
          <w:rFonts w:ascii="宋体" w:hAnsi="宋体" w:cs="宋体"/>
          <w:szCs w:val="21"/>
        </w:rPr>
      </w:pPr>
      <w:r>
        <w:rPr>
          <w:rFonts w:hint="eastAsia" w:ascii="宋体" w:hAnsi="宋体" w:cs="宋体"/>
          <w:b/>
        </w:rPr>
        <w:t>4、踏勘现场：</w:t>
      </w:r>
      <w:r>
        <w:rPr>
          <w:rFonts w:hint="eastAsia" w:ascii="宋体" w:hAnsi="宋体" w:cs="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szCs w:val="21"/>
        </w:rPr>
      </w:pPr>
      <w:r>
        <w:rPr>
          <w:rFonts w:hint="eastAsia" w:ascii="宋体" w:hAnsi="宋体" w:cs="宋体"/>
          <w:b/>
          <w:szCs w:val="21"/>
        </w:rPr>
        <w:t>5、联合体响应</w:t>
      </w:r>
    </w:p>
    <w:p>
      <w:pPr>
        <w:spacing w:line="360" w:lineRule="auto"/>
        <w:rPr>
          <w:rFonts w:ascii="宋体" w:hAnsi="宋体" w:cs="宋体"/>
          <w:szCs w:val="21"/>
        </w:rPr>
      </w:pPr>
      <w:r>
        <w:rPr>
          <w:rFonts w:hint="eastAsia" w:ascii="宋体" w:hAnsi="宋体" w:cs="宋体"/>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szCs w:val="21"/>
        </w:rPr>
      </w:pPr>
      <w:r>
        <w:rPr>
          <w:rFonts w:hint="eastAsia" w:ascii="宋体" w:hAnsi="宋体" w:cs="宋体"/>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szCs w:val="21"/>
        </w:rPr>
      </w:pPr>
      <w:r>
        <w:rPr>
          <w:rFonts w:hint="eastAsia" w:ascii="宋体" w:hAnsi="宋体" w:cs="宋体"/>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szCs w:val="21"/>
        </w:rPr>
      </w:pPr>
      <w:r>
        <w:rPr>
          <w:rFonts w:hint="eastAsia" w:ascii="宋体" w:hAnsi="宋体" w:cs="宋体"/>
          <w:b/>
        </w:rPr>
        <w:t>6、谈判响应费用：</w:t>
      </w:r>
      <w:r>
        <w:rPr>
          <w:rFonts w:hint="eastAsia" w:ascii="宋体" w:hAnsi="宋体" w:cs="宋体"/>
          <w:b/>
          <w:szCs w:val="21"/>
        </w:rPr>
        <w:t>谈判响应人必须自行承担参加谈判响应的所有费用。</w:t>
      </w:r>
      <w:r>
        <w:rPr>
          <w:rFonts w:hint="eastAsia" w:ascii="宋体" w:hAnsi="宋体" w:cs="宋体"/>
          <w:szCs w:val="21"/>
        </w:rPr>
        <w:t>不论成交与否，采购单位在任何情况下均无义务和责任承担这些费用。</w:t>
      </w:r>
    </w:p>
    <w:p>
      <w:pPr>
        <w:pStyle w:val="6"/>
        <w:ind w:firstLine="472" w:firstLineChars="196"/>
        <w:rPr>
          <w:rFonts w:hAnsi="宋体" w:cs="宋体"/>
        </w:rPr>
      </w:pPr>
      <w:bookmarkStart w:id="53" w:name="_Toc54939192"/>
      <w:bookmarkStart w:id="54" w:name="_Toc8536"/>
      <w:r>
        <w:rPr>
          <w:rFonts w:hint="eastAsia" w:hAnsi="宋体" w:cs="宋体"/>
        </w:rPr>
        <w:t>二、竞争性谈判文件</w:t>
      </w:r>
      <w:bookmarkEnd w:id="53"/>
      <w:bookmarkEnd w:id="54"/>
    </w:p>
    <w:p>
      <w:pPr>
        <w:spacing w:line="360" w:lineRule="auto"/>
        <w:ind w:firstLine="422" w:firstLineChars="200"/>
        <w:rPr>
          <w:rFonts w:ascii="宋体" w:hAnsi="宋体" w:cs="宋体"/>
          <w:b/>
          <w:szCs w:val="21"/>
        </w:rPr>
      </w:pPr>
      <w:r>
        <w:rPr>
          <w:rFonts w:hint="eastAsia" w:ascii="宋体" w:hAnsi="宋体" w:cs="宋体"/>
          <w:b/>
          <w:szCs w:val="21"/>
        </w:rPr>
        <w:t>7、竞争性谈判文件的构成</w:t>
      </w:r>
    </w:p>
    <w:p>
      <w:pPr>
        <w:spacing w:line="360" w:lineRule="auto"/>
        <w:ind w:firstLine="420" w:firstLineChars="200"/>
        <w:rPr>
          <w:rFonts w:ascii="宋体" w:hAnsi="宋体" w:cs="宋体"/>
          <w:szCs w:val="21"/>
        </w:rPr>
      </w:pPr>
      <w:r>
        <w:rPr>
          <w:rFonts w:hint="eastAsia" w:ascii="宋体" w:hAnsi="宋体" w:cs="宋体"/>
          <w:szCs w:val="21"/>
        </w:rPr>
        <w:t>7.1、竞争性谈判文件包括：</w:t>
      </w:r>
    </w:p>
    <w:p>
      <w:pPr>
        <w:spacing w:line="360" w:lineRule="auto"/>
        <w:ind w:firstLine="420" w:firstLineChars="200"/>
        <w:rPr>
          <w:rFonts w:ascii="宋体" w:hAnsi="宋体" w:cs="宋体"/>
          <w:szCs w:val="21"/>
        </w:rPr>
      </w:pPr>
      <w:r>
        <w:rPr>
          <w:rFonts w:hint="eastAsia" w:ascii="宋体" w:hAnsi="宋体" w:cs="宋体"/>
          <w:szCs w:val="21"/>
        </w:rPr>
        <w:t>（1）第一章  竞争性谈判公告；</w:t>
      </w:r>
    </w:p>
    <w:p>
      <w:pPr>
        <w:spacing w:line="360" w:lineRule="auto"/>
        <w:ind w:firstLine="420" w:firstLineChars="200"/>
        <w:rPr>
          <w:rFonts w:ascii="宋体" w:hAnsi="宋体" w:cs="宋体"/>
          <w:szCs w:val="21"/>
        </w:rPr>
      </w:pPr>
      <w:r>
        <w:rPr>
          <w:rFonts w:hint="eastAsia" w:ascii="宋体" w:hAnsi="宋体" w:cs="宋体"/>
          <w:szCs w:val="21"/>
        </w:rPr>
        <w:t>（2）第二章  谈判响应人须知；</w:t>
      </w:r>
    </w:p>
    <w:p>
      <w:pPr>
        <w:spacing w:line="360" w:lineRule="auto"/>
        <w:ind w:firstLine="420" w:firstLineChars="200"/>
        <w:rPr>
          <w:rFonts w:ascii="宋体" w:hAnsi="宋体" w:cs="宋体"/>
          <w:szCs w:val="21"/>
        </w:rPr>
      </w:pPr>
      <w:r>
        <w:rPr>
          <w:rFonts w:hint="eastAsia" w:ascii="宋体" w:hAnsi="宋体" w:cs="宋体"/>
          <w:szCs w:val="21"/>
        </w:rPr>
        <w:t xml:space="preserve">（3）第三章  </w:t>
      </w:r>
      <w:r>
        <w:rPr>
          <w:rFonts w:hint="eastAsia" w:ascii="宋体" w:hAnsi="宋体" w:cs="宋体"/>
          <w:color w:val="000000"/>
          <w:szCs w:val="21"/>
        </w:rPr>
        <w:t>货物需求及技术要求</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（4）第四章  合同主要条款；</w:t>
      </w:r>
    </w:p>
    <w:p>
      <w:pPr>
        <w:spacing w:line="360" w:lineRule="auto"/>
        <w:ind w:firstLine="420" w:firstLineChars="200"/>
        <w:rPr>
          <w:rFonts w:ascii="宋体" w:hAnsi="宋体" w:cs="宋体"/>
          <w:szCs w:val="21"/>
        </w:rPr>
      </w:pPr>
      <w:r>
        <w:rPr>
          <w:rFonts w:hint="eastAsia" w:ascii="宋体" w:hAnsi="宋体" w:cs="宋体"/>
          <w:szCs w:val="21"/>
        </w:rPr>
        <w:t>（5）第五章  谈判响应文件格式。</w:t>
      </w:r>
    </w:p>
    <w:p>
      <w:pPr>
        <w:spacing w:line="360" w:lineRule="auto"/>
        <w:rPr>
          <w:rFonts w:ascii="宋体" w:hAnsi="宋体" w:cs="宋体"/>
          <w:szCs w:val="21"/>
        </w:rPr>
      </w:pPr>
      <w:r>
        <w:rPr>
          <w:rFonts w:hint="eastAsia" w:ascii="宋体" w:hAnsi="宋体" w:cs="宋体"/>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504476178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szCs w:val="21"/>
        </w:rPr>
      </w:pPr>
      <w:r>
        <w:rPr>
          <w:rFonts w:hint="eastAsia" w:ascii="宋体" w:hAnsi="宋体" w:cs="宋体"/>
          <w:b/>
          <w:szCs w:val="21"/>
        </w:rPr>
        <w:t>8、竞争性谈判文件的澄清</w:t>
      </w:r>
    </w:p>
    <w:p>
      <w:pPr>
        <w:spacing w:line="360" w:lineRule="auto"/>
        <w:rPr>
          <w:rFonts w:ascii="宋体" w:hAnsi="宋体" w:cs="宋体"/>
          <w:szCs w:val="21"/>
        </w:rPr>
      </w:pP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8.2、谈判响应人对竞争性谈判文件如有质疑，应在提交响应文件截止时间2个工作日前向采购单位提出并将问题发送至邮箱504476178@qq.com。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时间收到的、且需要做出澄清的问题，将以本须知所述方式进行答复，但不说明问题的来源。</w:t>
      </w:r>
    </w:p>
    <w:p>
      <w:pPr>
        <w:spacing w:line="360" w:lineRule="auto"/>
        <w:ind w:firstLine="422" w:firstLineChars="200"/>
        <w:rPr>
          <w:rFonts w:ascii="宋体" w:hAnsi="宋体" w:cs="宋体"/>
          <w:b/>
          <w:szCs w:val="21"/>
        </w:rPr>
      </w:pPr>
      <w:r>
        <w:rPr>
          <w:rFonts w:hint="eastAsia" w:ascii="宋体" w:hAnsi="宋体" w:cs="宋体"/>
          <w:b/>
          <w:szCs w:val="21"/>
        </w:rPr>
        <w:t>9、竞争性谈判文件的修改</w:t>
      </w:r>
    </w:p>
    <w:p>
      <w:pPr>
        <w:spacing w:line="360" w:lineRule="auto"/>
        <w:rPr>
          <w:rFonts w:ascii="宋体" w:hAnsi="宋体" w:cs="宋体"/>
          <w:szCs w:val="21"/>
        </w:rPr>
      </w:pPr>
      <w:r>
        <w:rPr>
          <w:rFonts w:hint="eastAsia" w:ascii="宋体" w:hAnsi="宋体" w:cs="宋体"/>
          <w:szCs w:val="21"/>
        </w:rPr>
        <w:t xml:space="preserve">    9.1、采购单位可以对竞争性谈判文件进行修改。</w:t>
      </w:r>
    </w:p>
    <w:p>
      <w:pPr>
        <w:spacing w:line="360" w:lineRule="auto"/>
        <w:ind w:firstLine="422" w:firstLineChars="200"/>
        <w:rPr>
          <w:rFonts w:ascii="宋体" w:hAnsi="宋体" w:cs="宋体"/>
          <w:b/>
          <w:bCs/>
          <w:szCs w:val="21"/>
        </w:rPr>
      </w:pPr>
      <w:r>
        <w:rPr>
          <w:rFonts w:hint="eastAsia" w:ascii="宋体" w:hAnsi="宋体" w:cs="宋体"/>
          <w:b/>
          <w:bCs/>
          <w:szCs w:val="21"/>
        </w:rPr>
        <w:t>9.2、采购单位对谈判响应人质疑的答复和对竞争性谈判文件的澄清、修改、补充说明等内容均通过安庆职业技术学院（https://www.aqvtc.edu.cn/）招标采购栏目发布，该修改内容作为竞争性谈判文件的组成部分，具有约束作用。</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rPr>
          <w:rFonts w:ascii="宋体" w:hAnsi="宋体" w:cs="宋体"/>
          <w:szCs w:val="21"/>
        </w:rPr>
      </w:pPr>
      <w:r>
        <w:rPr>
          <w:rFonts w:hint="eastAsia" w:ascii="宋体" w:hAnsi="宋体" w:cs="宋体"/>
          <w:szCs w:val="21"/>
        </w:rPr>
        <w:t xml:space="preserve">    9.4、为使谈判响应人有充分时间对竞争性谈判文件的澄清、修改、补充部分进行研究，或是由于其他原因，采购单位可以决定顺延提交响应文件截止时间，具体时间通过安庆职业技术学院网站发布。</w:t>
      </w:r>
    </w:p>
    <w:p>
      <w:pPr>
        <w:pStyle w:val="6"/>
        <w:ind w:firstLine="482" w:firstLineChars="200"/>
        <w:rPr>
          <w:rFonts w:hAnsi="宋体" w:cs="宋体"/>
        </w:rPr>
      </w:pPr>
      <w:bookmarkStart w:id="55" w:name="_Toc9821"/>
      <w:bookmarkStart w:id="56" w:name="_Toc54939193"/>
      <w:r>
        <w:rPr>
          <w:rFonts w:hint="eastAsia" w:hAnsi="宋体" w:cs="宋体"/>
        </w:rPr>
        <w:t>三、谈判响应文件的编制</w:t>
      </w:r>
      <w:bookmarkEnd w:id="55"/>
      <w:bookmarkEnd w:id="56"/>
    </w:p>
    <w:p>
      <w:pPr>
        <w:spacing w:line="360" w:lineRule="auto"/>
        <w:rPr>
          <w:rFonts w:ascii="宋体" w:hAnsi="宋体" w:cs="宋体"/>
          <w:b/>
          <w:szCs w:val="21"/>
        </w:rPr>
      </w:pPr>
      <w:r>
        <w:rPr>
          <w:rFonts w:hint="eastAsia" w:ascii="宋体" w:hAnsi="宋体" w:cs="宋体"/>
          <w:b/>
          <w:szCs w:val="21"/>
        </w:rPr>
        <w:t xml:space="preserve">    10、谈判响应的语言及度量衡单位</w:t>
      </w:r>
    </w:p>
    <w:p>
      <w:pPr>
        <w:spacing w:line="360" w:lineRule="auto"/>
        <w:rPr>
          <w:rFonts w:ascii="宋体" w:hAnsi="宋体" w:cs="宋体"/>
          <w:szCs w:val="21"/>
        </w:rPr>
      </w:pPr>
      <w:r>
        <w:rPr>
          <w:rFonts w:hint="eastAsia" w:ascii="宋体" w:hAnsi="宋体" w:cs="宋体"/>
          <w:szCs w:val="21"/>
        </w:rPr>
        <w:t xml:space="preserve">    10.1、谈判响应人的谈判响应文件、谈判响应人与采购单位就谈判响应的所有往来函电，均须使用简体中文。</w:t>
      </w:r>
    </w:p>
    <w:p>
      <w:pPr>
        <w:spacing w:line="360" w:lineRule="auto"/>
        <w:rPr>
          <w:rFonts w:ascii="宋体" w:hAnsi="宋体" w:cs="宋体"/>
          <w:szCs w:val="21"/>
        </w:rPr>
      </w:pPr>
      <w:r>
        <w:rPr>
          <w:rFonts w:hint="eastAsia" w:ascii="宋体" w:hAnsi="宋体" w:cs="宋体"/>
          <w:szCs w:val="21"/>
        </w:rPr>
        <w:t xml:space="preserve">    10.2、除竞争性谈判文件中另有</w:t>
      </w:r>
      <w:r>
        <w:rPr>
          <w:rFonts w:hint="eastAsia" w:ascii="宋体" w:hAnsi="宋体" w:cs="宋体"/>
        </w:rPr>
        <w:t>约定</w:t>
      </w:r>
      <w:r>
        <w:rPr>
          <w:rFonts w:hint="eastAsia" w:ascii="宋体" w:hAnsi="宋体" w:cs="宋体"/>
          <w:szCs w:val="21"/>
        </w:rPr>
        <w:t>外，谈判响应文件所使用的度量衡均须采用中华人民共和国法定计量单位。</w:t>
      </w:r>
    </w:p>
    <w:p>
      <w:pPr>
        <w:spacing w:line="360" w:lineRule="auto"/>
        <w:ind w:firstLine="422" w:firstLineChars="200"/>
        <w:rPr>
          <w:rFonts w:ascii="宋体" w:hAnsi="宋体" w:cs="宋体"/>
          <w:b/>
          <w:szCs w:val="21"/>
        </w:rPr>
      </w:pPr>
      <w:r>
        <w:rPr>
          <w:rFonts w:hint="eastAsia" w:ascii="宋体" w:hAnsi="宋体" w:cs="宋体"/>
          <w:b/>
          <w:szCs w:val="21"/>
        </w:rPr>
        <w:t>11、谈判响应文件的构成</w:t>
      </w:r>
    </w:p>
    <w:p>
      <w:pPr>
        <w:spacing w:line="360" w:lineRule="auto"/>
        <w:ind w:firstLine="420" w:firstLineChars="200"/>
        <w:rPr>
          <w:rFonts w:ascii="宋体" w:hAnsi="宋体" w:cs="宋体"/>
          <w:szCs w:val="21"/>
        </w:rPr>
      </w:pPr>
      <w:r>
        <w:rPr>
          <w:rFonts w:hint="eastAsia" w:ascii="宋体" w:hAnsi="宋体" w:cs="宋体"/>
          <w:szCs w:val="21"/>
        </w:rPr>
        <w:t>11.1、谈判响应文件应该按照“谈判响应文件格式”</w:t>
      </w:r>
      <w:r>
        <w:rPr>
          <w:rFonts w:hint="eastAsia" w:ascii="宋体" w:hAnsi="宋体" w:cs="宋体"/>
        </w:rPr>
        <w:t>约定</w:t>
      </w:r>
      <w:r>
        <w:rPr>
          <w:rFonts w:hint="eastAsia" w:ascii="宋体" w:hAnsi="宋体" w:cs="宋体"/>
          <w:szCs w:val="21"/>
        </w:rPr>
        <w:t>的内容和顺序进行编写。</w:t>
      </w:r>
    </w:p>
    <w:p>
      <w:pPr>
        <w:spacing w:line="360" w:lineRule="auto"/>
        <w:ind w:firstLine="420" w:firstLineChars="200"/>
        <w:rPr>
          <w:rFonts w:ascii="宋体" w:hAnsi="宋体" w:cs="宋体"/>
          <w:szCs w:val="21"/>
        </w:rPr>
      </w:pPr>
      <w:r>
        <w:rPr>
          <w:rFonts w:hint="eastAsia" w:ascii="宋体" w:hAnsi="宋体" w:cs="宋体"/>
          <w:szCs w:val="21"/>
        </w:rPr>
        <w:t>11.2、谈判响应人应提交“谈判响应人须知前附表”中</w:t>
      </w:r>
      <w:r>
        <w:rPr>
          <w:rFonts w:hint="eastAsia" w:ascii="宋体" w:hAnsi="宋体" w:cs="宋体"/>
        </w:rPr>
        <w:t>约定</w:t>
      </w:r>
      <w:r>
        <w:rPr>
          <w:rFonts w:hint="eastAsia" w:ascii="宋体" w:hAnsi="宋体" w:cs="宋体"/>
          <w:szCs w:val="21"/>
        </w:rPr>
        <w:t>的谈判响应文件。</w:t>
      </w:r>
    </w:p>
    <w:p>
      <w:pPr>
        <w:spacing w:line="360" w:lineRule="auto"/>
        <w:ind w:firstLine="420" w:firstLineChars="200"/>
        <w:rPr>
          <w:rFonts w:ascii="宋体" w:hAnsi="宋体" w:cs="宋体"/>
          <w:szCs w:val="21"/>
        </w:rPr>
      </w:pPr>
      <w:r>
        <w:rPr>
          <w:rFonts w:hint="eastAsia" w:ascii="宋体" w:hAnsi="宋体" w:cs="宋体"/>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szCs w:val="21"/>
        </w:rPr>
      </w:pPr>
      <w:r>
        <w:rPr>
          <w:rFonts w:hint="eastAsia" w:ascii="宋体" w:hAnsi="宋体" w:cs="宋体"/>
          <w:szCs w:val="21"/>
        </w:rPr>
        <w:t>11.4、谈判响应人提供的产品质量和服务均能满足竞争性谈判文件</w:t>
      </w:r>
      <w:r>
        <w:rPr>
          <w:rFonts w:hint="eastAsia" w:ascii="宋体" w:hAnsi="宋体" w:cs="宋体"/>
        </w:rPr>
        <w:t>约定</w:t>
      </w:r>
      <w:r>
        <w:rPr>
          <w:rFonts w:hint="eastAsia" w:ascii="宋体" w:hAnsi="宋体" w:cs="宋体"/>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szCs w:val="21"/>
        </w:rPr>
      </w:pPr>
      <w:r>
        <w:rPr>
          <w:rFonts w:hint="eastAsia" w:ascii="宋体" w:hAnsi="宋体" w:cs="宋体"/>
          <w:b/>
          <w:szCs w:val="21"/>
        </w:rPr>
        <w:t>12、谈判响应报价</w:t>
      </w:r>
    </w:p>
    <w:p>
      <w:pPr>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color w:val="000000"/>
          <w:szCs w:val="21"/>
        </w:rPr>
        <w:t>谈判响应文件的货物报价表(首轮）上应清楚地标明谈判响应人拟提供货物的名称、生产厂家</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、品牌</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r>
        <w:rPr>
          <w:rFonts w:hint="eastAsia" w:ascii="宋体" w:hAnsi="宋体" w:cs="宋体"/>
          <w:color w:val="000000"/>
          <w:szCs w:val="21"/>
        </w:rPr>
        <w:t>、单位、数量、单价和总价等内容。单价不作为合同结算依据</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szCs w:val="21"/>
        </w:rPr>
      </w:pPr>
      <w:r>
        <w:rPr>
          <w:rFonts w:hint="eastAsia" w:ascii="宋体" w:hAnsi="宋体" w:cs="宋体"/>
          <w:szCs w:val="21"/>
        </w:rPr>
        <w:t>12.3、</w:t>
      </w:r>
      <w:r>
        <w:rPr>
          <w:rFonts w:hint="eastAsia" w:ascii="宋体" w:hAnsi="宋体" w:cs="宋体"/>
          <w:color w:val="000000"/>
          <w:szCs w:val="21"/>
        </w:rPr>
        <w:t>谈判响应人的报价应包含满足本次采购需求的所有费用（包括但不限于：所投货物、装修、保险、税费、包装、加工及加工损耗、运输、现场落地、安装及安装损耗、调试、检测验收和交付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.5</w:t>
      </w:r>
      <w:r>
        <w:rPr>
          <w:rFonts w:ascii="宋体" w:hAnsi="宋体" w:cs="宋体"/>
          <w:szCs w:val="21"/>
        </w:rPr>
        <w:t>.1</w:t>
      </w:r>
      <w:r>
        <w:rPr>
          <w:rFonts w:hint="eastAsia" w:ascii="宋体" w:hAnsi="宋体" w:cs="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5.2</w:t>
      </w:r>
      <w:r>
        <w:rPr>
          <w:rFonts w:hint="eastAsia" w:ascii="宋体" w:hAnsi="宋体" w:cs="宋体"/>
          <w:szCs w:val="21"/>
        </w:rPr>
        <w:t>、若大写金额和小写金额不一致的，以大写金额为准;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w:t>
      </w:r>
      <w:r>
        <w:rPr>
          <w:rFonts w:ascii="宋体" w:hAnsi="宋体" w:cs="宋体"/>
          <w:szCs w:val="21"/>
        </w:rPr>
        <w:t>5.3</w:t>
      </w:r>
      <w:r>
        <w:rPr>
          <w:rFonts w:hint="eastAsia" w:ascii="宋体" w:hAnsi="宋体" w:cs="宋体"/>
          <w:szCs w:val="21"/>
        </w:rPr>
        <w:t>、单价金额小数点或者百分比有明显错位的，应以谈判响应函(谈判响应报价)为准，并修正单价。</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谈判响应货币：</w:t>
      </w:r>
      <w:r>
        <w:rPr>
          <w:rFonts w:hint="eastAsia" w:ascii="宋体" w:hAnsi="宋体" w:cs="宋体"/>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szCs w:val="21"/>
        </w:rPr>
      </w:pPr>
      <w:r>
        <w:rPr>
          <w:rFonts w:hint="eastAsia" w:ascii="宋体" w:hAnsi="宋体"/>
          <w:szCs w:val="21"/>
        </w:rPr>
        <w:t>（6）不同谈判响应人的谈判保证金从同一单位或者个人的账户转出。</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szCs w:val="21"/>
        </w:rPr>
      </w:pPr>
      <w:r>
        <w:rPr>
          <w:rFonts w:hint="eastAsia" w:ascii="宋体" w:hAnsi="宋体" w:cs="宋体"/>
          <w:b/>
          <w:szCs w:val="21"/>
        </w:rPr>
        <w:t>15、谈判响应有效期</w:t>
      </w:r>
    </w:p>
    <w:p>
      <w:pPr>
        <w:widowControl/>
        <w:spacing w:line="500" w:lineRule="exact"/>
        <w:ind w:firstLine="420" w:firstLineChars="200"/>
        <w:jc w:val="left"/>
        <w:rPr>
          <w:rFonts w:ascii="宋体" w:hAnsi="宋体" w:cs="宋体"/>
          <w:szCs w:val="21"/>
        </w:rPr>
      </w:pPr>
      <w:r>
        <w:rPr>
          <w:rFonts w:hint="eastAsia" w:ascii="宋体" w:hAnsi="宋体" w:cs="宋体"/>
          <w:szCs w:val="21"/>
        </w:rPr>
        <w:t>15.1、谈判响应有效期见“谈判响应人须知前附表”的约定。</w:t>
      </w:r>
    </w:p>
    <w:p>
      <w:pPr>
        <w:widowControl/>
        <w:spacing w:line="500" w:lineRule="exact"/>
        <w:ind w:firstLine="420" w:firstLineChars="200"/>
        <w:jc w:val="left"/>
        <w:rPr>
          <w:rFonts w:ascii="宋体" w:hAnsi="宋体" w:cs="宋体"/>
          <w:szCs w:val="21"/>
        </w:rPr>
      </w:pPr>
      <w:r>
        <w:rPr>
          <w:rFonts w:hint="eastAsia" w:ascii="宋体" w:hAnsi="宋体" w:cs="宋体"/>
          <w:szCs w:val="21"/>
        </w:rPr>
        <w:t>15.2、在谈判响应有效期内，谈判响应人不得要求撤销或修改其谈判响应文件。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表、声明均应加盖谈判响应人公章并经法定代表人或委托代理人签字或加盖印章。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技术参数响应表、声明的签字或盖章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2"/>
        </w:numPr>
        <w:ind w:firstLine="472" w:firstLineChars="196"/>
        <w:rPr>
          <w:rFonts w:hAnsi="宋体" w:cs="宋体"/>
        </w:rPr>
      </w:pPr>
      <w:bookmarkStart w:id="57" w:name="_Toc25319"/>
      <w:bookmarkStart w:id="58" w:name="_Toc54939194"/>
      <w:r>
        <w:rPr>
          <w:rFonts w:hint="eastAsia" w:hAnsi="宋体" w:cs="宋体"/>
        </w:rPr>
        <w:t>谈判响应文件的提交</w:t>
      </w:r>
      <w:bookmarkEnd w:id="57"/>
      <w:bookmarkEnd w:id="58"/>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17.3密封袋上应写明：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szCs w:val="21"/>
        </w:rPr>
      </w:pPr>
      <w:r>
        <w:rPr>
          <w:rFonts w:hint="eastAsia" w:ascii="宋体" w:hAnsi="宋体" w:cs="宋体"/>
          <w:b/>
          <w:szCs w:val="21"/>
        </w:rPr>
        <w:t>19、谈判响应文件的修改与撤回</w:t>
      </w:r>
    </w:p>
    <w:p>
      <w:pPr>
        <w:widowControl/>
        <w:spacing w:line="500" w:lineRule="exact"/>
        <w:ind w:firstLine="420" w:firstLineChars="200"/>
        <w:jc w:val="left"/>
        <w:rPr>
          <w:rFonts w:ascii="宋体" w:hAnsi="宋体" w:cs="宋体"/>
          <w:szCs w:val="21"/>
        </w:rPr>
      </w:pPr>
      <w:bookmarkStart w:id="59" w:name="_Toc23598"/>
      <w:bookmarkStart w:id="60" w:name="_Toc54939195"/>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rPr>
      </w:pPr>
      <w:r>
        <w:rPr>
          <w:rFonts w:hint="eastAsia" w:hAnsi="宋体" w:cs="宋体"/>
        </w:rPr>
        <w:t>五、</w:t>
      </w:r>
      <w:bookmarkEnd w:id="59"/>
      <w:r>
        <w:rPr>
          <w:rFonts w:hint="eastAsia" w:hAnsi="宋体" w:cs="宋体"/>
        </w:rPr>
        <w:t>谈判程序</w:t>
      </w:r>
      <w:bookmarkEnd w:id="60"/>
    </w:p>
    <w:p>
      <w:pPr>
        <w:widowControl/>
        <w:spacing w:line="500" w:lineRule="exact"/>
        <w:ind w:firstLine="422" w:firstLineChars="200"/>
        <w:jc w:val="left"/>
        <w:rPr>
          <w:rFonts w:ascii="宋体" w:hAnsi="宋体" w:cs="宋体"/>
          <w:szCs w:val="21"/>
        </w:rPr>
      </w:pPr>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21.1.3、由采购人代表查验谈判响应人相关证件资料并宣布查验结果；</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21.1.4、由各谈判响应人互相检查谈判响应文件的密封情况，并确认谈判响应人是否存在异议； </w:t>
      </w:r>
    </w:p>
    <w:p>
      <w:pPr>
        <w:widowControl/>
        <w:spacing w:line="500" w:lineRule="exact"/>
        <w:ind w:firstLine="420" w:firstLineChars="200"/>
        <w:jc w:val="left"/>
        <w:rPr>
          <w:rFonts w:ascii="宋体" w:hAnsi="宋体" w:cs="宋体"/>
          <w:szCs w:val="21"/>
        </w:rPr>
      </w:pPr>
      <w:r>
        <w:rPr>
          <w:rFonts w:hint="eastAsia" w:ascii="宋体" w:hAnsi="宋体" w:cs="宋体"/>
          <w:szCs w:val="21"/>
        </w:rPr>
        <w:t>21.1.5现场开启响应文件；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21.1.6依次当众唱标，公布谈判响应人名称、谈判响应首轮报价及谈判响应函其他内容，并记录在案；　</w:t>
      </w:r>
    </w:p>
    <w:p>
      <w:pPr>
        <w:widowControl/>
        <w:spacing w:line="500" w:lineRule="exact"/>
        <w:ind w:firstLine="420" w:firstLineChars="200"/>
        <w:jc w:val="left"/>
        <w:rPr>
          <w:rFonts w:ascii="宋体" w:hAnsi="宋体" w:cs="宋体"/>
          <w:szCs w:val="21"/>
        </w:rPr>
      </w:pPr>
      <w:r>
        <w:rPr>
          <w:rFonts w:hint="eastAsia" w:ascii="宋体" w:hAnsi="宋体" w:cs="宋体"/>
          <w:szCs w:val="21"/>
        </w:rPr>
        <w:t>21.1.6谈判响应人代表、采购人代表、记录人等有关人员在开标记录表上签字确认；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21.1.7暂时休会，进入评审阶段；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21.1.8谈判小组与各个谈判响应人进行谈判；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21.1.9各个谈判响应人进行最终报价；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21.1.10 复会，宣布评审结果。</w:t>
      </w:r>
    </w:p>
    <w:p>
      <w:pPr>
        <w:widowControl/>
        <w:spacing w:line="500" w:lineRule="exact"/>
        <w:ind w:firstLine="420" w:firstLineChars="200"/>
        <w:jc w:val="left"/>
        <w:rPr>
          <w:rFonts w:ascii="宋体" w:hAnsi="宋体" w:cs="宋体"/>
          <w:szCs w:val="21"/>
        </w:rPr>
      </w:pPr>
      <w:r>
        <w:rPr>
          <w:rFonts w:hint="eastAsia" w:ascii="宋体" w:hAnsi="宋体" w:cs="宋体"/>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rPr>
      </w:pPr>
      <w:bookmarkStart w:id="61" w:name="_Toc28310"/>
      <w:bookmarkStart w:id="62" w:name="_Toc54939196"/>
      <w:r>
        <w:rPr>
          <w:rFonts w:hint="eastAsia" w:hAnsi="宋体" w:cs="宋体"/>
        </w:rPr>
        <w:t>六、</w:t>
      </w:r>
      <w:bookmarkEnd w:id="61"/>
      <w:r>
        <w:rPr>
          <w:rFonts w:hint="eastAsia" w:hAnsi="宋体" w:cs="宋体"/>
        </w:rPr>
        <w:t>谈判</w:t>
      </w:r>
      <w:bookmarkEnd w:id="62"/>
    </w:p>
    <w:p>
      <w:pPr>
        <w:widowControl/>
        <w:spacing w:line="360" w:lineRule="auto"/>
        <w:jc w:val="left"/>
        <w:rPr>
          <w:rFonts w:ascii="宋体" w:hAnsi="宋体" w:cs="宋体"/>
          <w:szCs w:val="21"/>
        </w:rPr>
      </w:pPr>
      <w:r>
        <w:rPr>
          <w:rFonts w:hint="eastAsia" w:ascii="宋体" w:hAnsi="宋体" w:cs="宋体"/>
          <w:b/>
          <w:bCs/>
          <w:szCs w:val="21"/>
        </w:rPr>
        <w:t xml:space="preserve">    23、谈判小组</w:t>
      </w:r>
      <w:r>
        <w:rPr>
          <w:rFonts w:hint="eastAsia" w:ascii="宋体" w:hAnsi="宋体" w:cs="宋体"/>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szCs w:val="21"/>
        </w:rPr>
      </w:pPr>
      <w:r>
        <w:rPr>
          <w:rFonts w:hint="eastAsia" w:ascii="宋体" w:hAnsi="宋体" w:cs="宋体"/>
          <w:b/>
          <w:szCs w:val="21"/>
        </w:rPr>
        <w:t>24、评审方法：</w:t>
      </w:r>
      <w:r>
        <w:rPr>
          <w:rFonts w:hint="eastAsia" w:ascii="宋体" w:hAnsi="宋体" w:cs="宋体"/>
          <w:szCs w:val="21"/>
        </w:rPr>
        <w:t>本次谈判采用符合性评审的有效最低价评审方法。</w:t>
      </w:r>
    </w:p>
    <w:p>
      <w:pPr>
        <w:spacing w:line="360" w:lineRule="auto"/>
        <w:ind w:firstLine="422" w:firstLineChars="200"/>
        <w:rPr>
          <w:rFonts w:ascii="宋体" w:hAnsi="宋体" w:cs="宋体"/>
          <w:b/>
          <w:bCs/>
          <w:szCs w:val="21"/>
        </w:rPr>
      </w:pPr>
      <w:r>
        <w:rPr>
          <w:rFonts w:hint="eastAsia" w:ascii="宋体" w:hAnsi="宋体" w:cs="宋体"/>
          <w:b/>
          <w:bCs/>
          <w:szCs w:val="21"/>
        </w:rPr>
        <w:t>25、评审程序</w:t>
      </w:r>
      <w:r>
        <w:rPr>
          <w:rFonts w:hint="eastAsia" w:ascii="宋体" w:hAnsi="宋体" w:cs="宋体"/>
          <w:szCs w:val="21"/>
        </w:rPr>
        <w:t>：评审按照谈判响应文件符合性审查、报价评审、澄清有关问题、失信核查和确定成交候选人排序进行评审。</w:t>
      </w:r>
      <w:r>
        <w:rPr>
          <w:rFonts w:hint="eastAsia" w:ascii="宋体" w:hAnsi="宋体" w:cs="宋体"/>
          <w:b/>
          <w:bCs/>
          <w:szCs w:val="21"/>
        </w:rPr>
        <w:t>如有任一项未通过的则不进入下一项评审。</w:t>
      </w:r>
    </w:p>
    <w:p>
      <w:pPr>
        <w:widowControl/>
        <w:spacing w:line="360" w:lineRule="auto"/>
        <w:ind w:firstLine="420" w:firstLineChars="200"/>
        <w:jc w:val="left"/>
        <w:rPr>
          <w:rFonts w:ascii="宋体" w:hAnsi="宋体" w:cs="宋体"/>
          <w:szCs w:val="21"/>
        </w:rPr>
      </w:pPr>
      <w:r>
        <w:rPr>
          <w:rFonts w:hint="eastAsia" w:ascii="宋体" w:hAnsi="宋体" w:cs="宋体"/>
          <w:szCs w:val="21"/>
        </w:rPr>
        <w:t>25.1、谈判响应文件符合性审查，包括但不限于以下内容：</w:t>
      </w:r>
    </w:p>
    <w:p>
      <w:pPr>
        <w:widowControl/>
        <w:spacing w:line="360" w:lineRule="auto"/>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（1）谈判响应人资格是否符合竞争性谈判文件要求；</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（3）竞争性谈判文件要求提交的各种资格证明文件是否真实、完整、合法、有效；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（4）所提供的货物是否有缺少；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（9）谈判响应文件是否附有采购人不能接受的条件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（10）</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szCs w:val="21"/>
        </w:rPr>
      </w:pPr>
      <w:r>
        <w:rPr>
          <w:rFonts w:hint="eastAsia" w:ascii="宋体" w:hAnsi="宋体" w:cs="宋体"/>
          <w:szCs w:val="21"/>
        </w:rPr>
        <w:t>（11）谈判响应文件是否符合竞争性谈判文件的要求；</w:t>
      </w:r>
    </w:p>
    <w:p>
      <w:pPr>
        <w:widowControl/>
        <w:spacing w:line="500" w:lineRule="exact"/>
        <w:ind w:firstLine="420" w:firstLineChars="200"/>
        <w:jc w:val="left"/>
        <w:rPr>
          <w:rFonts w:ascii="宋体" w:hAnsi="宋体" w:cs="宋体"/>
          <w:b/>
          <w:szCs w:val="21"/>
        </w:rPr>
      </w:pPr>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9"/>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360" w:lineRule="auto"/>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360" w:lineRule="auto"/>
        <w:ind w:firstLine="42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15032"/>
      <w:bookmarkStart w:id="64" w:name="_Toc418517858"/>
      <w:bookmarkStart w:id="65" w:name="_Toc417655921"/>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w:t>
      </w:r>
      <w:r>
        <w:rPr>
          <w:rFonts w:hint="eastAsia" w:ascii="宋体" w:hAnsi="宋体"/>
          <w:szCs w:val="21"/>
        </w:rPr>
        <w:t>，完成缴费后请</w:t>
      </w:r>
      <w:r>
        <w:rPr>
          <w:rFonts w:ascii="宋体" w:hAnsi="宋体"/>
          <w:szCs w:val="21"/>
        </w:rPr>
        <w:t>在</w:t>
      </w:r>
      <w:r>
        <w:rPr>
          <w:rFonts w:hint="eastAsia" w:ascii="宋体" w:hAnsi="宋体"/>
          <w:szCs w:val="21"/>
        </w:rPr>
        <w:t>7</w:t>
      </w:r>
      <w:r>
        <w:rPr>
          <w:rFonts w:ascii="宋体" w:hAnsi="宋体"/>
          <w:szCs w:val="21"/>
        </w:rPr>
        <w:t>个工作日内前来开具增值税发票，逾期按普票开具，不再开具专票。</w:t>
      </w:r>
    </w:p>
    <w:p>
      <w:pPr>
        <w:widowControl/>
        <w:spacing w:line="360" w:lineRule="auto"/>
        <w:ind w:firstLine="405"/>
        <w:jc w:val="left"/>
        <w:rPr>
          <w:rFonts w:ascii="宋体" w:hAnsi="宋体" w:cs="宋体"/>
          <w:szCs w:val="21"/>
        </w:rPr>
      </w:pPr>
      <w:r>
        <w:rPr>
          <w:rFonts w:hint="eastAsia" w:ascii="宋体" w:hAnsi="宋体" w:cs="宋体"/>
          <w:szCs w:val="21"/>
        </w:rPr>
        <w:t>27.4.2、服务费按差额定率累进法计算。以成交价计算基数，按下表约定的货物标准的80%收取。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widowControl/>
        <w:spacing w:line="500" w:lineRule="exact"/>
        <w:ind w:firstLine="421"/>
        <w:jc w:val="left"/>
        <w:rPr>
          <w:rFonts w:ascii="宋体" w:hAnsi="宋体" w:cs="宋体"/>
          <w:b/>
        </w:rPr>
      </w:pPr>
      <w:r>
        <w:rPr>
          <w:rFonts w:hint="eastAsia" w:ascii="宋体" w:hAnsi="宋体" w:cs="宋体"/>
          <w:b/>
        </w:rPr>
        <w:t xml:space="preserve">  </w:t>
      </w:r>
      <w:r>
        <w:rPr>
          <w:rFonts w:hint="eastAsia" w:ascii="宋体" w:hAnsi="宋体" w:cs="宋体"/>
          <w:szCs w:val="21"/>
        </w:rPr>
        <w:t>注：按上述收费标准计算不足1500元的，按1500元计费。</w:t>
      </w:r>
    </w:p>
    <w:p>
      <w:pPr>
        <w:widowControl/>
        <w:spacing w:line="500" w:lineRule="exact"/>
        <w:ind w:firstLine="420" w:firstLineChars="200"/>
        <w:jc w:val="left"/>
        <w:rPr>
          <w:rFonts w:ascii="宋体" w:hAnsi="宋体" w:cs="宋体"/>
          <w:szCs w:val="21"/>
        </w:rPr>
      </w:pPr>
      <w:r>
        <w:rPr>
          <w:rFonts w:hint="eastAsia" w:ascii="宋体" w:hAnsi="宋体" w:cs="宋体"/>
          <w:szCs w:val="21"/>
        </w:rPr>
        <w:t>27.5、成交通知书</w:t>
      </w:r>
      <w:bookmarkEnd w:id="63"/>
      <w:bookmarkEnd w:id="64"/>
      <w:bookmarkEnd w:id="65"/>
    </w:p>
    <w:p>
      <w:pPr>
        <w:widowControl/>
        <w:spacing w:line="500" w:lineRule="exact"/>
        <w:ind w:firstLine="420"/>
        <w:jc w:val="left"/>
        <w:rPr>
          <w:rFonts w:ascii="宋体" w:hAnsi="宋体" w:cs="宋体"/>
          <w:szCs w:val="21"/>
        </w:rPr>
      </w:pPr>
      <w:r>
        <w:rPr>
          <w:rFonts w:hint="eastAsia" w:ascii="宋体" w:hAnsi="宋体" w:cs="宋体"/>
          <w:szCs w:val="21"/>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p>
    <w:p>
      <w:pPr>
        <w:widowControl/>
        <w:spacing w:line="360" w:lineRule="auto"/>
        <w:ind w:firstLine="420" w:firstLineChars="200"/>
        <w:jc w:val="left"/>
        <w:rPr>
          <w:rFonts w:ascii="宋体" w:hAnsi="宋体" w:cs="宋体"/>
          <w:szCs w:val="21"/>
        </w:rPr>
      </w:pPr>
      <w:r>
        <w:rPr>
          <w:rFonts w:hint="eastAsia" w:ascii="宋体" w:hAnsi="宋体" w:cs="宋体"/>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szCs w:val="21"/>
        </w:rPr>
      </w:pPr>
      <w:bookmarkStart w:id="66" w:name="_Toc2342"/>
      <w:bookmarkStart w:id="67" w:name="_Toc417655920"/>
      <w:bookmarkStart w:id="68" w:name="_Toc418517857"/>
      <w:r>
        <w:rPr>
          <w:rFonts w:hint="eastAsia" w:ascii="宋体" w:hAnsi="宋体" w:cs="宋体"/>
          <w:b/>
          <w:bCs/>
          <w:szCs w:val="20"/>
        </w:rPr>
        <w:t xml:space="preserve">   </w:t>
      </w:r>
      <w:r>
        <w:rPr>
          <w:rFonts w:hint="eastAsia" w:ascii="宋体" w:hAnsi="宋体" w:cs="宋体"/>
          <w:szCs w:val="21"/>
        </w:rPr>
        <w:t xml:space="preserve"> 27.</w:t>
      </w:r>
      <w:bookmarkEnd w:id="66"/>
      <w:bookmarkEnd w:id="67"/>
      <w:bookmarkEnd w:id="68"/>
      <w:r>
        <w:rPr>
          <w:rFonts w:hint="eastAsia" w:ascii="宋体" w:hAnsi="宋体" w:cs="宋体"/>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bookmarkStart w:id="69" w:name="_Toc23509"/>
      <w:r>
        <w:rPr>
          <w:rFonts w:hint="eastAsia" w:ascii="宋体" w:hAnsi="宋体" w:cs="宋体"/>
          <w:b/>
          <w:bCs/>
          <w:szCs w:val="21"/>
        </w:rPr>
        <w:t xml:space="preserve">    </w:t>
      </w:r>
      <w:bookmarkStart w:id="70" w:name="_Toc54939197"/>
      <w:r>
        <w:rPr>
          <w:rFonts w:hint="eastAsia" w:ascii="宋体" w:hAnsi="宋体" w:cs="宋体"/>
          <w:b/>
          <w:bCs/>
          <w:szCs w:val="21"/>
        </w:rPr>
        <w:t>七、合同授予</w:t>
      </w:r>
      <w:bookmarkEnd w:id="69"/>
      <w:bookmarkEnd w:id="70"/>
    </w:p>
    <w:p>
      <w:pPr>
        <w:widowControl/>
        <w:spacing w:line="500" w:lineRule="exact"/>
        <w:jc w:val="left"/>
        <w:rPr>
          <w:rFonts w:ascii="宋体" w:hAnsi="宋体" w:cs="宋体"/>
          <w:szCs w:val="21"/>
        </w:rPr>
      </w:pPr>
      <w:r>
        <w:rPr>
          <w:rFonts w:hint="eastAsia" w:ascii="宋体" w:hAnsi="宋体" w:cs="宋体"/>
          <w:szCs w:val="21"/>
        </w:rPr>
        <w:t xml:space="preserve">    28、</w:t>
      </w:r>
      <w:bookmarkStart w:id="71" w:name="_Toc21358"/>
      <w:bookmarkStart w:id="72" w:name="_Toc418517860"/>
      <w:bookmarkStart w:id="73" w:name="_Toc417655923"/>
      <w:r>
        <w:rPr>
          <w:rFonts w:hint="eastAsia" w:ascii="宋体" w:hAnsi="宋体" w:cs="宋体"/>
          <w:szCs w:val="21"/>
        </w:rPr>
        <w:t>签订合同</w:t>
      </w:r>
      <w:bookmarkEnd w:id="71"/>
      <w:bookmarkEnd w:id="72"/>
      <w:bookmarkEnd w:id="73"/>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28.2、成交人在收到成交通知书起</w:t>
      </w:r>
      <w:r>
        <w:rPr>
          <w:rFonts w:hint="eastAsia" w:ascii="宋体" w:hAnsi="宋体" w:cs="宋体"/>
          <w:szCs w:val="21"/>
          <w:lang w:val="en-US" w:eastAsia="zh-CN"/>
        </w:rPr>
        <w:t>10工作</w:t>
      </w:r>
      <w:r>
        <w:rPr>
          <w:rFonts w:hint="eastAsia" w:ascii="宋体" w:hAnsi="宋体" w:cs="宋体"/>
          <w:szCs w:val="21"/>
        </w:rPr>
        <w:t xml:space="preserve">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pStyle w:val="3"/>
        <w:rPr>
          <w:rFonts w:ascii="宋体" w:hAnsi="宋体"/>
          <w:b/>
          <w:bCs/>
          <w:szCs w:val="21"/>
        </w:rPr>
      </w:pPr>
      <w:bookmarkStart w:id="74" w:name="_Toc54939198"/>
      <w:bookmarkStart w:id="75" w:name="_Toc18076"/>
      <w:r>
        <w:rPr>
          <w:rFonts w:hint="eastAsia" w:ascii="宋体" w:hAnsi="宋体" w:cs="宋体"/>
        </w:rPr>
        <w:t xml:space="preserve">第三章 </w:t>
      </w:r>
      <w:bookmarkEnd w:id="74"/>
      <w:bookmarkEnd w:id="75"/>
      <w:r>
        <w:rPr>
          <w:rFonts w:hint="eastAsia" w:ascii="宋体" w:hAnsi="宋体" w:cs="宋体"/>
          <w:color w:val="000000"/>
        </w:rPr>
        <w:t>货物需求及技术要求</w:t>
      </w:r>
      <w:bookmarkStart w:id="76" w:name="_Toc54938481"/>
      <w:bookmarkStart w:id="77" w:name="_Toc54939199"/>
      <w:bookmarkStart w:id="78" w:name="_Toc7241"/>
    </w:p>
    <w:p>
      <w:pPr>
        <w:spacing w:line="360" w:lineRule="auto"/>
        <w:rPr>
          <w:rFonts w:ascii="宋体" w:hAnsi="宋体"/>
          <w:b/>
          <w:bCs/>
          <w:szCs w:val="21"/>
        </w:rPr>
      </w:pPr>
      <w:r>
        <w:rPr>
          <w:rFonts w:hint="eastAsia" w:ascii="宋体" w:hAnsi="宋体"/>
          <w:b/>
          <w:bCs/>
          <w:szCs w:val="21"/>
          <w:lang w:val="en-US" w:eastAsia="zh-CN"/>
        </w:rPr>
        <w:t>一</w:t>
      </w:r>
      <w:r>
        <w:rPr>
          <w:rFonts w:hint="eastAsia" w:ascii="宋体" w:hAnsi="宋体"/>
          <w:b/>
          <w:bCs/>
          <w:szCs w:val="21"/>
        </w:rPr>
        <w:t>、货物需求及技术要求一览表</w:t>
      </w:r>
    </w:p>
    <w:bookmarkEnd w:id="76"/>
    <w:tbl>
      <w:tblPr>
        <w:tblStyle w:val="23"/>
        <w:tblW w:w="10485" w:type="dxa"/>
        <w:tblInd w:w="-74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810"/>
        <w:gridCol w:w="7440"/>
        <w:gridCol w:w="780"/>
        <w:gridCol w:w="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05" w:type="dxa"/>
            <w:noWrap w:val="0"/>
            <w:vAlign w:val="center"/>
          </w:tcPr>
          <w:p>
            <w:pPr>
              <w:widowControl/>
              <w:jc w:val="center"/>
              <w:rPr>
                <w:rFonts w:ascii="宋体" w:hAnsi="宋体" w:cs="宋体"/>
                <w:b/>
                <w:bCs w:val="0"/>
                <w:color w:val="auto"/>
                <w:kern w:val="0"/>
                <w:szCs w:val="21"/>
              </w:rPr>
            </w:pPr>
            <w:bookmarkStart w:id="79" w:name="_Toc4579"/>
            <w:bookmarkStart w:id="80" w:name="_Toc54938482"/>
            <w:r>
              <w:rPr>
                <w:rFonts w:ascii="宋体" w:hAnsi="宋体" w:cs="宋体"/>
                <w:b/>
                <w:bCs w:val="0"/>
                <w:color w:val="auto"/>
                <w:kern w:val="0"/>
                <w:szCs w:val="21"/>
              </w:rPr>
              <w:t>序号</w:t>
            </w:r>
          </w:p>
        </w:tc>
        <w:tc>
          <w:tcPr>
            <w:tcW w:w="810" w:type="dxa"/>
            <w:noWrap w:val="0"/>
            <w:vAlign w:val="center"/>
          </w:tcPr>
          <w:p>
            <w:pPr>
              <w:widowControl/>
              <w:jc w:val="center"/>
              <w:rPr>
                <w:rFonts w:ascii="宋体" w:hAnsi="宋体" w:cs="宋体"/>
                <w:b/>
                <w:bCs w:val="0"/>
                <w:color w:val="auto"/>
                <w:kern w:val="0"/>
                <w:szCs w:val="21"/>
              </w:rPr>
            </w:pPr>
            <w:r>
              <w:rPr>
                <w:rFonts w:ascii="宋体" w:hAnsi="宋体" w:cs="宋体"/>
                <w:b/>
                <w:bCs w:val="0"/>
                <w:color w:val="auto"/>
                <w:kern w:val="0"/>
                <w:szCs w:val="21"/>
              </w:rPr>
              <w:t>设备名称</w:t>
            </w:r>
          </w:p>
        </w:tc>
        <w:tc>
          <w:tcPr>
            <w:tcW w:w="7440" w:type="dxa"/>
            <w:noWrap w:val="0"/>
            <w:vAlign w:val="center"/>
          </w:tcPr>
          <w:p>
            <w:pPr>
              <w:widowControl/>
              <w:spacing w:line="340" w:lineRule="exact"/>
              <w:jc w:val="center"/>
              <w:rPr>
                <w:rFonts w:hint="default" w:ascii="宋体" w:hAnsi="宋体" w:eastAsia="宋体" w:cs="宋体"/>
                <w:b/>
                <w:bCs w:val="0"/>
                <w:color w:val="auto"/>
                <w:kern w:val="0"/>
                <w:szCs w:val="21"/>
                <w:lang w:val="en-US" w:eastAsia="zh-CN"/>
              </w:rPr>
            </w:pPr>
            <w:r>
              <w:rPr>
                <w:rFonts w:hint="eastAsia" w:ascii="宋体" w:hAnsi="宋体" w:cs="宋体"/>
                <w:b/>
                <w:bCs w:val="0"/>
                <w:color w:val="auto"/>
                <w:kern w:val="0"/>
                <w:szCs w:val="21"/>
                <w:lang w:val="en-US" w:eastAsia="zh-CN"/>
              </w:rPr>
              <w:t>竞争性谈判技术参数</w:t>
            </w:r>
          </w:p>
        </w:tc>
        <w:tc>
          <w:tcPr>
            <w:tcW w:w="780" w:type="dxa"/>
            <w:noWrap w:val="0"/>
            <w:vAlign w:val="center"/>
          </w:tcPr>
          <w:p>
            <w:pPr>
              <w:widowControl/>
              <w:jc w:val="center"/>
              <w:rPr>
                <w:color w:val="auto"/>
              </w:rPr>
            </w:pPr>
            <w:r>
              <w:rPr>
                <w:rFonts w:ascii="宋体" w:hAnsi="宋体" w:cs="宋体"/>
                <w:b/>
                <w:bCs w:val="0"/>
                <w:color w:val="auto"/>
                <w:kern w:val="0"/>
                <w:szCs w:val="21"/>
              </w:rPr>
              <w:t>数量</w:t>
            </w:r>
          </w:p>
        </w:tc>
        <w:tc>
          <w:tcPr>
            <w:tcW w:w="750" w:type="dxa"/>
            <w:noWrap w:val="0"/>
            <w:vAlign w:val="center"/>
          </w:tcPr>
          <w:p>
            <w:pPr>
              <w:widowControl/>
              <w:jc w:val="center"/>
              <w:rPr>
                <w:rFonts w:hint="default" w:ascii="宋体" w:hAnsi="宋体" w:eastAsia="宋体" w:cs="宋体"/>
                <w:b/>
                <w:bCs w:val="0"/>
                <w:color w:val="auto"/>
                <w:kern w:val="0"/>
                <w:szCs w:val="21"/>
                <w:lang w:val="en-US" w:eastAsia="zh-CN"/>
              </w:rPr>
            </w:pPr>
            <w:r>
              <w:rPr>
                <w:rFonts w:hint="eastAsia" w:ascii="宋体" w:hAnsi="宋体" w:cs="宋体"/>
                <w:b/>
                <w:bCs w:val="0"/>
                <w:color w:val="auto"/>
                <w:kern w:val="0"/>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1</w:t>
            </w:r>
          </w:p>
        </w:tc>
        <w:tc>
          <w:tcPr>
            <w:tcW w:w="810" w:type="dxa"/>
            <w:noWrap w:val="0"/>
            <w:vAlign w:val="center"/>
          </w:tcPr>
          <w:p>
            <w:pPr>
              <w:widowControl/>
              <w:jc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eastAsia="zh-CN"/>
              </w:rPr>
              <w:t>理实一体教学实验台</w:t>
            </w:r>
            <w:r>
              <w:rPr>
                <w:rFonts w:hint="eastAsia" w:ascii="宋体" w:hAnsi="宋体" w:cs="宋体"/>
                <w:b w:val="0"/>
                <w:bCs/>
                <w:color w:val="auto"/>
                <w:kern w:val="0"/>
                <w:szCs w:val="21"/>
                <w:lang w:val="en-US" w:eastAsia="zh-CN"/>
              </w:rPr>
              <w:t>柜</w:t>
            </w:r>
          </w:p>
        </w:tc>
        <w:tc>
          <w:tcPr>
            <w:tcW w:w="7440" w:type="dxa"/>
            <w:noWrap w:val="0"/>
            <w:vAlign w:val="center"/>
          </w:tcPr>
          <w:p>
            <w:pPr>
              <w:widowControl/>
              <w:jc w:val="left"/>
              <w:rPr>
                <w:rFonts w:hint="eastAsia"/>
                <w:color w:val="auto"/>
                <w:lang w:eastAsia="zh-CN"/>
              </w:rPr>
            </w:pPr>
            <w:r>
              <w:rPr>
                <w:rFonts w:hint="eastAsia"/>
                <w:color w:val="auto"/>
                <w:lang w:eastAsia="zh-CN"/>
              </w:rPr>
              <w:t>一、规格：长</w:t>
            </w:r>
            <w:r>
              <w:rPr>
                <w:rFonts w:hint="eastAsia" w:ascii="宋体" w:hAnsi="宋体" w:cs="宋体"/>
                <w:b w:val="0"/>
                <w:bCs/>
                <w:color w:val="auto"/>
                <w:kern w:val="0"/>
                <w:szCs w:val="21"/>
                <w:lang w:val="en-US" w:eastAsia="zh-CN"/>
              </w:rPr>
              <w:t>21.6米</w:t>
            </w:r>
            <w:r>
              <w:rPr>
                <w:rFonts w:hint="eastAsia"/>
                <w:color w:val="auto"/>
                <w:lang w:eastAsia="zh-CN"/>
              </w:rPr>
              <w:t>*宽750*高800mm，C型钢木结构；</w:t>
            </w:r>
          </w:p>
          <w:p>
            <w:pPr>
              <w:widowControl/>
              <w:jc w:val="left"/>
              <w:rPr>
                <w:rFonts w:hint="eastAsia"/>
                <w:color w:val="auto"/>
                <w:lang w:eastAsia="zh-CN"/>
              </w:rPr>
            </w:pPr>
            <w:r>
              <w:rPr>
                <w:rFonts w:hint="eastAsia"/>
                <w:color w:val="auto"/>
                <w:lang w:eastAsia="zh-CN"/>
              </w:rPr>
              <w:t>二、技术要求</w:t>
            </w:r>
          </w:p>
          <w:p>
            <w:pPr>
              <w:widowControl/>
              <w:jc w:val="left"/>
              <w:rPr>
                <w:rFonts w:hint="eastAsia"/>
                <w:color w:val="auto"/>
                <w:lang w:eastAsia="zh-CN"/>
              </w:rPr>
            </w:pPr>
            <w:r>
              <w:rPr>
                <w:rFonts w:hint="eastAsia"/>
                <w:color w:val="auto"/>
                <w:lang w:eastAsia="zh-CN"/>
              </w:rPr>
              <w:t>1、实验台台面要求具有防腐蚀、耐酸碱、耐高温、防水、耐磨、抗污染等优点，周边无加厚处理，操作面前缘上边经圆滑处理，美观且光滑不伤手。为保证台面材料质量以及从环保角度保障实验室人员健康，台面材料须符合以下技术要求：</w:t>
            </w:r>
          </w:p>
          <w:p>
            <w:pPr>
              <w:widowControl/>
              <w:jc w:val="left"/>
              <w:rPr>
                <w:rFonts w:hint="eastAsia"/>
                <w:strike/>
                <w:dstrike w:val="0"/>
                <w:color w:val="0000FF"/>
                <w:lang w:val="en-US" w:eastAsia="zh-CN"/>
              </w:rPr>
            </w:pPr>
            <w:r>
              <w:rPr>
                <w:rFonts w:hint="eastAsia"/>
                <w:color w:val="auto"/>
                <w:lang w:eastAsia="zh-CN"/>
              </w:rPr>
              <w:t>1.1台面采用实验室专用的实芯理化板，厚12.7mm。</w:t>
            </w:r>
          </w:p>
          <w:p>
            <w:pPr>
              <w:widowControl/>
              <w:jc w:val="left"/>
              <w:rPr>
                <w:rFonts w:hint="eastAsia"/>
                <w:strike/>
                <w:dstrike w:val="0"/>
                <w:color w:val="auto"/>
                <w:lang w:eastAsia="zh-CN"/>
              </w:rPr>
            </w:pPr>
            <w:r>
              <w:rPr>
                <w:rFonts w:hint="eastAsia"/>
                <w:color w:val="auto"/>
                <w:lang w:eastAsia="zh-CN"/>
              </w:rPr>
              <w:t>1.</w:t>
            </w:r>
            <w:r>
              <w:rPr>
                <w:rFonts w:hint="eastAsia"/>
                <w:color w:val="auto"/>
                <w:lang w:val="en-US" w:eastAsia="zh-CN"/>
              </w:rPr>
              <w:t>2</w:t>
            </w:r>
            <w:r>
              <w:rPr>
                <w:rFonts w:hint="eastAsia"/>
                <w:color w:val="auto"/>
                <w:lang w:eastAsia="zh-CN"/>
              </w:rPr>
              <w:t>台面板表面耐划痕性能（金刚石划痕法）≥6N，表面耐磨性能≥1</w:t>
            </w:r>
            <w:r>
              <w:rPr>
                <w:rFonts w:hint="eastAsia"/>
                <w:color w:val="auto"/>
                <w:lang w:val="en-US" w:eastAsia="zh-CN"/>
              </w:rPr>
              <w:t>1</w:t>
            </w:r>
            <w:r>
              <w:rPr>
                <w:rFonts w:hint="eastAsia"/>
                <w:color w:val="auto"/>
                <w:lang w:eastAsia="zh-CN"/>
              </w:rPr>
              <w:t>00r（</w:t>
            </w:r>
            <w:r>
              <w:rPr>
                <w:rFonts w:hint="eastAsia"/>
                <w:color w:val="auto"/>
                <w:lang w:val="en-US" w:eastAsia="zh-CN"/>
              </w:rPr>
              <w:t>供应</w:t>
            </w:r>
            <w:r>
              <w:rPr>
                <w:rFonts w:hint="eastAsia"/>
                <w:color w:val="auto"/>
                <w:lang w:eastAsia="zh-CN"/>
              </w:rPr>
              <w:t>商需提供第三方检测报告复印件）；</w:t>
            </w:r>
          </w:p>
          <w:p>
            <w:pPr>
              <w:pStyle w:val="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供应商承诺提供三年原厂售后服务。</w:t>
            </w:r>
          </w:p>
          <w:p>
            <w:pPr>
              <w:widowControl/>
              <w:jc w:val="left"/>
              <w:rPr>
                <w:rFonts w:hint="eastAsia"/>
                <w:color w:val="auto"/>
                <w:lang w:eastAsia="zh-CN"/>
              </w:rPr>
            </w:pPr>
            <w:r>
              <w:rPr>
                <w:rFonts w:hint="eastAsia"/>
                <w:color w:val="auto"/>
                <w:lang w:eastAsia="zh-CN"/>
              </w:rPr>
              <w:t>2、实验台柜体：</w:t>
            </w:r>
          </w:p>
          <w:p>
            <w:pPr>
              <w:widowControl/>
              <w:jc w:val="left"/>
              <w:rPr>
                <w:rFonts w:hint="eastAsia"/>
                <w:color w:val="auto"/>
                <w:lang w:eastAsia="zh-CN"/>
              </w:rPr>
            </w:pPr>
            <w:r>
              <w:rPr>
                <w:rFonts w:hint="eastAsia"/>
                <w:color w:val="auto"/>
                <w:lang w:eastAsia="zh-CN"/>
              </w:rPr>
              <w:t>（1）采用60*40*2mm方钢，“C”型结构，模具冲压标准化连接件，表面经过酸洗、磷化、均匀灰白环氧静电喷涂，连接件选用90度固定片，2mm厚钢板制作，经折弯、焊接、打磨制成，经过严格的酸洗、磷化处理后，再进行环氧树脂静电喷涂耐腐蚀处理。</w:t>
            </w:r>
          </w:p>
          <w:p>
            <w:pPr>
              <w:widowControl/>
              <w:jc w:val="left"/>
              <w:rPr>
                <w:rFonts w:hint="eastAsia"/>
                <w:color w:val="auto"/>
                <w:lang w:eastAsia="zh-CN"/>
              </w:rPr>
            </w:pPr>
            <w:r>
              <w:rPr>
                <w:rFonts w:hint="eastAsia"/>
                <w:color w:val="auto"/>
                <w:lang w:eastAsia="zh-CN"/>
              </w:rPr>
              <w:t>（2）柜体、层板、门板、抽屉</w:t>
            </w:r>
            <w:r>
              <w:rPr>
                <w:rFonts w:hint="eastAsia"/>
                <w:color w:val="auto"/>
                <w:lang w:val="en-US" w:eastAsia="zh-CN"/>
              </w:rPr>
              <w:t>及</w:t>
            </w:r>
            <w:r>
              <w:rPr>
                <w:rFonts w:hint="eastAsia"/>
                <w:color w:val="auto"/>
                <w:lang w:eastAsia="zh-CN"/>
              </w:rPr>
              <w:t>活动背板:主体采用优质环保E1级18mm三聚氰氨板；</w:t>
            </w:r>
          </w:p>
          <w:p>
            <w:pPr>
              <w:widowControl/>
              <w:jc w:val="left"/>
              <w:rPr>
                <w:rFonts w:hint="eastAsia"/>
                <w:color w:val="auto"/>
                <w:lang w:eastAsia="zh-CN"/>
              </w:rPr>
            </w:pPr>
            <w:r>
              <w:rPr>
                <w:rFonts w:hint="eastAsia"/>
                <w:color w:val="auto"/>
                <w:lang w:eastAsia="zh-CN"/>
              </w:rPr>
              <w:t>（3）柜门、抽屉拉手：采用铝合金C型一体式拉手，表面喷塑防腐处理，缓冲铰链：110度缓冲铰链，钛镍钢板或防腐锌合金,与柜体面水平角小于15度时柜门缓慢无声自行关闭，导轨：选用三节式钢珠静音重型导轨选用耐腐蚀。</w:t>
            </w:r>
          </w:p>
          <w:p>
            <w:pPr>
              <w:widowControl/>
              <w:jc w:val="left"/>
              <w:rPr>
                <w:rFonts w:hint="eastAsia"/>
                <w:color w:val="auto"/>
                <w:lang w:eastAsia="zh-CN"/>
              </w:rPr>
            </w:pPr>
            <w:r>
              <w:rPr>
                <w:rFonts w:hint="eastAsia"/>
                <w:color w:val="auto"/>
                <w:lang w:eastAsia="zh-CN"/>
              </w:rPr>
              <w:t>（4）调节脚：专用ABS注塑一体成型，高度可调节，调节范围为30-50mm，防滑减震，承重、耐腐蚀，可根据室内地坪适当调整柜体高度，调节范围为30-50mm；</w:t>
            </w:r>
          </w:p>
          <w:p>
            <w:pPr>
              <w:widowControl/>
              <w:jc w:val="left"/>
              <w:rPr>
                <w:rFonts w:hint="eastAsia"/>
                <w:color w:val="auto"/>
                <w:lang w:val="en-US" w:eastAsia="zh-CN"/>
              </w:rPr>
            </w:pPr>
            <w:r>
              <w:rPr>
                <w:rFonts w:hint="eastAsia"/>
                <w:color w:val="auto"/>
                <w:lang w:val="en-US" w:eastAsia="zh-CN"/>
              </w:rPr>
              <w:t>3、供应商需在谈判响应文件中注明所投实验台台面品牌。</w:t>
            </w:r>
          </w:p>
          <w:p>
            <w:pPr>
              <w:pStyle w:val="2"/>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lang w:val="en-US" w:eastAsia="zh-CN" w:bidi="ar-SA"/>
              </w:rPr>
              <w:t>4</w:t>
            </w:r>
            <w:r>
              <w:rPr>
                <w:rFonts w:hint="eastAsia" w:ascii="Times New Roman" w:hAnsi="Times New Roman" w:eastAsia="宋体" w:cs="Times New Roman"/>
                <w:color w:val="auto"/>
                <w:kern w:val="2"/>
                <w:sz w:val="20"/>
                <w:szCs w:val="22"/>
                <w:lang w:val="en-US" w:eastAsia="zh-CN" w:bidi="ar-SA"/>
              </w:rPr>
              <w:t>、</w:t>
            </w:r>
            <w:r>
              <w:rPr>
                <w:rFonts w:hint="eastAsia" w:ascii="Times New Roman" w:hAnsi="Times New Roman" w:eastAsia="宋体" w:cs="Times New Roman"/>
                <w:color w:val="auto"/>
                <w:kern w:val="2"/>
                <w:sz w:val="21"/>
                <w:szCs w:val="24"/>
                <w:lang w:val="en-US" w:eastAsia="zh-CN" w:bidi="ar-SA"/>
              </w:rPr>
              <w:t>供应</w:t>
            </w:r>
            <w:r>
              <w:rPr>
                <w:rFonts w:hint="eastAsia" w:ascii="Times New Roman" w:hAnsi="Times New Roman" w:eastAsia="宋体" w:cs="Times New Roman"/>
                <w:color w:val="auto"/>
                <w:kern w:val="2"/>
                <w:sz w:val="21"/>
                <w:szCs w:val="24"/>
                <w:highlight w:val="none"/>
                <w:lang w:val="en-US" w:eastAsia="zh-CN" w:bidi="ar-SA"/>
              </w:rPr>
              <w:t>商需</w:t>
            </w:r>
            <w:r>
              <w:rPr>
                <w:rFonts w:hint="eastAsia" w:ascii="Times New Roman" w:hAnsi="Times New Roman" w:cs="Times New Roman"/>
                <w:color w:val="auto"/>
                <w:kern w:val="2"/>
                <w:sz w:val="21"/>
                <w:szCs w:val="24"/>
                <w:highlight w:val="none"/>
                <w:lang w:val="en-US" w:eastAsia="zh-CN" w:bidi="ar-SA"/>
              </w:rPr>
              <w:t>按照</w:t>
            </w:r>
            <w:r>
              <w:rPr>
                <w:rFonts w:hint="eastAsia" w:ascii="Times New Roman" w:hAnsi="Times New Roman" w:eastAsia="宋体" w:cs="Times New Roman"/>
                <w:color w:val="auto"/>
                <w:kern w:val="2"/>
                <w:sz w:val="21"/>
                <w:szCs w:val="24"/>
                <w:highlight w:val="none"/>
                <w:lang w:val="en-US" w:eastAsia="zh-CN" w:bidi="ar-SA"/>
              </w:rPr>
              <w:t>实验室规划平面图</w:t>
            </w:r>
            <w:r>
              <w:rPr>
                <w:rFonts w:hint="eastAsia" w:ascii="Times New Roman" w:hAnsi="Times New Roman" w:cs="Times New Roman"/>
                <w:color w:val="auto"/>
                <w:kern w:val="2"/>
                <w:sz w:val="21"/>
                <w:szCs w:val="24"/>
                <w:highlight w:val="none"/>
                <w:lang w:val="en-US" w:eastAsia="zh-CN" w:bidi="ar-SA"/>
              </w:rPr>
              <w:t>施工或另外提供更合适的施工方案</w:t>
            </w:r>
            <w:r>
              <w:rPr>
                <w:rFonts w:hint="eastAsia" w:ascii="Times New Roman" w:hAnsi="Times New Roman" w:eastAsia="宋体" w:cs="Times New Roman"/>
                <w:color w:val="auto"/>
                <w:kern w:val="2"/>
                <w:sz w:val="21"/>
                <w:szCs w:val="24"/>
                <w:highlight w:val="none"/>
                <w:lang w:val="en-US" w:eastAsia="zh-CN" w:bidi="ar-SA"/>
              </w:rPr>
              <w:t>。</w:t>
            </w:r>
          </w:p>
          <w:p>
            <w:pPr>
              <w:pStyle w:val="2"/>
              <w:rPr>
                <w:rFonts w:hint="default" w:ascii="Times New Roman" w:hAnsi="Times New Roman"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highlight w:val="none"/>
                <w:lang w:val="en-US" w:eastAsia="zh-CN" w:bidi="ar-SA"/>
              </w:rPr>
              <w:t>5、配单层试剂架：长</w:t>
            </w:r>
            <w:r>
              <w:rPr>
                <w:rFonts w:hint="eastAsia"/>
                <w:color w:val="auto"/>
                <w:sz w:val="22"/>
                <w:szCs w:val="22"/>
                <w:highlight w:val="none"/>
                <w:lang w:val="en-US" w:eastAsia="zh-CN"/>
              </w:rPr>
              <w:t>21.6米</w:t>
            </w:r>
            <w:r>
              <w:rPr>
                <w:rFonts w:hint="eastAsia" w:ascii="Times New Roman" w:hAnsi="Times New Roman" w:eastAsia="宋体" w:cs="Times New Roman"/>
                <w:color w:val="auto"/>
                <w:kern w:val="2"/>
                <w:sz w:val="21"/>
                <w:szCs w:val="24"/>
                <w:highlight w:val="none"/>
                <w:lang w:val="en-US" w:eastAsia="zh-CN" w:bidi="ar-SA"/>
              </w:rPr>
              <w:t>*宽300*高40mm（±5mm）,单层试剂架构造，进口环氧树脂喷涂；层板为</w:t>
            </w:r>
            <w:r>
              <w:rPr>
                <w:rFonts w:hint="eastAsia" w:ascii="Times New Roman" w:hAnsi="Times New Roman" w:eastAsia="宋体" w:cs="Times New Roman"/>
                <w:color w:val="auto"/>
                <w:kern w:val="2"/>
                <w:sz w:val="21"/>
                <w:szCs w:val="24"/>
                <w:lang w:val="en-US" w:eastAsia="zh-CN" w:bidi="ar-SA"/>
              </w:rPr>
              <w:t>≧10mm钢化玻璃，层板外缘为304不锈钢护栏；试剂架立柱具整排挂孔供可调式层板悬挂用，挂孔上下调节间距每格≧40mm。</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21.6</w:t>
            </w:r>
          </w:p>
        </w:tc>
        <w:tc>
          <w:tcPr>
            <w:tcW w:w="750" w:type="dxa"/>
            <w:noWrap w:val="0"/>
            <w:vAlign w:val="center"/>
          </w:tcPr>
          <w:p>
            <w:pPr>
              <w:keepNext w:val="0"/>
              <w:keepLines w:val="0"/>
              <w:widowControl/>
              <w:suppressLineNumbers w:val="0"/>
              <w:jc w:val="center"/>
              <w:textAlignment w:val="center"/>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Cs w:val="21"/>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2</w:t>
            </w:r>
          </w:p>
        </w:tc>
        <w:tc>
          <w:tcPr>
            <w:tcW w:w="810" w:type="dxa"/>
            <w:noWrap w:val="0"/>
            <w:vAlign w:val="center"/>
          </w:tcPr>
          <w:p>
            <w:pPr>
              <w:widowControl/>
              <w:jc w:val="center"/>
              <w:rPr>
                <w:rFonts w:hint="eastAsia" w:ascii="宋体" w:hAnsi="宋体" w:cs="宋体"/>
                <w:b w:val="0"/>
                <w:bCs/>
                <w:color w:val="auto"/>
                <w:kern w:val="0"/>
                <w:szCs w:val="21"/>
                <w:lang w:eastAsia="zh-CN"/>
              </w:rPr>
            </w:pPr>
            <w:r>
              <w:rPr>
                <w:rFonts w:hint="eastAsia" w:ascii="宋体" w:hAnsi="宋体" w:cs="宋体"/>
                <w:b w:val="0"/>
                <w:bCs/>
                <w:color w:val="auto"/>
                <w:kern w:val="0"/>
                <w:szCs w:val="21"/>
                <w:lang w:eastAsia="zh-CN"/>
              </w:rPr>
              <w:t>水槽台</w:t>
            </w:r>
          </w:p>
        </w:tc>
        <w:tc>
          <w:tcPr>
            <w:tcW w:w="7440" w:type="dxa"/>
            <w:noWrap w:val="0"/>
            <w:vAlign w:val="center"/>
          </w:tcPr>
          <w:p>
            <w:pPr>
              <w:widowControl/>
              <w:jc w:val="left"/>
              <w:rPr>
                <w:rFonts w:hint="eastAsia"/>
                <w:color w:val="auto"/>
                <w:lang w:eastAsia="zh-CN"/>
              </w:rPr>
            </w:pPr>
            <w:r>
              <w:rPr>
                <w:rFonts w:hint="eastAsia"/>
                <w:color w:val="auto"/>
                <w:lang w:eastAsia="zh-CN"/>
              </w:rPr>
              <w:t>一、规格：长900*宽750*高800mm</w:t>
            </w:r>
          </w:p>
          <w:p>
            <w:pPr>
              <w:widowControl/>
              <w:jc w:val="left"/>
              <w:rPr>
                <w:rFonts w:hint="eastAsia"/>
                <w:color w:val="auto"/>
                <w:lang w:eastAsia="zh-CN"/>
              </w:rPr>
            </w:pPr>
            <w:r>
              <w:rPr>
                <w:rFonts w:hint="eastAsia"/>
                <w:color w:val="auto"/>
                <w:lang w:eastAsia="zh-CN"/>
              </w:rPr>
              <w:t>二、技术要求（</w:t>
            </w:r>
            <w:r>
              <w:rPr>
                <w:rFonts w:hint="eastAsia"/>
                <w:color w:val="auto"/>
                <w:lang w:val="en-US" w:eastAsia="zh-CN"/>
              </w:rPr>
              <w:t>同</w:t>
            </w:r>
            <w:r>
              <w:rPr>
                <w:rFonts w:hint="eastAsia" w:ascii="宋体" w:hAnsi="宋体" w:cs="宋体"/>
                <w:b w:val="0"/>
                <w:bCs/>
                <w:color w:val="auto"/>
                <w:kern w:val="0"/>
                <w:szCs w:val="21"/>
                <w:lang w:eastAsia="zh-CN"/>
              </w:rPr>
              <w:t>理实一体教学实验台</w:t>
            </w:r>
            <w:r>
              <w:rPr>
                <w:rFonts w:hint="eastAsia" w:ascii="宋体" w:hAnsi="宋体" w:cs="宋体"/>
                <w:b w:val="0"/>
                <w:bCs/>
                <w:color w:val="auto"/>
                <w:kern w:val="0"/>
                <w:szCs w:val="21"/>
                <w:lang w:val="en-US" w:eastAsia="zh-CN"/>
              </w:rPr>
              <w:t>柜要求</w:t>
            </w:r>
            <w:r>
              <w:rPr>
                <w:rFonts w:hint="eastAsia"/>
                <w:color w:val="auto"/>
                <w:lang w:eastAsia="zh-CN"/>
              </w:rPr>
              <w:t>）：</w:t>
            </w:r>
          </w:p>
          <w:p>
            <w:pPr>
              <w:widowControl/>
              <w:jc w:val="left"/>
              <w:rPr>
                <w:rFonts w:hint="default"/>
                <w:color w:val="auto"/>
                <w:lang w:val="en-US" w:eastAsia="zh-CN"/>
              </w:rPr>
            </w:pPr>
            <w:r>
              <w:rPr>
                <w:rFonts w:hint="eastAsia"/>
                <w:color w:val="auto"/>
                <w:lang w:val="en-US" w:eastAsia="zh-CN"/>
              </w:rPr>
              <w:t>1、水槽台台面板</w:t>
            </w:r>
            <w:r>
              <w:rPr>
                <w:rFonts w:hint="eastAsia"/>
                <w:color w:val="auto"/>
                <w:lang w:eastAsia="zh-CN"/>
              </w:rPr>
              <w:t>（同理实一体教学实验台</w:t>
            </w:r>
            <w:r>
              <w:rPr>
                <w:rFonts w:hint="eastAsia"/>
                <w:color w:val="auto"/>
                <w:lang w:val="en-US" w:eastAsia="zh-CN"/>
              </w:rPr>
              <w:t>要求</w:t>
            </w:r>
            <w:r>
              <w:rPr>
                <w:rFonts w:hint="eastAsia"/>
                <w:color w:val="auto"/>
                <w:lang w:eastAsia="zh-CN"/>
              </w:rPr>
              <w:t>）；</w:t>
            </w:r>
          </w:p>
          <w:p>
            <w:pPr>
              <w:widowControl/>
              <w:jc w:val="left"/>
              <w:rPr>
                <w:rFonts w:hint="eastAsia"/>
                <w:color w:val="auto"/>
                <w:lang w:eastAsia="zh-CN"/>
              </w:rPr>
            </w:pPr>
            <w:r>
              <w:rPr>
                <w:rFonts w:hint="eastAsia"/>
                <w:color w:val="auto"/>
                <w:lang w:val="en-US" w:eastAsia="zh-CN"/>
              </w:rPr>
              <w:t>2</w:t>
            </w:r>
            <w:r>
              <w:rPr>
                <w:rFonts w:hint="eastAsia"/>
                <w:color w:val="auto"/>
                <w:lang w:eastAsia="zh-CN"/>
              </w:rPr>
              <w:t>、水槽台柜体（同理实一体教学实验台</w:t>
            </w:r>
            <w:r>
              <w:rPr>
                <w:rFonts w:hint="eastAsia"/>
                <w:color w:val="auto"/>
                <w:lang w:val="en-US" w:eastAsia="zh-CN"/>
              </w:rPr>
              <w:t>要求</w:t>
            </w:r>
            <w:r>
              <w:rPr>
                <w:rFonts w:hint="eastAsia"/>
                <w:color w:val="auto"/>
                <w:lang w:eastAsia="zh-CN"/>
              </w:rPr>
              <w:t>）；</w:t>
            </w:r>
          </w:p>
          <w:p>
            <w:pPr>
              <w:pStyle w:val="2"/>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3、配置实验室专用PP水槽及三口水龙头</w:t>
            </w:r>
            <w:r>
              <w:rPr>
                <w:rFonts w:hint="eastAsia" w:ascii="Times New Roman" w:hAnsi="Times New Roman" w:cs="Times New Roman"/>
                <w:color w:val="auto"/>
                <w:kern w:val="2"/>
                <w:sz w:val="21"/>
                <w:szCs w:val="24"/>
                <w:lang w:val="en-US" w:eastAsia="zh-CN" w:bidi="ar-SA"/>
              </w:rPr>
              <w:t>及上下水配件各1套</w:t>
            </w:r>
            <w:r>
              <w:rPr>
                <w:rFonts w:hint="eastAsia" w:ascii="Times New Roman" w:hAnsi="Times New Roman" w:eastAsia="宋体" w:cs="Times New Roman"/>
                <w:color w:val="auto"/>
                <w:kern w:val="2"/>
                <w:sz w:val="21"/>
                <w:szCs w:val="24"/>
                <w:lang w:val="en-US" w:eastAsia="zh-CN" w:bidi="ar-SA"/>
              </w:rPr>
              <w:t>；</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3</w:t>
            </w:r>
          </w:p>
        </w:tc>
        <w:tc>
          <w:tcPr>
            <w:tcW w:w="750" w:type="dxa"/>
            <w:noWrap w:val="0"/>
            <w:vAlign w:val="center"/>
          </w:tcPr>
          <w:p>
            <w:pPr>
              <w:keepNext w:val="0"/>
              <w:keepLines w:val="0"/>
              <w:widowControl/>
              <w:suppressLineNumbers w:val="0"/>
              <w:jc w:val="center"/>
              <w:textAlignment w:val="center"/>
              <w:rPr>
                <w:rFonts w:hint="default" w:ascii="宋体" w:hAnsi="宋体" w:cs="宋体"/>
                <w:b w:val="0"/>
                <w:bCs/>
                <w:color w:val="auto"/>
                <w:kern w:val="0"/>
                <w:sz w:val="21"/>
                <w:szCs w:val="21"/>
                <w:lang w:val="en-US" w:eastAsia="zh-CN"/>
              </w:rPr>
            </w:pPr>
            <w:r>
              <w:rPr>
                <w:rFonts w:hint="eastAsia" w:ascii="宋体" w:hAnsi="宋体" w:cs="宋体"/>
                <w:b w:val="0"/>
                <w:bCs/>
                <w:color w:val="auto"/>
                <w:kern w:val="0"/>
                <w:szCs w:val="21"/>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3</w:t>
            </w:r>
          </w:p>
        </w:tc>
        <w:tc>
          <w:tcPr>
            <w:tcW w:w="810" w:type="dxa"/>
            <w:noWrap w:val="0"/>
            <w:vAlign w:val="center"/>
          </w:tcPr>
          <w:p>
            <w:pPr>
              <w:widowControl/>
              <w:jc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eastAsia="zh-CN"/>
              </w:rPr>
              <w:t>水电改造、</w:t>
            </w:r>
            <w:r>
              <w:rPr>
                <w:rFonts w:hint="eastAsia" w:ascii="宋体" w:hAnsi="宋体" w:cs="宋体"/>
                <w:b w:val="0"/>
                <w:bCs/>
                <w:color w:val="auto"/>
                <w:kern w:val="0"/>
                <w:szCs w:val="21"/>
                <w:lang w:val="en-US" w:eastAsia="zh-CN"/>
              </w:rPr>
              <w:t>墙面刷新等</w:t>
            </w:r>
          </w:p>
        </w:tc>
        <w:tc>
          <w:tcPr>
            <w:tcW w:w="7440" w:type="dxa"/>
            <w:noWrap w:val="0"/>
            <w:vAlign w:val="center"/>
          </w:tcPr>
          <w:p>
            <w:pPr>
              <w:widowControl/>
              <w:jc w:val="left"/>
              <w:rPr>
                <w:rFonts w:hint="eastAsia"/>
                <w:lang w:val="en-US" w:eastAsia="zh-CN"/>
              </w:rPr>
            </w:pPr>
            <w:r>
              <w:rPr>
                <w:rFonts w:hint="eastAsia"/>
                <w:lang w:val="en-US" w:eastAsia="zh-CN"/>
              </w:rPr>
              <w:t>1、给水安装，进水需从卫生间重新安装水管引至指定位置，含三角阀及水管，PPR上水管道等所有施工改造材料；</w:t>
            </w:r>
          </w:p>
          <w:p>
            <w:pPr>
              <w:widowControl/>
              <w:jc w:val="left"/>
              <w:rPr>
                <w:rFonts w:hint="eastAsia"/>
                <w:lang w:val="en-US" w:eastAsia="zh-CN"/>
              </w:rPr>
            </w:pPr>
            <w:r>
              <w:rPr>
                <w:rFonts w:hint="eastAsia"/>
                <w:lang w:val="en-US" w:eastAsia="zh-CN"/>
              </w:rPr>
              <w:t>2、三套水槽台上下水配件及安装；</w:t>
            </w:r>
          </w:p>
          <w:p>
            <w:pPr>
              <w:widowControl/>
              <w:jc w:val="left"/>
              <w:rPr>
                <w:rFonts w:hint="eastAsia"/>
                <w:lang w:val="en-US" w:eastAsia="zh-CN"/>
              </w:rPr>
            </w:pPr>
            <w:r>
              <w:rPr>
                <w:rFonts w:hint="eastAsia"/>
                <w:lang w:val="en-US" w:eastAsia="zh-CN"/>
              </w:rPr>
              <w:t>3、下水管道施工，墙面打孔排出；</w:t>
            </w:r>
          </w:p>
          <w:p>
            <w:pPr>
              <w:widowControl/>
              <w:jc w:val="left"/>
              <w:rPr>
                <w:rFonts w:hint="eastAsia"/>
                <w:lang w:val="en-US" w:eastAsia="zh-CN"/>
              </w:rPr>
            </w:pPr>
            <w:r>
              <w:rPr>
                <w:rFonts w:hint="eastAsia"/>
                <w:lang w:val="en-US" w:eastAsia="zh-CN"/>
              </w:rPr>
              <w:t>4、从配电箱用2.5平方电线穿线管至10个指定位置并安装5孔插座。</w:t>
            </w:r>
          </w:p>
          <w:p>
            <w:pPr>
              <w:widowControl/>
              <w:jc w:val="left"/>
              <w:rPr>
                <w:rFonts w:hint="eastAsia"/>
                <w:lang w:val="en-US" w:eastAsia="zh-CN"/>
              </w:rPr>
            </w:pPr>
            <w:r>
              <w:rPr>
                <w:rFonts w:hint="eastAsia"/>
                <w:lang w:val="en-US" w:eastAsia="zh-CN"/>
              </w:rPr>
              <w:t>5、墙面局部脱落、受潮部位修补，整体刷一遍乳胶漆（共约200平米）</w:t>
            </w:r>
          </w:p>
          <w:p>
            <w:pPr>
              <w:widowControl/>
              <w:jc w:val="left"/>
              <w:rPr>
                <w:rFonts w:hint="eastAsia"/>
                <w:lang w:val="en-US" w:eastAsia="zh-CN"/>
              </w:rPr>
            </w:pPr>
            <w:r>
              <w:rPr>
                <w:rFonts w:hint="eastAsia"/>
                <w:lang w:val="en-US" w:eastAsia="zh-CN"/>
              </w:rPr>
              <w:t>6、摄像头2台，并负责安装；</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7、实验室安全标识牌6-8个、急救医药包2个；</w:t>
            </w:r>
          </w:p>
          <w:p>
            <w:pPr>
              <w:pStyle w:val="2"/>
              <w:rPr>
                <w:rFonts w:hint="default"/>
                <w:color w:val="auto"/>
                <w:lang w:val="en-US" w:eastAsia="zh-CN"/>
              </w:rPr>
            </w:pPr>
            <w:r>
              <w:rPr>
                <w:rFonts w:hint="eastAsia" w:ascii="Times New Roman" w:hAnsi="Times New Roman" w:eastAsia="宋体" w:cs="Times New Roman"/>
                <w:kern w:val="2"/>
                <w:sz w:val="21"/>
                <w:szCs w:val="24"/>
                <w:lang w:val="en-US" w:eastAsia="zh-CN" w:bidi="ar-SA"/>
              </w:rPr>
              <w:t>8、窗帘2个。</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1</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4</w:t>
            </w:r>
          </w:p>
        </w:tc>
        <w:tc>
          <w:tcPr>
            <w:tcW w:w="810" w:type="dxa"/>
            <w:noWrap w:val="0"/>
            <w:vAlign w:val="center"/>
          </w:tcPr>
          <w:p>
            <w:pPr>
              <w:widowControl/>
              <w:jc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eastAsia="zh-CN"/>
              </w:rPr>
              <w:t>理实一体教学</w:t>
            </w:r>
            <w:r>
              <w:rPr>
                <w:rFonts w:hint="eastAsia" w:ascii="宋体" w:hAnsi="宋体" w:cs="宋体"/>
                <w:b w:val="0"/>
                <w:bCs/>
                <w:color w:val="auto"/>
                <w:kern w:val="0"/>
                <w:szCs w:val="21"/>
                <w:lang w:val="en-US" w:eastAsia="zh-CN"/>
              </w:rPr>
              <w:t>专</w:t>
            </w:r>
            <w:r>
              <w:rPr>
                <w:rFonts w:hint="eastAsia" w:ascii="宋体" w:hAnsi="宋体" w:cs="宋体"/>
                <w:b w:val="0"/>
                <w:bCs/>
                <w:color w:val="auto"/>
                <w:kern w:val="0"/>
                <w:szCs w:val="21"/>
                <w:lang w:eastAsia="zh-CN"/>
              </w:rPr>
              <w:t>用大屏</w:t>
            </w:r>
          </w:p>
        </w:tc>
        <w:tc>
          <w:tcPr>
            <w:tcW w:w="7440" w:type="dxa"/>
            <w:noWrap w:val="0"/>
            <w:vAlign w:val="center"/>
          </w:tcPr>
          <w:p>
            <w:pPr>
              <w:suppressAutoHyphens/>
              <w:rPr>
                <w:b/>
                <w:color w:val="auto"/>
                <w:szCs w:val="21"/>
              </w:rPr>
            </w:pPr>
            <w:bookmarkStart w:id="81" w:name="_Hlk39390710"/>
            <w:r>
              <w:rPr>
                <w:rFonts w:hint="eastAsia"/>
                <w:b/>
                <w:color w:val="auto"/>
                <w:szCs w:val="21"/>
              </w:rPr>
              <w:t>一、显示屏参数：</w:t>
            </w:r>
          </w:p>
          <w:p>
            <w:pPr>
              <w:suppressAutoHyphens/>
              <w:rPr>
                <w:color w:val="auto"/>
                <w:szCs w:val="21"/>
              </w:rPr>
            </w:pPr>
            <w:r>
              <w:rPr>
                <w:rFonts w:hint="eastAsia"/>
                <w:color w:val="auto"/>
                <w:szCs w:val="21"/>
              </w:rPr>
              <w:t>1. LED液晶屏体，</w:t>
            </w:r>
            <w:r>
              <w:rPr>
                <w:rFonts w:hint="eastAsia" w:asciiTheme="minorEastAsia" w:hAnsiTheme="minorEastAsia" w:eastAsiaTheme="minorEastAsia"/>
                <w:color w:val="auto"/>
                <w:kern w:val="0"/>
                <w:szCs w:val="21"/>
              </w:rPr>
              <w:t>显示尺寸≥</w:t>
            </w:r>
            <w:r>
              <w:rPr>
                <w:rFonts w:asciiTheme="minorEastAsia" w:hAnsiTheme="minorEastAsia" w:eastAsiaTheme="minorEastAsia"/>
                <w:color w:val="auto"/>
                <w:kern w:val="0"/>
                <w:szCs w:val="21"/>
              </w:rPr>
              <w:t>65</w:t>
            </w:r>
            <w:r>
              <w:rPr>
                <w:rFonts w:hint="eastAsia" w:asciiTheme="minorEastAsia" w:hAnsiTheme="minorEastAsia" w:eastAsiaTheme="minorEastAsia"/>
                <w:color w:val="auto"/>
                <w:kern w:val="0"/>
                <w:szCs w:val="21"/>
              </w:rPr>
              <w:t>英寸，</w:t>
            </w:r>
            <w:r>
              <w:rPr>
                <w:rFonts w:hint="eastAsia"/>
                <w:color w:val="auto"/>
                <w:szCs w:val="21"/>
              </w:rPr>
              <w:t>屏幕使用IPS A级硬屏；</w:t>
            </w:r>
          </w:p>
          <w:p>
            <w:pPr>
              <w:suppressAutoHyphens/>
              <w:rPr>
                <w:color w:val="auto"/>
                <w:szCs w:val="21"/>
              </w:rPr>
            </w:pPr>
            <w:r>
              <w:rPr>
                <w:rFonts w:hint="eastAsia"/>
                <w:color w:val="auto"/>
                <w:szCs w:val="21"/>
              </w:rPr>
              <w:t>2. 背光类型：D</w:t>
            </w:r>
            <w:r>
              <w:rPr>
                <w:color w:val="auto"/>
                <w:szCs w:val="21"/>
              </w:rPr>
              <w:t>-</w:t>
            </w:r>
            <w:r>
              <w:rPr>
                <w:rFonts w:hint="eastAsia"/>
                <w:color w:val="auto"/>
                <w:szCs w:val="21"/>
              </w:rPr>
              <w:t>LED；</w:t>
            </w:r>
          </w:p>
          <w:p>
            <w:pPr>
              <w:suppressAutoHyphens/>
              <w:rPr>
                <w:color w:val="auto"/>
                <w:szCs w:val="21"/>
              </w:rPr>
            </w:pPr>
            <w:r>
              <w:rPr>
                <w:rFonts w:hint="eastAsia"/>
                <w:color w:val="auto"/>
                <w:szCs w:val="21"/>
              </w:rPr>
              <w:t>3</w:t>
            </w:r>
            <w:r>
              <w:rPr>
                <w:color w:val="auto"/>
                <w:szCs w:val="21"/>
              </w:rPr>
              <w:t xml:space="preserve">. </w:t>
            </w:r>
            <w:r>
              <w:rPr>
                <w:rFonts w:hint="eastAsia"/>
                <w:color w:val="auto"/>
                <w:szCs w:val="21"/>
              </w:rPr>
              <w:t>显示比例：16:9，产品分辨率：3840*2160，4K超高清显示，对比度：≥1</w:t>
            </w:r>
            <w:r>
              <w:rPr>
                <w:color w:val="auto"/>
                <w:szCs w:val="21"/>
              </w:rPr>
              <w:t>3</w:t>
            </w:r>
            <w:r>
              <w:rPr>
                <w:rFonts w:hint="eastAsia"/>
                <w:color w:val="auto"/>
                <w:szCs w:val="21"/>
              </w:rPr>
              <w:t>00:1；</w:t>
            </w:r>
          </w:p>
          <w:p>
            <w:pPr>
              <w:suppressAutoHyphens/>
              <w:rPr>
                <w:color w:val="auto"/>
                <w:szCs w:val="21"/>
              </w:rPr>
            </w:pPr>
            <w:r>
              <w:rPr>
                <w:rFonts w:hint="eastAsia"/>
                <w:color w:val="auto"/>
                <w:szCs w:val="21"/>
              </w:rPr>
              <w:t>3. 可视角度：178°（H）/178°（V）；</w:t>
            </w:r>
          </w:p>
          <w:p>
            <w:pPr>
              <w:suppressAutoHyphens/>
              <w:rPr>
                <w:color w:val="auto"/>
                <w:szCs w:val="21"/>
              </w:rPr>
            </w:pPr>
            <w:r>
              <w:rPr>
                <w:rFonts w:hint="eastAsia"/>
                <w:color w:val="auto"/>
                <w:szCs w:val="21"/>
              </w:rPr>
              <w:t>4. 亮度：≥4</w:t>
            </w:r>
            <w:r>
              <w:rPr>
                <w:color w:val="auto"/>
                <w:szCs w:val="21"/>
              </w:rPr>
              <w:t>5</w:t>
            </w:r>
            <w:r>
              <w:rPr>
                <w:rFonts w:hint="eastAsia"/>
                <w:color w:val="auto"/>
                <w:szCs w:val="21"/>
              </w:rPr>
              <w:t>0cd/㎡，使用寿命≥30000hrs</w:t>
            </w:r>
            <w:bookmarkEnd w:id="81"/>
            <w:r>
              <w:rPr>
                <w:rFonts w:hint="eastAsia"/>
                <w:color w:val="auto"/>
                <w:szCs w:val="21"/>
              </w:rPr>
              <w:t>；</w:t>
            </w:r>
          </w:p>
          <w:p>
            <w:pPr>
              <w:suppressAutoHyphens/>
              <w:rPr>
                <w:color w:val="auto"/>
                <w:szCs w:val="21"/>
              </w:rPr>
            </w:pPr>
            <w:r>
              <w:rPr>
                <w:rFonts w:hint="eastAsia"/>
                <w:color w:val="auto"/>
                <w:szCs w:val="21"/>
              </w:rPr>
              <w:t>5. 屏幕显示灰度分辨率等级达到128灰阶以上，最高可达256；【提供具有CNAS标识的检测报告复印件】</w:t>
            </w:r>
          </w:p>
          <w:p>
            <w:pPr>
              <w:suppressAutoHyphens/>
              <w:rPr>
                <w:rFonts w:ascii="宋体" w:hAnsi="宋体"/>
                <w:b/>
                <w:color w:val="auto"/>
                <w:szCs w:val="21"/>
              </w:rPr>
            </w:pPr>
            <w:r>
              <w:rPr>
                <w:rFonts w:hint="eastAsia" w:ascii="宋体" w:hAnsi="宋体"/>
                <w:b/>
                <w:color w:val="auto"/>
                <w:szCs w:val="21"/>
              </w:rPr>
              <w:t>二、整机规格参数：</w:t>
            </w:r>
          </w:p>
          <w:p>
            <w:pPr>
              <w:suppressAutoHyphens/>
              <w:rPr>
                <w:color w:val="auto"/>
                <w:szCs w:val="21"/>
              </w:rPr>
            </w:pPr>
            <w:r>
              <w:rPr>
                <w:rFonts w:hint="eastAsia"/>
                <w:color w:val="auto"/>
                <w:szCs w:val="21"/>
              </w:rPr>
              <w:t>1. 铝合金等边圆弧窄边框设计，铝氧化处理</w:t>
            </w:r>
            <w:bookmarkStart w:id="82" w:name="_Hlk39392225"/>
            <w:r>
              <w:rPr>
                <w:rFonts w:hint="eastAsia"/>
                <w:color w:val="auto"/>
                <w:szCs w:val="21"/>
              </w:rPr>
              <w:t>，显示面积占比8</w:t>
            </w:r>
            <w:r>
              <w:rPr>
                <w:color w:val="auto"/>
                <w:szCs w:val="21"/>
              </w:rPr>
              <w:t>5</w:t>
            </w:r>
            <w:r>
              <w:rPr>
                <w:rFonts w:hint="eastAsia"/>
                <w:color w:val="auto"/>
                <w:szCs w:val="21"/>
              </w:rPr>
              <w:t>%以上</w:t>
            </w:r>
            <w:bookmarkEnd w:id="82"/>
            <w:r>
              <w:rPr>
                <w:rFonts w:hint="eastAsia"/>
                <w:color w:val="auto"/>
                <w:szCs w:val="21"/>
              </w:rPr>
              <w:t>；</w:t>
            </w:r>
          </w:p>
          <w:p>
            <w:pPr>
              <w:numPr>
                <w:ilvl w:val="0"/>
                <w:numId w:val="3"/>
              </w:numPr>
              <w:suppressAutoHyphens/>
              <w:rPr>
                <w:color w:val="auto"/>
                <w:szCs w:val="21"/>
              </w:rPr>
            </w:pPr>
            <w:bookmarkStart w:id="83" w:name="_Hlk39392256"/>
            <w:r>
              <w:rPr>
                <w:rFonts w:hint="eastAsia"/>
                <w:color w:val="auto"/>
                <w:szCs w:val="21"/>
              </w:rPr>
              <w:t>四等边框设计，整机正面无任何外部接口，保证产品正面的简洁性；</w:t>
            </w:r>
          </w:p>
          <w:bookmarkEnd w:id="83"/>
          <w:p>
            <w:pPr>
              <w:suppressAutoHyphens/>
              <w:rPr>
                <w:color w:val="auto"/>
                <w:szCs w:val="21"/>
              </w:rPr>
            </w:pPr>
            <w:r>
              <w:rPr>
                <w:rFonts w:hint="eastAsia"/>
                <w:color w:val="auto"/>
                <w:szCs w:val="21"/>
              </w:rPr>
              <w:t>3. 超薄超窄外观，整机最薄位置</w:t>
            </w:r>
            <w:r>
              <w:rPr>
                <w:rFonts w:hint="eastAsia" w:ascii="宋体" w:hAnsi="宋体" w:eastAsia="宋体" w:cs="Times New Roman"/>
                <w:color w:val="auto"/>
                <w:kern w:val="2"/>
                <w:sz w:val="24"/>
                <w:szCs w:val="24"/>
                <w:lang w:val="en-US" w:eastAsia="zh-CN" w:bidi="ar-SA"/>
              </w:rPr>
              <w:t>约</w:t>
            </w:r>
            <w:r>
              <w:rPr>
                <w:rFonts w:hint="eastAsia"/>
                <w:color w:val="auto"/>
                <w:szCs w:val="21"/>
              </w:rPr>
              <w:t>26mm；</w:t>
            </w:r>
          </w:p>
          <w:p>
            <w:pPr>
              <w:suppressAutoHyphens/>
              <w:rPr>
                <w:color w:val="auto"/>
                <w:szCs w:val="21"/>
              </w:rPr>
            </w:pPr>
            <w:r>
              <w:rPr>
                <w:rFonts w:hint="eastAsia"/>
                <w:color w:val="auto"/>
                <w:szCs w:val="21"/>
              </w:rPr>
              <w:t>4、采用一体化设计，支持一键开机，除电源线外，外部无任何内部功能模块的连接线；</w:t>
            </w:r>
          </w:p>
          <w:p>
            <w:pPr>
              <w:suppressAutoHyphens/>
              <w:rPr>
                <w:color w:val="auto"/>
                <w:szCs w:val="21"/>
              </w:rPr>
            </w:pPr>
            <w:r>
              <w:rPr>
                <w:rFonts w:hint="eastAsia"/>
                <w:color w:val="auto"/>
                <w:szCs w:val="21"/>
              </w:rPr>
              <w:t>5. 整机外壳采用铝型材设计，抗撞抗划抗腐蚀，降低使用过程中的损坏，散热性能良好，且转角处采用弧形无尖锐边缘连接；</w:t>
            </w:r>
          </w:p>
          <w:p>
            <w:pPr>
              <w:suppressAutoHyphens/>
              <w:rPr>
                <w:color w:val="auto"/>
                <w:szCs w:val="21"/>
              </w:rPr>
            </w:pPr>
            <w:r>
              <w:rPr>
                <w:rFonts w:hint="eastAsia"/>
                <w:color w:val="auto"/>
                <w:szCs w:val="21"/>
              </w:rPr>
              <w:t>6. 高精度红外触摸框，最高支持二十点触控，触控分辨率32768*32768；</w:t>
            </w:r>
            <w:r>
              <w:rPr>
                <w:rFonts w:hint="eastAsia"/>
                <w:color w:val="auto"/>
                <w:szCs w:val="21"/>
              </w:rPr>
              <w:br w:type="textWrapping"/>
            </w:r>
            <w:r>
              <w:rPr>
                <w:rFonts w:hint="eastAsia"/>
                <w:color w:val="auto"/>
                <w:szCs w:val="21"/>
              </w:rPr>
              <w:t>7. 环境适应：工作温度0℃~40℃，储藏温度-10℃~60℃，工作湿度20%~80%，储藏湿度10%~80%；</w:t>
            </w:r>
          </w:p>
          <w:p>
            <w:pPr>
              <w:suppressAutoHyphens/>
              <w:rPr>
                <w:color w:val="auto"/>
                <w:szCs w:val="21"/>
              </w:rPr>
            </w:pPr>
            <w:r>
              <w:rPr>
                <w:rFonts w:hint="eastAsia"/>
                <w:color w:val="auto"/>
                <w:szCs w:val="21"/>
              </w:rPr>
              <w:t>8. 宽幅电压设计，自适用全球，确保电压不稳定区域安全使用；</w:t>
            </w:r>
          </w:p>
          <w:p>
            <w:pPr>
              <w:suppressAutoHyphens/>
              <w:rPr>
                <w:color w:val="auto"/>
                <w:szCs w:val="21"/>
              </w:rPr>
            </w:pPr>
            <w:r>
              <w:rPr>
                <w:rFonts w:hint="eastAsia"/>
                <w:color w:val="auto"/>
                <w:szCs w:val="21"/>
              </w:rPr>
              <w:t>9. 整机表面采用4mm防爆防眩光钢化玻璃，莫式7级硬度，可承受1kg钢球1.5m高度自由下落撞击玻璃表面无损伤破裂，确保使用安全</w:t>
            </w:r>
            <w:bookmarkStart w:id="84" w:name="_Hlk39393106"/>
            <w:r>
              <w:rPr>
                <w:rFonts w:hint="eastAsia"/>
                <w:color w:val="auto"/>
                <w:szCs w:val="21"/>
              </w:rPr>
              <w:t>【提供具有CNAS标识的检测报告复印件】；</w:t>
            </w:r>
          </w:p>
          <w:bookmarkEnd w:id="84"/>
          <w:p>
            <w:pPr>
              <w:suppressAutoHyphens/>
              <w:rPr>
                <w:color w:val="auto"/>
                <w:szCs w:val="21"/>
              </w:rPr>
            </w:pPr>
            <w:bookmarkStart w:id="85" w:name="_Hlk39393235"/>
            <w:r>
              <w:rPr>
                <w:rFonts w:hint="eastAsia"/>
                <w:color w:val="auto"/>
                <w:szCs w:val="21"/>
              </w:rPr>
              <w:t>10. 整机具备防强光干扰性能，整机面板表面具备防眩光涂层，在100K LUX的强光照射下，产品各项书写、触控功能正常；【提供具有CNAS标识的检测报告复印件】</w:t>
            </w:r>
          </w:p>
          <w:bookmarkEnd w:id="85"/>
          <w:p>
            <w:pPr>
              <w:numPr>
                <w:ilvl w:val="0"/>
                <w:numId w:val="4"/>
              </w:numPr>
              <w:suppressAutoHyphens/>
              <w:rPr>
                <w:color w:val="auto"/>
                <w:szCs w:val="21"/>
              </w:rPr>
            </w:pPr>
            <w:r>
              <w:rPr>
                <w:rFonts w:hint="eastAsia"/>
                <w:color w:val="auto"/>
                <w:szCs w:val="21"/>
              </w:rPr>
              <w:t>产品符合4级防雷要求，符合GB/T 17606.2-2018防静电干扰要求，符合GB/T 9254-2008  防辐射B级要求，设备外壳金属表面防腐蚀，整机具备防火功能</w:t>
            </w:r>
            <w:bookmarkStart w:id="86" w:name="_Hlk39393352"/>
            <w:r>
              <w:rPr>
                <w:rFonts w:hint="eastAsia"/>
                <w:color w:val="auto"/>
                <w:szCs w:val="21"/>
              </w:rPr>
              <w:t>【提供具有CNAS标识的检测报告复印件】；</w:t>
            </w:r>
            <w:bookmarkEnd w:id="86"/>
          </w:p>
          <w:p>
            <w:pPr>
              <w:numPr>
                <w:ilvl w:val="0"/>
                <w:numId w:val="4"/>
              </w:numPr>
              <w:suppressAutoHyphens/>
              <w:rPr>
                <w:color w:val="auto"/>
                <w:szCs w:val="21"/>
              </w:rPr>
            </w:pPr>
            <w:r>
              <w:rPr>
                <w:rFonts w:hint="eastAsia"/>
                <w:color w:val="auto"/>
                <w:szCs w:val="21"/>
              </w:rPr>
              <w:t>节能低功耗，整机最大功率（不带OPS）≤</w:t>
            </w:r>
            <w:r>
              <w:rPr>
                <w:color w:val="auto"/>
                <w:szCs w:val="21"/>
              </w:rPr>
              <w:t>170</w:t>
            </w:r>
            <w:r>
              <w:rPr>
                <w:rFonts w:hint="eastAsia"/>
                <w:color w:val="auto"/>
                <w:szCs w:val="21"/>
              </w:rPr>
              <w:t>W，待机功耗&lt;0.5W；</w:t>
            </w:r>
          </w:p>
          <w:p>
            <w:pPr>
              <w:suppressAutoHyphens/>
              <w:rPr>
                <w:color w:val="auto"/>
                <w:szCs w:val="21"/>
              </w:rPr>
            </w:pPr>
            <w:r>
              <w:rPr>
                <w:rFonts w:hint="eastAsia"/>
                <w:color w:val="auto"/>
                <w:szCs w:val="21"/>
              </w:rPr>
              <w:t>13. 音响下置，内置输出功率2*15W音响，四组扬声器，60HZ-10KHZ宽频域；</w:t>
            </w:r>
          </w:p>
          <w:p>
            <w:pPr>
              <w:suppressAutoHyphens/>
              <w:rPr>
                <w:color w:val="auto"/>
                <w:szCs w:val="21"/>
              </w:rPr>
            </w:pPr>
            <w:r>
              <w:rPr>
                <w:rFonts w:hint="eastAsia"/>
                <w:color w:val="auto"/>
                <w:szCs w:val="21"/>
              </w:rPr>
              <w:t>14. 视频解码支持图像运动降噪，运动自适应滤波等；</w:t>
            </w:r>
          </w:p>
          <w:p>
            <w:pPr>
              <w:suppressAutoHyphens/>
              <w:rPr>
                <w:color w:val="auto"/>
                <w:szCs w:val="21"/>
              </w:rPr>
            </w:pPr>
            <w:bookmarkStart w:id="87" w:name="_Hlk39393831"/>
            <w:r>
              <w:rPr>
                <w:rFonts w:hint="eastAsia"/>
                <w:color w:val="auto"/>
                <w:szCs w:val="21"/>
              </w:rPr>
              <w:t>15. 高清图像处理引擎：图像运动补偿，色彩增强处理，点对点精显技术；</w:t>
            </w:r>
          </w:p>
          <w:bookmarkEnd w:id="87"/>
          <w:p>
            <w:pPr>
              <w:suppressAutoHyphens/>
              <w:rPr>
                <w:color w:val="auto"/>
                <w:szCs w:val="21"/>
              </w:rPr>
            </w:pPr>
            <w:r>
              <w:rPr>
                <w:rFonts w:hint="eastAsia"/>
                <w:color w:val="auto"/>
                <w:szCs w:val="21"/>
              </w:rPr>
              <w:t xml:space="preserve">16. </w:t>
            </w:r>
            <w:bookmarkStart w:id="88" w:name="_Hlk39393742"/>
            <w:r>
              <w:rPr>
                <w:rFonts w:hint="eastAsia"/>
                <w:color w:val="auto"/>
                <w:szCs w:val="21"/>
              </w:rPr>
              <w:t>触摸禁用：可以实现触摸禁用功能，不仅是一台会议平板，更能成为一台电子广告牌，满足各种宣传展示功能；【提供具有CNAS标识的检测报告复印件】</w:t>
            </w:r>
            <w:bookmarkEnd w:id="88"/>
          </w:p>
          <w:p>
            <w:pPr>
              <w:suppressAutoHyphens/>
              <w:rPr>
                <w:color w:val="auto"/>
                <w:szCs w:val="21"/>
              </w:rPr>
            </w:pPr>
            <w:r>
              <w:rPr>
                <w:rFonts w:hint="eastAsia"/>
                <w:color w:val="auto"/>
                <w:szCs w:val="21"/>
              </w:rPr>
              <w:t>17. 产品自动识别外部接入型号，无需操作，接入信号可自动切换当前信号通道，并可手动关闭自动切换通道；</w:t>
            </w:r>
          </w:p>
          <w:p>
            <w:pPr>
              <w:suppressAutoHyphens/>
              <w:rPr>
                <w:color w:val="auto"/>
                <w:szCs w:val="21"/>
              </w:rPr>
            </w:pPr>
            <w:r>
              <w:rPr>
                <w:rFonts w:hint="eastAsia"/>
                <w:color w:val="auto"/>
                <w:szCs w:val="21"/>
              </w:rPr>
              <w:t>18. 一键息屏：产品短时间不使用或休息时可以一键关闭液晶屏背光，有效降低功耗超过85%</w:t>
            </w:r>
            <w:bookmarkStart w:id="89" w:name="_Hlk39401131"/>
            <w:bookmarkStart w:id="90" w:name="_Hlk39393942"/>
            <w:r>
              <w:rPr>
                <w:rFonts w:hint="eastAsia"/>
                <w:color w:val="auto"/>
                <w:szCs w:val="21"/>
              </w:rPr>
              <w:t>【提供具有CNAS标识的检测报告复印件】</w:t>
            </w:r>
            <w:bookmarkEnd w:id="89"/>
            <w:r>
              <w:rPr>
                <w:rFonts w:hint="eastAsia"/>
                <w:color w:val="auto"/>
                <w:szCs w:val="21"/>
              </w:rPr>
              <w:t>；</w:t>
            </w:r>
            <w:bookmarkEnd w:id="90"/>
            <w:r>
              <w:rPr>
                <w:rFonts w:hint="eastAsia"/>
                <w:color w:val="auto"/>
                <w:szCs w:val="21"/>
              </w:rPr>
              <w:br w:type="textWrapping"/>
            </w:r>
            <w:r>
              <w:rPr>
                <w:rFonts w:hint="eastAsia"/>
                <w:color w:val="auto"/>
                <w:szCs w:val="21"/>
              </w:rPr>
              <w:t>19. 安卓系统采用新一代机芯，Cortex A73+A53四核CPU（主频1.5GHZ以上），Mali-G51 GPU，RAM≥3G，ROM≥32G的硬件配置</w:t>
            </w:r>
            <w:bookmarkStart w:id="91" w:name="_Hlk39402176"/>
            <w:r>
              <w:rPr>
                <w:rFonts w:hint="eastAsia"/>
                <w:color w:val="auto"/>
                <w:szCs w:val="21"/>
              </w:rPr>
              <w:t>【提供产品彩页】</w:t>
            </w:r>
            <w:bookmarkEnd w:id="91"/>
            <w:r>
              <w:rPr>
                <w:rFonts w:hint="eastAsia"/>
                <w:color w:val="auto"/>
                <w:szCs w:val="21"/>
              </w:rPr>
              <w:t>；</w:t>
            </w:r>
          </w:p>
          <w:p>
            <w:pPr>
              <w:tabs>
                <w:tab w:val="left" w:pos="353"/>
              </w:tabs>
              <w:suppressAutoHyphens/>
              <w:rPr>
                <w:color w:val="auto"/>
                <w:szCs w:val="21"/>
              </w:rPr>
            </w:pPr>
            <w:r>
              <w:rPr>
                <w:rFonts w:hint="eastAsia"/>
                <w:color w:val="auto"/>
                <w:szCs w:val="21"/>
              </w:rPr>
              <w:t>20. 采用Andriod8.0触控大屏操作系统，支持多任务分屏协作一屏双显功能；【提供具有CNAS标识的检测报告复印件】</w:t>
            </w:r>
          </w:p>
          <w:p>
            <w:pPr>
              <w:suppressAutoHyphens/>
              <w:rPr>
                <w:color w:val="auto"/>
                <w:szCs w:val="21"/>
              </w:rPr>
            </w:pPr>
            <w:r>
              <w:rPr>
                <w:rFonts w:hint="eastAsia"/>
                <w:color w:val="auto"/>
                <w:szCs w:val="21"/>
              </w:rPr>
              <w:t>21. 整机内置无线WIFI模组，双WIFI设定，共模双频，一路作为WIFI连接网络，另一路作为热点投屏，且两路WIFI支持2.4G/5.8G双频段。整机内置隐藏天线，无外置显露天线，保证使用安全；</w:t>
            </w:r>
          </w:p>
          <w:p>
            <w:pPr>
              <w:suppressAutoHyphens/>
              <w:rPr>
                <w:color w:val="auto"/>
                <w:szCs w:val="21"/>
              </w:rPr>
            </w:pPr>
            <w:r>
              <w:rPr>
                <w:rFonts w:hint="eastAsia"/>
                <w:color w:val="auto"/>
                <w:szCs w:val="21"/>
              </w:rPr>
              <w:t>22. 双网口设计，支持网络桥接功能，可以为下一级设备提供网络，在高保密场合无需外接其他网络设备【提供具有CNAS标识的检测报告复印件】；</w:t>
            </w:r>
          </w:p>
          <w:p>
            <w:pPr>
              <w:suppressAutoHyphens/>
              <w:rPr>
                <w:color w:val="auto"/>
                <w:szCs w:val="21"/>
              </w:rPr>
            </w:pPr>
            <w:bookmarkStart w:id="92" w:name="_Hlk39394052"/>
            <w:r>
              <w:rPr>
                <w:rFonts w:hint="eastAsia"/>
                <w:color w:val="auto"/>
                <w:szCs w:val="21"/>
              </w:rPr>
              <w:t>23. 支持网络共享，通过一根网线连接到整机，可以实现Android系统和Windows系统都上网；</w:t>
            </w:r>
          </w:p>
          <w:bookmarkEnd w:id="92"/>
          <w:p>
            <w:pPr>
              <w:suppressAutoHyphens/>
              <w:rPr>
                <w:color w:val="auto"/>
                <w:szCs w:val="21"/>
              </w:rPr>
            </w:pPr>
            <w:r>
              <w:rPr>
                <w:rFonts w:hint="eastAsia"/>
                <w:color w:val="auto"/>
                <w:szCs w:val="21"/>
              </w:rPr>
              <w:t>24. 个性化设置，可根据企业需求自定义开机画面，满足个性化场景需求</w:t>
            </w:r>
            <w:bookmarkStart w:id="93" w:name="_Hlk39401360"/>
            <w:r>
              <w:rPr>
                <w:rFonts w:hint="eastAsia"/>
                <w:color w:val="auto"/>
                <w:szCs w:val="21"/>
              </w:rPr>
              <w:t>【提供具有CNAS标识的检测报告复印件】</w:t>
            </w:r>
            <w:bookmarkEnd w:id="93"/>
            <w:r>
              <w:rPr>
                <w:rFonts w:hint="eastAsia"/>
                <w:color w:val="auto"/>
                <w:szCs w:val="21"/>
              </w:rPr>
              <w:t>；</w:t>
            </w:r>
          </w:p>
          <w:p>
            <w:pPr>
              <w:suppressAutoHyphens/>
              <w:rPr>
                <w:color w:val="auto"/>
                <w:szCs w:val="21"/>
              </w:rPr>
            </w:pPr>
            <w:r>
              <w:rPr>
                <w:rFonts w:hint="eastAsia"/>
                <w:color w:val="auto"/>
                <w:szCs w:val="21"/>
              </w:rPr>
              <w:t>25. 多屏扩展显示：实现信号环接功能，支持全通道画面输出，将画面信号传输到多设备上显示，支持拼接屏、小间距配合使用；</w:t>
            </w:r>
          </w:p>
          <w:p>
            <w:pPr>
              <w:suppressAutoHyphens/>
              <w:rPr>
                <w:color w:val="auto"/>
                <w:szCs w:val="21"/>
              </w:rPr>
            </w:pPr>
            <w:r>
              <w:rPr>
                <w:rFonts w:hint="eastAsia"/>
                <w:color w:val="auto"/>
                <w:szCs w:val="21"/>
              </w:rPr>
              <w:t>26. 整机支持蓝牙功能，通过外接蓝牙设备实现蓝牙传输</w:t>
            </w:r>
            <w:bookmarkStart w:id="94" w:name="_Hlk39402038"/>
            <w:r>
              <w:rPr>
                <w:rFonts w:hint="eastAsia"/>
                <w:color w:val="auto"/>
                <w:szCs w:val="21"/>
              </w:rPr>
              <w:t>【提供具有CNAS标识的检测报告复印件】</w:t>
            </w:r>
            <w:bookmarkEnd w:id="94"/>
            <w:r>
              <w:rPr>
                <w:rFonts w:hint="eastAsia"/>
                <w:color w:val="auto"/>
                <w:szCs w:val="21"/>
              </w:rPr>
              <w:t>；</w:t>
            </w:r>
          </w:p>
          <w:p>
            <w:pPr>
              <w:suppressAutoHyphens/>
              <w:rPr>
                <w:b/>
                <w:color w:val="auto"/>
                <w:szCs w:val="21"/>
              </w:rPr>
            </w:pPr>
            <w:r>
              <w:rPr>
                <w:rFonts w:hint="eastAsia"/>
                <w:b/>
                <w:color w:val="auto"/>
                <w:szCs w:val="21"/>
              </w:rPr>
              <w:t>三、触摸参数：</w:t>
            </w:r>
          </w:p>
          <w:p>
            <w:pPr>
              <w:suppressAutoHyphens/>
              <w:rPr>
                <w:color w:val="auto"/>
                <w:szCs w:val="21"/>
              </w:rPr>
            </w:pPr>
            <w:r>
              <w:rPr>
                <w:rFonts w:hint="eastAsia"/>
                <w:color w:val="auto"/>
                <w:szCs w:val="21"/>
              </w:rPr>
              <w:t>1.</w:t>
            </w:r>
            <w:bookmarkStart w:id="95" w:name="_Hlk39394142"/>
            <w:r>
              <w:rPr>
                <w:rFonts w:hint="eastAsia"/>
                <w:color w:val="auto"/>
                <w:szCs w:val="21"/>
              </w:rPr>
              <w:t xml:space="preserve"> </w:t>
            </w:r>
            <w:bookmarkEnd w:id="95"/>
            <w:r>
              <w:rPr>
                <w:rFonts w:hint="eastAsia"/>
                <w:color w:val="auto"/>
                <w:szCs w:val="21"/>
              </w:rPr>
              <w:t>触控书写技术：采用20点红外触控技术，Windows支持20点触控【提供具有CNAS标识的检测报告复印件】；</w:t>
            </w:r>
          </w:p>
          <w:p>
            <w:pPr>
              <w:suppressAutoHyphens/>
              <w:rPr>
                <w:color w:val="auto"/>
                <w:szCs w:val="21"/>
              </w:rPr>
            </w:pPr>
            <w:r>
              <w:rPr>
                <w:rFonts w:hint="eastAsia"/>
                <w:color w:val="auto"/>
                <w:szCs w:val="21"/>
              </w:rPr>
              <w:t>2. 书写方式：手指或笔等不透光的物体；免驱动，免校正红外技术，即插即用；</w:t>
            </w:r>
          </w:p>
          <w:p>
            <w:pPr>
              <w:suppressAutoHyphens/>
              <w:rPr>
                <w:color w:val="auto"/>
                <w:szCs w:val="21"/>
              </w:rPr>
            </w:pPr>
            <w:r>
              <w:rPr>
                <w:rFonts w:hint="eastAsia"/>
                <w:color w:val="auto"/>
                <w:szCs w:val="21"/>
              </w:rPr>
              <w:t xml:space="preserve">3. </w:t>
            </w:r>
            <w:bookmarkStart w:id="96" w:name="_Hlk39394214"/>
            <w:r>
              <w:rPr>
                <w:rFonts w:hint="eastAsia"/>
                <w:color w:val="auto"/>
                <w:szCs w:val="21"/>
              </w:rPr>
              <w:t>触摸响应时间≤</w:t>
            </w:r>
            <w:r>
              <w:rPr>
                <w:color w:val="auto"/>
                <w:szCs w:val="21"/>
              </w:rPr>
              <w:t>10</w:t>
            </w:r>
            <w:r>
              <w:rPr>
                <w:rFonts w:hint="eastAsia"/>
                <w:color w:val="auto"/>
                <w:szCs w:val="21"/>
              </w:rPr>
              <w:t>ms，90%以上触摸区域精度为±1mm，触摸有效识别高度≤2mm；【提供具有CNAS标识的检测报告复印件】；</w:t>
            </w:r>
            <w:bookmarkEnd w:id="96"/>
          </w:p>
          <w:p>
            <w:pPr>
              <w:suppressAutoHyphens/>
              <w:rPr>
                <w:color w:val="auto"/>
                <w:szCs w:val="21"/>
              </w:rPr>
            </w:pPr>
            <w:r>
              <w:rPr>
                <w:rFonts w:hint="eastAsia"/>
                <w:color w:val="auto"/>
                <w:szCs w:val="21"/>
              </w:rPr>
              <w:t>4. 触摸直径：单点≥1.6mm，多点≥3mm；</w:t>
            </w:r>
          </w:p>
          <w:p>
            <w:pPr>
              <w:suppressAutoHyphens/>
              <w:rPr>
                <w:color w:val="auto"/>
                <w:szCs w:val="21"/>
              </w:rPr>
            </w:pPr>
            <w:r>
              <w:rPr>
                <w:rFonts w:hint="eastAsia"/>
                <w:color w:val="auto"/>
                <w:szCs w:val="21"/>
              </w:rPr>
              <w:t>5. 触摸框免驱，支持Windows XP，Windows7/8/10，Android，Mac/OS，Linux；</w:t>
            </w:r>
          </w:p>
          <w:p>
            <w:pPr>
              <w:suppressAutoHyphens/>
              <w:rPr>
                <w:color w:val="auto"/>
                <w:szCs w:val="21"/>
              </w:rPr>
            </w:pPr>
            <w:r>
              <w:rPr>
                <w:rFonts w:hint="eastAsia"/>
                <w:color w:val="auto"/>
                <w:szCs w:val="21"/>
              </w:rPr>
              <w:t>6. 外接电脑设备无需驱动，使用普通的Toush USB数据线就可以触控；</w:t>
            </w:r>
          </w:p>
          <w:p>
            <w:pPr>
              <w:suppressAutoHyphens/>
              <w:rPr>
                <w:color w:val="auto"/>
                <w:szCs w:val="21"/>
              </w:rPr>
            </w:pPr>
            <w:r>
              <w:rPr>
                <w:rFonts w:hint="eastAsia"/>
                <w:color w:val="auto"/>
                <w:szCs w:val="21"/>
              </w:rPr>
              <w:t>7. 理论触摸点击次数：无限次；</w:t>
            </w:r>
          </w:p>
          <w:p>
            <w:pPr>
              <w:suppressAutoHyphens/>
              <w:rPr>
                <w:b/>
                <w:color w:val="auto"/>
                <w:szCs w:val="21"/>
              </w:rPr>
            </w:pPr>
            <w:r>
              <w:rPr>
                <w:rFonts w:hint="eastAsia"/>
                <w:b/>
                <w:color w:val="auto"/>
                <w:szCs w:val="21"/>
              </w:rPr>
              <w:t>四、无线传屏参数：</w:t>
            </w:r>
          </w:p>
          <w:p>
            <w:pPr>
              <w:suppressAutoHyphens/>
              <w:rPr>
                <w:color w:val="auto"/>
                <w:szCs w:val="21"/>
              </w:rPr>
            </w:pPr>
            <w:r>
              <w:rPr>
                <w:rFonts w:hint="eastAsia"/>
                <w:color w:val="auto"/>
                <w:szCs w:val="21"/>
              </w:rPr>
              <w:t xml:space="preserve">1. 整机内部直接发射WIFI热点，无需外接设备； </w:t>
            </w:r>
          </w:p>
          <w:p>
            <w:pPr>
              <w:suppressAutoHyphens/>
              <w:rPr>
                <w:color w:val="auto"/>
                <w:szCs w:val="21"/>
              </w:rPr>
            </w:pPr>
            <w:r>
              <w:rPr>
                <w:rFonts w:hint="eastAsia"/>
                <w:color w:val="auto"/>
                <w:szCs w:val="21"/>
              </w:rPr>
              <w:t>2. 标准USB接口，支持2.4G/5.0G双频传输；</w:t>
            </w:r>
          </w:p>
          <w:p>
            <w:pPr>
              <w:suppressAutoHyphens/>
              <w:rPr>
                <w:color w:val="auto"/>
                <w:szCs w:val="21"/>
              </w:rPr>
            </w:pPr>
            <w:r>
              <w:rPr>
                <w:rFonts w:hint="eastAsia"/>
                <w:color w:val="auto"/>
                <w:szCs w:val="21"/>
              </w:rPr>
              <w:t>3. 支持操作系统：</w:t>
            </w:r>
            <w:r>
              <w:rPr>
                <w:rFonts w:hint="eastAsia" w:asciiTheme="minorEastAsia" w:hAnsiTheme="minorEastAsia" w:eastAsiaTheme="minorEastAsia" w:cstheme="minorEastAsia"/>
                <w:color w:val="auto"/>
                <w:szCs w:val="21"/>
              </w:rPr>
              <w:t>win7/win8/win10/mac OS/</w:t>
            </w:r>
            <w:r>
              <w:rPr>
                <w:rFonts w:hint="eastAsia"/>
                <w:color w:val="auto"/>
                <w:szCs w:val="21"/>
              </w:rPr>
              <w:t>Android；</w:t>
            </w:r>
          </w:p>
          <w:p>
            <w:pPr>
              <w:suppressAutoHyphens/>
              <w:rPr>
                <w:color w:val="auto"/>
                <w:szCs w:val="21"/>
              </w:rPr>
            </w:pPr>
            <w:r>
              <w:rPr>
                <w:rFonts w:hint="eastAsia"/>
                <w:color w:val="auto"/>
                <w:szCs w:val="21"/>
              </w:rPr>
              <w:t xml:space="preserve">4. </w:t>
            </w:r>
            <w:bookmarkStart w:id="97" w:name="_Hlk39394530"/>
            <w:r>
              <w:rPr>
                <w:rFonts w:hint="eastAsia"/>
                <w:color w:val="auto"/>
                <w:szCs w:val="21"/>
              </w:rPr>
              <w:t>最大4分屏支持1080P传输；</w:t>
            </w:r>
            <w:bookmarkEnd w:id="97"/>
          </w:p>
          <w:p>
            <w:pPr>
              <w:suppressAutoHyphens/>
              <w:rPr>
                <w:color w:val="auto"/>
                <w:szCs w:val="21"/>
              </w:rPr>
            </w:pPr>
            <w:r>
              <w:rPr>
                <w:rFonts w:hint="eastAsia"/>
                <w:color w:val="auto"/>
                <w:szCs w:val="21"/>
              </w:rPr>
              <w:t>5. 实现外部电脑音视频高清信号实时传输到会议平板上，并可支持触摸回传；</w:t>
            </w:r>
          </w:p>
          <w:p>
            <w:pPr>
              <w:suppressAutoHyphens/>
              <w:rPr>
                <w:color w:val="auto"/>
                <w:szCs w:val="21"/>
              </w:rPr>
            </w:pPr>
            <w:r>
              <w:rPr>
                <w:rFonts w:hint="eastAsia"/>
                <w:color w:val="auto"/>
                <w:szCs w:val="21"/>
              </w:rPr>
              <w:t>6. 手机传屏不需接任何外部设备，只需连接机器内部发射的WiFi热点即可；</w:t>
            </w:r>
          </w:p>
          <w:p>
            <w:pPr>
              <w:suppressAutoHyphens/>
              <w:rPr>
                <w:color w:val="auto"/>
                <w:szCs w:val="21"/>
              </w:rPr>
            </w:pPr>
            <w:r>
              <w:rPr>
                <w:rFonts w:hint="eastAsia"/>
                <w:color w:val="auto"/>
                <w:szCs w:val="21"/>
              </w:rPr>
              <w:t>7. 单按键设计，只需按一下同屏器即可传屏，无需在会议平板进行任何操作；</w:t>
            </w:r>
          </w:p>
          <w:p>
            <w:pPr>
              <w:suppressAutoHyphens/>
              <w:rPr>
                <w:color w:val="auto"/>
                <w:szCs w:val="21"/>
              </w:rPr>
            </w:pPr>
            <w:r>
              <w:rPr>
                <w:rFonts w:hint="eastAsia"/>
                <w:color w:val="auto"/>
                <w:szCs w:val="21"/>
              </w:rPr>
              <w:t>8. 同屏开机密码开关，实现会议的安全传输【提供具有CNAS标识的检测报告复印件】；</w:t>
            </w:r>
          </w:p>
          <w:p>
            <w:pPr>
              <w:suppressAutoHyphens/>
              <w:rPr>
                <w:color w:val="auto"/>
                <w:szCs w:val="21"/>
              </w:rPr>
            </w:pPr>
            <w:r>
              <w:rPr>
                <w:rFonts w:hint="eastAsia"/>
                <w:color w:val="auto"/>
                <w:szCs w:val="21"/>
              </w:rPr>
              <w:t xml:space="preserve">9. </w:t>
            </w:r>
            <w:bookmarkStart w:id="98" w:name="_Hlk39394641"/>
            <w:r>
              <w:rPr>
                <w:rFonts w:hint="eastAsia"/>
                <w:color w:val="auto"/>
                <w:szCs w:val="21"/>
              </w:rPr>
              <w:t>支持最多同时连接多只同屏器，可以自由选择显示画面，单屏、双屏、四分屏，适用于不同场景需求【提供具有CNAS标识的检测报告复印件】；</w:t>
            </w:r>
            <w:bookmarkEnd w:id="98"/>
          </w:p>
          <w:p>
            <w:pPr>
              <w:suppressAutoHyphens/>
              <w:rPr>
                <w:color w:val="auto"/>
                <w:szCs w:val="21"/>
              </w:rPr>
            </w:pPr>
            <w:bookmarkStart w:id="99" w:name="_Hlk39394713"/>
            <w:r>
              <w:rPr>
                <w:rFonts w:hint="eastAsia"/>
                <w:color w:val="auto"/>
                <w:szCs w:val="21"/>
              </w:rPr>
              <w:t>10. 支持同屏器插入整机USB接口，实现应用升级，固件升级，无线配对</w:t>
            </w:r>
          </w:p>
          <w:p>
            <w:pPr>
              <w:suppressAutoHyphens/>
              <w:rPr>
                <w:color w:val="auto"/>
                <w:szCs w:val="21"/>
              </w:rPr>
            </w:pPr>
            <w:r>
              <w:rPr>
                <w:rFonts w:hint="eastAsia"/>
                <w:color w:val="auto"/>
                <w:szCs w:val="21"/>
              </w:rPr>
              <w:t>11. 镜像反控：会议平板上的内容反向镜像到手持终端上，并且手机端可控制平板上的操作内容【提供具有CNAS标识的检测报告复印件】；</w:t>
            </w:r>
          </w:p>
          <w:p>
            <w:pPr>
              <w:suppressAutoHyphens/>
              <w:rPr>
                <w:color w:val="auto"/>
                <w:szCs w:val="21"/>
              </w:rPr>
            </w:pPr>
            <w:r>
              <w:rPr>
                <w:rFonts w:hint="eastAsia"/>
                <w:color w:val="auto"/>
                <w:szCs w:val="21"/>
              </w:rPr>
              <w:t>12. 无线遥控：通过同屏的遥控功能，安卓手机可作为会议平板的鼠标、遥控器、键盘、空鼠等控制操作【提供具有CNAS标识的检测报告复印件】；</w:t>
            </w:r>
          </w:p>
          <w:p>
            <w:pPr>
              <w:suppressAutoHyphens/>
              <w:rPr>
                <w:color w:val="auto"/>
                <w:szCs w:val="21"/>
              </w:rPr>
            </w:pPr>
            <w:r>
              <w:rPr>
                <w:rFonts w:hint="eastAsia"/>
                <w:color w:val="auto"/>
                <w:szCs w:val="21"/>
              </w:rPr>
              <w:t>13. 文档共享：安卓手机端可直接把文档传输给会议平板，可自动播放，并且手机端可对文件进行操作，如上下翻页、滚动等【提供具有CNAS标识的检测报告复印件】；</w:t>
            </w:r>
          </w:p>
          <w:p>
            <w:pPr>
              <w:autoSpaceDE w:val="0"/>
              <w:autoSpaceDN w:val="0"/>
              <w:adjustRightInd w:val="0"/>
              <w:jc w:val="left"/>
              <w:rPr>
                <w:color w:val="auto"/>
                <w:szCs w:val="21"/>
              </w:rPr>
            </w:pPr>
            <w:r>
              <w:rPr>
                <w:rFonts w:hint="eastAsia"/>
                <w:color w:val="auto"/>
                <w:szCs w:val="21"/>
              </w:rPr>
              <w:t>14. 同屏传输：</w:t>
            </w:r>
            <w:r>
              <w:rPr>
                <w:rFonts w:hint="eastAsia" w:ascii="宋体" w:cs="宋体" w:hAnsiTheme="minorHAnsi"/>
                <w:color w:val="auto"/>
                <w:kern w:val="0"/>
                <w:sz w:val="22"/>
                <w:szCs w:val="22"/>
              </w:rPr>
              <w:t>在演讲状态下，将手机用作于麦克风，快捷方便的发言，同时可打开摄像头，把现场同屏到机器上</w:t>
            </w:r>
            <w:r>
              <w:rPr>
                <w:rFonts w:hint="eastAsia"/>
                <w:color w:val="auto"/>
                <w:szCs w:val="21"/>
              </w:rPr>
              <w:t>【提供具有CNAS标识的检测报告复印件】；</w:t>
            </w:r>
          </w:p>
          <w:bookmarkEnd w:id="99"/>
          <w:p>
            <w:pPr>
              <w:suppressAutoHyphens/>
              <w:rPr>
                <w:b/>
                <w:color w:val="auto"/>
                <w:szCs w:val="21"/>
              </w:rPr>
            </w:pPr>
            <w:r>
              <w:rPr>
                <w:rFonts w:hint="eastAsia"/>
                <w:b/>
                <w:color w:val="auto"/>
                <w:szCs w:val="21"/>
              </w:rPr>
              <w:t>五、整机接口参数：</w:t>
            </w:r>
          </w:p>
          <w:p>
            <w:pPr>
              <w:suppressAutoHyphens/>
              <w:rPr>
                <w:rFonts w:hint="eastAsia" w:eastAsia="宋体"/>
                <w:color w:val="auto"/>
                <w:szCs w:val="21"/>
                <w:lang w:eastAsia="zh-CN"/>
              </w:rPr>
            </w:pPr>
            <w:r>
              <w:rPr>
                <w:rFonts w:hint="eastAsia"/>
                <w:color w:val="auto"/>
                <w:szCs w:val="21"/>
              </w:rPr>
              <w:t>1. HDMI 输入接口 *2</w:t>
            </w:r>
            <w:r>
              <w:rPr>
                <w:rFonts w:hint="eastAsia"/>
                <w:color w:val="auto"/>
                <w:szCs w:val="21"/>
                <w:lang w:eastAsia="zh-CN"/>
              </w:rPr>
              <w:t>、</w:t>
            </w:r>
          </w:p>
          <w:p>
            <w:pPr>
              <w:suppressAutoHyphens/>
              <w:rPr>
                <w:color w:val="auto"/>
                <w:szCs w:val="21"/>
              </w:rPr>
            </w:pPr>
            <w:r>
              <w:rPr>
                <w:rFonts w:hint="eastAsia"/>
                <w:color w:val="auto"/>
                <w:szCs w:val="21"/>
              </w:rPr>
              <w:t>2. DP接口 *1</w:t>
            </w:r>
          </w:p>
          <w:p>
            <w:pPr>
              <w:suppressAutoHyphens/>
              <w:rPr>
                <w:color w:val="auto"/>
                <w:szCs w:val="21"/>
              </w:rPr>
            </w:pPr>
            <w:r>
              <w:rPr>
                <w:rFonts w:hint="eastAsia"/>
                <w:color w:val="auto"/>
                <w:szCs w:val="21"/>
              </w:rPr>
              <w:t>3. VGA输入接口 *1</w:t>
            </w:r>
          </w:p>
          <w:p>
            <w:pPr>
              <w:suppressAutoHyphens/>
              <w:rPr>
                <w:color w:val="auto"/>
                <w:szCs w:val="21"/>
              </w:rPr>
            </w:pPr>
            <w:r>
              <w:rPr>
                <w:rFonts w:hint="eastAsia"/>
                <w:color w:val="auto"/>
                <w:szCs w:val="21"/>
              </w:rPr>
              <w:t>4. OPS接口 *1</w:t>
            </w:r>
          </w:p>
          <w:p>
            <w:pPr>
              <w:suppressAutoHyphens/>
              <w:rPr>
                <w:color w:val="auto"/>
                <w:szCs w:val="21"/>
              </w:rPr>
            </w:pPr>
            <w:r>
              <w:rPr>
                <w:rFonts w:hint="eastAsia"/>
                <w:color w:val="auto"/>
                <w:szCs w:val="21"/>
              </w:rPr>
              <w:t>5.LAN接口 *2</w:t>
            </w:r>
          </w:p>
          <w:p>
            <w:pPr>
              <w:suppressAutoHyphens/>
              <w:rPr>
                <w:color w:val="auto"/>
                <w:szCs w:val="21"/>
              </w:rPr>
            </w:pPr>
            <w:r>
              <w:rPr>
                <w:rFonts w:hint="eastAsia"/>
                <w:color w:val="auto"/>
                <w:szCs w:val="21"/>
              </w:rPr>
              <w:t>6. Android USB *2</w:t>
            </w:r>
          </w:p>
          <w:p>
            <w:pPr>
              <w:suppressAutoHyphens/>
              <w:rPr>
                <w:color w:val="auto"/>
                <w:szCs w:val="21"/>
              </w:rPr>
            </w:pPr>
            <w:r>
              <w:rPr>
                <w:rFonts w:hint="eastAsia"/>
                <w:color w:val="auto"/>
                <w:szCs w:val="21"/>
              </w:rPr>
              <w:t>7. Public USB *2</w:t>
            </w:r>
          </w:p>
          <w:p>
            <w:pPr>
              <w:suppressAutoHyphens/>
              <w:rPr>
                <w:color w:val="auto"/>
                <w:szCs w:val="21"/>
              </w:rPr>
            </w:pPr>
            <w:r>
              <w:rPr>
                <w:rFonts w:hint="eastAsia"/>
                <w:color w:val="auto"/>
                <w:szCs w:val="21"/>
              </w:rPr>
              <w:t>8. Touch-USB *1</w:t>
            </w:r>
          </w:p>
          <w:p>
            <w:pPr>
              <w:suppressAutoHyphens/>
              <w:rPr>
                <w:color w:val="auto"/>
                <w:szCs w:val="21"/>
              </w:rPr>
            </w:pPr>
            <w:r>
              <w:rPr>
                <w:rFonts w:hint="eastAsia"/>
                <w:color w:val="auto"/>
                <w:szCs w:val="21"/>
              </w:rPr>
              <w:t>9. PC-Audio 输入接口 *1</w:t>
            </w:r>
          </w:p>
          <w:p>
            <w:pPr>
              <w:suppressAutoHyphens/>
              <w:rPr>
                <w:color w:val="auto"/>
                <w:szCs w:val="21"/>
              </w:rPr>
            </w:pPr>
            <w:r>
              <w:rPr>
                <w:rFonts w:hint="eastAsia"/>
                <w:color w:val="auto"/>
                <w:szCs w:val="21"/>
              </w:rPr>
              <w:t>10. HDMI 输出接口 *1</w:t>
            </w:r>
          </w:p>
          <w:p>
            <w:pPr>
              <w:suppressAutoHyphens/>
              <w:rPr>
                <w:color w:val="auto"/>
                <w:szCs w:val="21"/>
              </w:rPr>
            </w:pPr>
            <w:r>
              <w:rPr>
                <w:rFonts w:hint="eastAsia"/>
                <w:color w:val="auto"/>
                <w:szCs w:val="21"/>
              </w:rPr>
              <w:t>11. S/PDIF 输出接口 *1</w:t>
            </w:r>
          </w:p>
          <w:p>
            <w:pPr>
              <w:suppressAutoHyphens/>
              <w:rPr>
                <w:color w:val="auto"/>
                <w:szCs w:val="21"/>
              </w:rPr>
            </w:pPr>
            <w:r>
              <w:rPr>
                <w:rFonts w:hint="eastAsia"/>
                <w:color w:val="auto"/>
                <w:szCs w:val="21"/>
              </w:rPr>
              <w:t>12. Audio OUT *1</w:t>
            </w:r>
          </w:p>
          <w:p>
            <w:pPr>
              <w:suppressAutoHyphens/>
              <w:rPr>
                <w:color w:val="auto"/>
                <w:szCs w:val="21"/>
              </w:rPr>
            </w:pPr>
            <w:r>
              <w:rPr>
                <w:rFonts w:hint="eastAsia"/>
                <w:color w:val="auto"/>
                <w:szCs w:val="21"/>
              </w:rPr>
              <w:t>13. RS232 *1</w:t>
            </w:r>
          </w:p>
          <w:p>
            <w:pPr>
              <w:suppressAutoHyphens/>
              <w:rPr>
                <w:color w:val="auto"/>
                <w:szCs w:val="21"/>
              </w:rPr>
            </w:pPr>
            <w:r>
              <w:rPr>
                <w:rFonts w:hint="eastAsia"/>
                <w:color w:val="auto"/>
                <w:szCs w:val="21"/>
              </w:rPr>
              <w:t>以上接口参数【提供产品彩页】</w:t>
            </w:r>
          </w:p>
          <w:p>
            <w:pPr>
              <w:suppressAutoHyphens/>
              <w:rPr>
                <w:color w:val="auto"/>
                <w:szCs w:val="21"/>
              </w:rPr>
            </w:pPr>
            <w:r>
              <w:rPr>
                <w:rFonts w:hint="eastAsia"/>
                <w:b/>
                <w:color w:val="auto"/>
                <w:szCs w:val="21"/>
              </w:rPr>
              <w:t>六、控制软件功能部分</w:t>
            </w:r>
            <w:r>
              <w:rPr>
                <w:rFonts w:hint="eastAsia"/>
                <w:color w:val="auto"/>
                <w:szCs w:val="21"/>
              </w:rPr>
              <w:t>：</w:t>
            </w:r>
          </w:p>
          <w:p>
            <w:pPr>
              <w:suppressAutoHyphens/>
              <w:rPr>
                <w:color w:val="auto"/>
                <w:szCs w:val="21"/>
              </w:rPr>
            </w:pPr>
            <w:r>
              <w:rPr>
                <w:rFonts w:hint="eastAsia"/>
                <w:color w:val="auto"/>
                <w:szCs w:val="21"/>
              </w:rPr>
              <w:t>1. 主页面简洁大方，4+1的UI设计实现操作的简单、快捷【提供主页面软件著作权证书】；</w:t>
            </w:r>
            <w:r>
              <w:rPr>
                <w:rFonts w:hint="eastAsia"/>
                <w:color w:val="auto"/>
                <w:szCs w:val="21"/>
              </w:rPr>
              <w:br w:type="textWrapping"/>
            </w:r>
            <w:r>
              <w:rPr>
                <w:rFonts w:hint="eastAsia"/>
                <w:color w:val="auto"/>
                <w:szCs w:val="21"/>
              </w:rPr>
              <w:t>2. 侧边栏：显示屏两侧均有可显示/可隐藏/可切换悬浮球按键，支持手势呼出功能，实现返回，切回主页，设置，任意通道批注，进程管理等系统操作【提供悬浮球软件著作权证书复印件】；</w:t>
            </w:r>
          </w:p>
          <w:p>
            <w:pPr>
              <w:numPr>
                <w:ilvl w:val="0"/>
                <w:numId w:val="3"/>
              </w:numPr>
              <w:suppressAutoHyphens/>
              <w:rPr>
                <w:color w:val="auto"/>
                <w:szCs w:val="21"/>
              </w:rPr>
            </w:pPr>
            <w:r>
              <w:rPr>
                <w:rFonts w:hint="eastAsia"/>
                <w:color w:val="auto"/>
                <w:szCs w:val="21"/>
              </w:rPr>
              <w:t>全局侧边快速切换分屏，支持打开两个可分屏的应用，可以支持左右分屏显示，方便文档资料之间的对比；</w:t>
            </w:r>
          </w:p>
          <w:p>
            <w:pPr>
              <w:numPr>
                <w:ilvl w:val="0"/>
                <w:numId w:val="3"/>
              </w:numPr>
              <w:suppressAutoHyphens/>
              <w:rPr>
                <w:color w:val="auto"/>
                <w:szCs w:val="21"/>
              </w:rPr>
            </w:pPr>
            <w:r>
              <w:rPr>
                <w:rFonts w:hint="eastAsia"/>
                <w:color w:val="auto"/>
                <w:szCs w:val="21"/>
              </w:rPr>
              <w:t>本地会议白板功能为保证软硬件兼容性，不接受第三方书写软件：</w:t>
            </w:r>
          </w:p>
          <w:p>
            <w:pPr>
              <w:numPr>
                <w:ilvl w:val="0"/>
                <w:numId w:val="5"/>
              </w:numPr>
              <w:suppressAutoHyphens/>
              <w:ind w:firstLine="420" w:firstLineChars="200"/>
              <w:rPr>
                <w:color w:val="auto"/>
                <w:szCs w:val="21"/>
              </w:rPr>
            </w:pPr>
            <w:r>
              <w:rPr>
                <w:rFonts w:hint="eastAsia"/>
                <w:color w:val="auto"/>
                <w:szCs w:val="21"/>
              </w:rPr>
              <w:t>首次进入白板页面后，可在任意界面进入白板功能；</w:t>
            </w:r>
          </w:p>
          <w:p>
            <w:pPr>
              <w:numPr>
                <w:ilvl w:val="0"/>
                <w:numId w:val="5"/>
              </w:numPr>
              <w:suppressAutoHyphens/>
              <w:ind w:firstLine="420" w:firstLineChars="200"/>
              <w:rPr>
                <w:color w:val="auto"/>
                <w:szCs w:val="21"/>
              </w:rPr>
            </w:pPr>
            <w:r>
              <w:rPr>
                <w:rFonts w:hint="eastAsia"/>
                <w:color w:val="auto"/>
                <w:szCs w:val="21"/>
              </w:rPr>
              <w:t>支持单点书写，10点书写，笔锋书写，可自由切换书写模式</w:t>
            </w:r>
          </w:p>
          <w:p>
            <w:pPr>
              <w:numPr>
                <w:ilvl w:val="0"/>
                <w:numId w:val="5"/>
              </w:numPr>
              <w:suppressAutoHyphens/>
              <w:ind w:firstLine="420" w:firstLineChars="200"/>
              <w:rPr>
                <w:color w:val="auto"/>
                <w:szCs w:val="21"/>
              </w:rPr>
            </w:pPr>
            <w:r>
              <w:rPr>
                <w:rFonts w:hint="eastAsia"/>
                <w:color w:val="auto"/>
                <w:szCs w:val="21"/>
              </w:rPr>
              <w:t>具备漫游功能，根据手势识别功能可扩大或缩小书写区域；</w:t>
            </w:r>
          </w:p>
          <w:p>
            <w:pPr>
              <w:numPr>
                <w:ilvl w:val="0"/>
                <w:numId w:val="5"/>
              </w:numPr>
              <w:suppressAutoHyphens/>
              <w:ind w:firstLine="420" w:firstLineChars="200"/>
              <w:rPr>
                <w:color w:val="auto"/>
                <w:szCs w:val="21"/>
              </w:rPr>
            </w:pPr>
            <w:r>
              <w:rPr>
                <w:rFonts w:hint="eastAsia"/>
                <w:color w:val="auto"/>
                <w:szCs w:val="21"/>
              </w:rPr>
              <w:t>手势识别：单点接触书写，两点放大缩小，多点漫游，面接触自动识别板擦功能，如手背贴在电子白板屏幕上时，自动识别橡皮擦功能，快速擦除书写内容；</w:t>
            </w:r>
          </w:p>
          <w:p>
            <w:pPr>
              <w:numPr>
                <w:ilvl w:val="0"/>
                <w:numId w:val="5"/>
              </w:numPr>
              <w:suppressAutoHyphens/>
              <w:ind w:firstLine="420" w:firstLineChars="200"/>
              <w:rPr>
                <w:color w:val="auto"/>
                <w:szCs w:val="21"/>
              </w:rPr>
            </w:pPr>
            <w:r>
              <w:rPr>
                <w:rFonts w:hint="eastAsia"/>
                <w:color w:val="auto"/>
                <w:szCs w:val="21"/>
              </w:rPr>
              <w:t>支持6种图形插入，图片插入，图片插入可自定义插入路径；</w:t>
            </w:r>
          </w:p>
          <w:p>
            <w:pPr>
              <w:numPr>
                <w:ilvl w:val="0"/>
                <w:numId w:val="5"/>
              </w:numPr>
              <w:suppressAutoHyphens/>
              <w:ind w:firstLine="420" w:firstLineChars="200"/>
              <w:rPr>
                <w:color w:val="auto"/>
                <w:szCs w:val="21"/>
              </w:rPr>
            </w:pPr>
            <w:r>
              <w:rPr>
                <w:rFonts w:hint="eastAsia"/>
                <w:color w:val="auto"/>
                <w:szCs w:val="21"/>
              </w:rPr>
              <w:t>支持手机扫码保存（扫码保存可支持加密分享）、U盘保存、本地保存（可自定义命名、自定义目录、自定义保存文件格式）、邮件发送保存；</w:t>
            </w:r>
          </w:p>
          <w:p>
            <w:pPr>
              <w:numPr>
                <w:ilvl w:val="0"/>
                <w:numId w:val="5"/>
              </w:numPr>
              <w:suppressAutoHyphens/>
              <w:ind w:firstLine="420" w:firstLineChars="200"/>
              <w:rPr>
                <w:color w:val="auto"/>
                <w:szCs w:val="21"/>
              </w:rPr>
            </w:pPr>
            <w:r>
              <w:rPr>
                <w:rFonts w:hint="eastAsia"/>
                <w:color w:val="auto"/>
                <w:szCs w:val="21"/>
              </w:rPr>
              <w:t>文件保存有三种格式可选择：图片、PDF、白板文件</w:t>
            </w:r>
          </w:p>
          <w:p>
            <w:pPr>
              <w:numPr>
                <w:ilvl w:val="0"/>
                <w:numId w:val="5"/>
              </w:numPr>
              <w:suppressAutoHyphens/>
              <w:ind w:firstLine="420" w:firstLineChars="200"/>
              <w:rPr>
                <w:color w:val="auto"/>
                <w:szCs w:val="21"/>
              </w:rPr>
            </w:pPr>
            <w:r>
              <w:rPr>
                <w:rFonts w:hint="eastAsia"/>
                <w:color w:val="auto"/>
                <w:szCs w:val="21"/>
              </w:rPr>
              <w:t>支持白板文件二次编辑；</w:t>
            </w:r>
          </w:p>
          <w:p>
            <w:pPr>
              <w:numPr>
                <w:ilvl w:val="0"/>
                <w:numId w:val="5"/>
              </w:numPr>
              <w:suppressAutoHyphens/>
              <w:ind w:firstLine="420" w:firstLineChars="200"/>
              <w:rPr>
                <w:color w:val="auto"/>
                <w:szCs w:val="21"/>
              </w:rPr>
            </w:pPr>
            <w:r>
              <w:rPr>
                <w:rFonts w:hint="eastAsia"/>
                <w:color w:val="auto"/>
                <w:szCs w:val="21"/>
              </w:rPr>
              <w:t>支持无书写加页；</w:t>
            </w:r>
          </w:p>
          <w:p>
            <w:pPr>
              <w:numPr>
                <w:ilvl w:val="0"/>
                <w:numId w:val="5"/>
              </w:numPr>
              <w:suppressAutoHyphens/>
              <w:ind w:firstLine="420" w:firstLineChars="200"/>
              <w:rPr>
                <w:color w:val="auto"/>
                <w:szCs w:val="21"/>
              </w:rPr>
            </w:pPr>
            <w:r>
              <w:rPr>
                <w:rFonts w:hint="eastAsia"/>
                <w:color w:val="auto"/>
                <w:szCs w:val="21"/>
              </w:rPr>
              <w:t>支持自定义选择插入图片路径；</w:t>
            </w:r>
          </w:p>
          <w:p>
            <w:pPr>
              <w:numPr>
                <w:ilvl w:val="0"/>
                <w:numId w:val="5"/>
              </w:numPr>
              <w:suppressAutoHyphens/>
              <w:ind w:firstLine="420" w:firstLineChars="200"/>
              <w:rPr>
                <w:color w:val="auto"/>
                <w:szCs w:val="21"/>
              </w:rPr>
            </w:pPr>
            <w:r>
              <w:rPr>
                <w:rFonts w:hint="eastAsia"/>
                <w:color w:val="auto"/>
                <w:szCs w:val="21"/>
              </w:rPr>
              <w:t>支持退出时可选择是否保存白板；</w:t>
            </w:r>
          </w:p>
          <w:p>
            <w:pPr>
              <w:numPr>
                <w:ilvl w:val="0"/>
                <w:numId w:val="3"/>
              </w:numPr>
              <w:suppressAutoHyphens/>
              <w:rPr>
                <w:color w:val="auto"/>
                <w:szCs w:val="21"/>
              </w:rPr>
            </w:pPr>
            <w:r>
              <w:rPr>
                <w:rFonts w:hint="eastAsia"/>
                <w:color w:val="auto"/>
                <w:szCs w:val="21"/>
              </w:rPr>
              <w:t>文件演示，视频播放，可直接打开U盘或者本地保存的PPT，Word文档，Excel表格，图片，4K视频播放，PPT演示过程中可翻页，在线编辑，批注，批注可以截图的形式保存；</w:t>
            </w:r>
          </w:p>
          <w:p>
            <w:pPr>
              <w:numPr>
                <w:ilvl w:val="0"/>
                <w:numId w:val="3"/>
              </w:numPr>
              <w:suppressAutoHyphens/>
              <w:rPr>
                <w:color w:val="auto"/>
                <w:szCs w:val="21"/>
              </w:rPr>
            </w:pPr>
            <w:r>
              <w:rPr>
                <w:rFonts w:hint="eastAsia"/>
                <w:color w:val="auto"/>
                <w:szCs w:val="21"/>
              </w:rPr>
              <w:t>文件演示可搭配智能笔辅助工作，演示PPT时可实现上下翻页，长按调出光标；</w:t>
            </w:r>
          </w:p>
          <w:p>
            <w:pPr>
              <w:numPr>
                <w:ilvl w:val="0"/>
                <w:numId w:val="3"/>
              </w:numPr>
              <w:suppressAutoHyphens/>
              <w:rPr>
                <w:color w:val="auto"/>
                <w:szCs w:val="21"/>
              </w:rPr>
            </w:pPr>
            <w:r>
              <w:rPr>
                <w:rFonts w:hint="eastAsia"/>
                <w:color w:val="auto"/>
                <w:szCs w:val="21"/>
              </w:rPr>
              <w:t>任意通道批注，支持十点书写批注，方便多人同步演示，批注内容可以截图的形式保存在白板中，实现二次批注，支持白板文件本地保存，扫码保存，且支持三种格式文件保存；</w:t>
            </w:r>
          </w:p>
          <w:p>
            <w:pPr>
              <w:numPr>
                <w:ilvl w:val="0"/>
                <w:numId w:val="3"/>
              </w:numPr>
              <w:suppressAutoHyphens/>
              <w:rPr>
                <w:color w:val="auto"/>
                <w:szCs w:val="21"/>
              </w:rPr>
            </w:pPr>
            <w:r>
              <w:rPr>
                <w:rFonts w:hint="eastAsia"/>
                <w:color w:val="auto"/>
                <w:szCs w:val="21"/>
              </w:rPr>
              <w:t xml:space="preserve">欢迎界面：内置多种背景模板，方便多种场景快速开启欢迎模式，支持插入背景音乐，渲染会场气氛，一键开启签名墙模式，禁止修改书写内容，防止后人签名时擦除前人的笔记，支持保存签名文件； </w:t>
            </w:r>
          </w:p>
          <w:p>
            <w:pPr>
              <w:numPr>
                <w:ilvl w:val="0"/>
                <w:numId w:val="3"/>
              </w:numPr>
              <w:suppressAutoHyphens/>
              <w:rPr>
                <w:color w:val="auto"/>
                <w:szCs w:val="21"/>
              </w:rPr>
            </w:pPr>
            <w:r>
              <w:rPr>
                <w:rFonts w:hint="eastAsia"/>
                <w:color w:val="auto"/>
                <w:szCs w:val="21"/>
              </w:rPr>
              <w:t xml:space="preserve"> 文件管理器能自动识别文件格式，并且进行分类，方便查找；</w:t>
            </w:r>
          </w:p>
          <w:p>
            <w:pPr>
              <w:numPr>
                <w:ilvl w:val="0"/>
                <w:numId w:val="3"/>
              </w:numPr>
              <w:suppressAutoHyphens/>
              <w:rPr>
                <w:color w:val="auto"/>
                <w:szCs w:val="21"/>
              </w:rPr>
            </w:pPr>
            <w:r>
              <w:rPr>
                <w:rFonts w:hint="eastAsia"/>
                <w:color w:val="auto"/>
                <w:szCs w:val="21"/>
              </w:rPr>
              <w:t>会议投票软件，匿名或公开的方式进行扫码投票，提供单项或者多项的选择，最后结果以图表形式展现【提供软件著作权证书复印件】；</w:t>
            </w:r>
          </w:p>
          <w:p>
            <w:pPr>
              <w:numPr>
                <w:ilvl w:val="0"/>
                <w:numId w:val="3"/>
              </w:numPr>
              <w:suppressAutoHyphens/>
              <w:rPr>
                <w:color w:val="auto"/>
                <w:szCs w:val="21"/>
              </w:rPr>
            </w:pPr>
            <w:r>
              <w:rPr>
                <w:rFonts w:hint="eastAsia"/>
                <w:color w:val="auto"/>
                <w:szCs w:val="21"/>
              </w:rPr>
              <w:t>为保证与大屏的适配性和操作体验，采用专用拼音输入法软件【提供软件著作权证书复印件】；</w:t>
            </w:r>
          </w:p>
          <w:p>
            <w:pPr>
              <w:numPr>
                <w:ilvl w:val="0"/>
                <w:numId w:val="3"/>
              </w:numPr>
              <w:suppressAutoHyphens/>
              <w:rPr>
                <w:color w:val="auto"/>
                <w:szCs w:val="21"/>
              </w:rPr>
            </w:pPr>
            <w:r>
              <w:rPr>
                <w:rFonts w:hint="eastAsia"/>
                <w:color w:val="auto"/>
                <w:szCs w:val="21"/>
              </w:rPr>
              <w:t>远程会议功能（需另加Windows端视频会议系统）：支持语音视频白板界面同步，桌面共享，文件共享，可实现全球多用户共同视频；</w:t>
            </w:r>
          </w:p>
          <w:p>
            <w:pPr>
              <w:numPr>
                <w:ilvl w:val="0"/>
                <w:numId w:val="3"/>
              </w:numPr>
              <w:suppressAutoHyphens/>
              <w:rPr>
                <w:color w:val="auto"/>
                <w:szCs w:val="21"/>
              </w:rPr>
            </w:pPr>
            <w:r>
              <w:rPr>
                <w:rFonts w:hint="eastAsia"/>
                <w:color w:val="auto"/>
                <w:szCs w:val="21"/>
              </w:rPr>
              <w:t>安卓打印功能：在安卓系统下，会议平板可连接无线打印机，实现文档打印功能。</w:t>
            </w:r>
          </w:p>
          <w:p>
            <w:pPr>
              <w:numPr>
                <w:ilvl w:val="0"/>
                <w:numId w:val="3"/>
              </w:numPr>
              <w:suppressAutoHyphens/>
              <w:rPr>
                <w:color w:val="auto"/>
                <w:szCs w:val="21"/>
              </w:rPr>
            </w:pPr>
            <w:r>
              <w:rPr>
                <w:rFonts w:hint="eastAsia"/>
                <w:color w:val="auto"/>
                <w:szCs w:val="21"/>
              </w:rPr>
              <w:t>支持设置锁和开机锁屏，保证设备使用信息安全；</w:t>
            </w:r>
          </w:p>
          <w:p>
            <w:pPr>
              <w:numPr>
                <w:ilvl w:val="0"/>
                <w:numId w:val="3"/>
              </w:numPr>
              <w:suppressAutoHyphens/>
              <w:rPr>
                <w:color w:val="auto"/>
                <w:szCs w:val="21"/>
              </w:rPr>
            </w:pPr>
            <w:r>
              <w:rPr>
                <w:rFonts w:hint="eastAsia"/>
                <w:color w:val="auto"/>
                <w:szCs w:val="21"/>
              </w:rPr>
              <w:t>产品支持在线OTA软件升级，保证软件实时更新；</w:t>
            </w:r>
          </w:p>
          <w:p>
            <w:pPr>
              <w:numPr>
                <w:ilvl w:val="0"/>
                <w:numId w:val="3"/>
              </w:numPr>
              <w:suppressAutoHyphens/>
              <w:rPr>
                <w:color w:val="auto"/>
                <w:szCs w:val="21"/>
              </w:rPr>
            </w:pPr>
            <w:r>
              <w:rPr>
                <w:rFonts w:hint="eastAsia"/>
                <w:color w:val="auto"/>
                <w:szCs w:val="21"/>
              </w:rPr>
              <w:t>产品可手动调节信源自动识别功能是否开启；</w:t>
            </w:r>
          </w:p>
          <w:p>
            <w:pPr>
              <w:numPr>
                <w:ilvl w:val="0"/>
                <w:numId w:val="3"/>
              </w:numPr>
              <w:suppressAutoHyphens/>
              <w:rPr>
                <w:color w:val="auto"/>
                <w:szCs w:val="21"/>
              </w:rPr>
            </w:pPr>
            <w:r>
              <w:rPr>
                <w:rFonts w:hint="eastAsia"/>
                <w:color w:val="auto"/>
                <w:szCs w:val="21"/>
              </w:rPr>
              <w:t>产品声音可选择仅外置设备或大屏与外置设备一起发声，满足不同场景下的需求；</w:t>
            </w:r>
          </w:p>
          <w:p>
            <w:pPr>
              <w:numPr>
                <w:ilvl w:val="0"/>
                <w:numId w:val="6"/>
              </w:numPr>
              <w:suppressAutoHyphens/>
              <w:rPr>
                <w:b/>
                <w:color w:val="auto"/>
                <w:szCs w:val="21"/>
              </w:rPr>
            </w:pPr>
            <w:r>
              <w:rPr>
                <w:rFonts w:hint="eastAsia"/>
                <w:b/>
                <w:color w:val="auto"/>
                <w:szCs w:val="21"/>
              </w:rPr>
              <w:t>配套的配件：</w:t>
            </w:r>
          </w:p>
          <w:p>
            <w:pPr>
              <w:suppressAutoHyphens/>
              <w:rPr>
                <w:b/>
                <w:bCs/>
                <w:color w:val="auto"/>
                <w:szCs w:val="21"/>
              </w:rPr>
            </w:pPr>
            <w:r>
              <w:rPr>
                <w:b/>
                <w:bCs/>
                <w:color w:val="auto"/>
                <w:szCs w:val="21"/>
              </w:rPr>
              <w:t xml:space="preserve">1. </w:t>
            </w:r>
            <w:r>
              <w:rPr>
                <w:rFonts w:hint="eastAsia"/>
                <w:b/>
                <w:bCs/>
                <w:color w:val="auto"/>
                <w:szCs w:val="21"/>
              </w:rPr>
              <w:t>智能笔</w:t>
            </w:r>
          </w:p>
          <w:p>
            <w:pPr>
              <w:numPr>
                <w:ilvl w:val="0"/>
                <w:numId w:val="7"/>
              </w:numPr>
              <w:suppressAutoHyphens/>
              <w:ind w:firstLine="420" w:firstLineChars="200"/>
              <w:rPr>
                <w:color w:val="auto"/>
                <w:szCs w:val="21"/>
              </w:rPr>
            </w:pPr>
            <w:r>
              <w:rPr>
                <w:rFonts w:hint="eastAsia"/>
                <w:color w:val="auto"/>
                <w:szCs w:val="21"/>
              </w:rPr>
              <w:t>无线技术：RF2.4GHz，空旷最大15米；</w:t>
            </w:r>
          </w:p>
          <w:p>
            <w:pPr>
              <w:numPr>
                <w:ilvl w:val="0"/>
                <w:numId w:val="7"/>
              </w:numPr>
              <w:suppressAutoHyphens/>
              <w:ind w:firstLine="420" w:firstLineChars="200"/>
              <w:rPr>
                <w:color w:val="auto"/>
                <w:szCs w:val="21"/>
              </w:rPr>
            </w:pPr>
            <w:r>
              <w:rPr>
                <w:rFonts w:hint="eastAsia"/>
                <w:color w:val="auto"/>
                <w:szCs w:val="21"/>
              </w:rPr>
              <w:t>鼠标：智能防抖算法，六轴空鼠；</w:t>
            </w:r>
          </w:p>
          <w:p>
            <w:pPr>
              <w:numPr>
                <w:ilvl w:val="0"/>
                <w:numId w:val="7"/>
              </w:numPr>
              <w:suppressAutoHyphens/>
              <w:ind w:firstLine="420" w:firstLineChars="200"/>
              <w:rPr>
                <w:color w:val="auto"/>
                <w:szCs w:val="21"/>
              </w:rPr>
            </w:pPr>
            <w:r>
              <w:rPr>
                <w:rFonts w:hint="eastAsia"/>
                <w:color w:val="auto"/>
                <w:szCs w:val="21"/>
              </w:rPr>
              <w:t>电源：200mAh聚合物锂电池，工作电压：3.7-4.2V，充电接口：MicroUSB；</w:t>
            </w:r>
          </w:p>
          <w:p>
            <w:pPr>
              <w:numPr>
                <w:ilvl w:val="0"/>
                <w:numId w:val="7"/>
              </w:numPr>
              <w:suppressAutoHyphens/>
              <w:ind w:firstLine="420" w:firstLineChars="200"/>
              <w:rPr>
                <w:color w:val="auto"/>
                <w:szCs w:val="21"/>
              </w:rPr>
            </w:pPr>
            <w:r>
              <w:rPr>
                <w:rFonts w:hint="eastAsia"/>
                <w:color w:val="auto"/>
                <w:szCs w:val="21"/>
              </w:rPr>
              <w:t>兼容接口：支持USB3.0/2.0/1.1;</w:t>
            </w:r>
          </w:p>
          <w:p>
            <w:pPr>
              <w:numPr>
                <w:ilvl w:val="0"/>
                <w:numId w:val="7"/>
              </w:numPr>
              <w:suppressAutoHyphens/>
              <w:ind w:firstLine="420" w:firstLineChars="200"/>
              <w:jc w:val="left"/>
              <w:rPr>
                <w:color w:val="auto"/>
                <w:szCs w:val="21"/>
              </w:rPr>
            </w:pPr>
            <w:r>
              <w:rPr>
                <w:rFonts w:hint="eastAsia"/>
                <w:color w:val="auto"/>
                <w:szCs w:val="21"/>
              </w:rPr>
              <w:t>系统需求：Windows10/8/7/VISTA/2000/XP，Mac os10.0，Android 4.0；</w:t>
            </w:r>
          </w:p>
          <w:p>
            <w:pPr>
              <w:numPr>
                <w:ilvl w:val="0"/>
                <w:numId w:val="7"/>
              </w:numPr>
              <w:suppressAutoHyphens/>
              <w:ind w:firstLine="420" w:firstLineChars="200"/>
              <w:rPr>
                <w:color w:val="auto"/>
                <w:szCs w:val="21"/>
              </w:rPr>
            </w:pPr>
            <w:r>
              <w:rPr>
                <w:rFonts w:hint="eastAsia"/>
                <w:color w:val="auto"/>
                <w:szCs w:val="21"/>
              </w:rPr>
              <w:t>支持上下翻页，语音输入，无线光标，智能飞鼠；</w:t>
            </w:r>
          </w:p>
          <w:p>
            <w:pPr>
              <w:numPr>
                <w:ilvl w:val="0"/>
                <w:numId w:val="7"/>
              </w:numPr>
              <w:suppressAutoHyphens/>
              <w:ind w:firstLine="420" w:firstLineChars="200"/>
              <w:rPr>
                <w:color w:val="auto"/>
                <w:szCs w:val="21"/>
              </w:rPr>
            </w:pPr>
            <w:r>
              <w:rPr>
                <w:rFonts w:hint="eastAsia"/>
                <w:color w:val="auto"/>
                <w:szCs w:val="21"/>
              </w:rPr>
              <w:t>配合讯飞输入法可以实现语音输入；</w:t>
            </w:r>
          </w:p>
          <w:p>
            <w:pPr>
              <w:numPr>
                <w:ilvl w:val="0"/>
                <w:numId w:val="7"/>
              </w:numPr>
              <w:suppressAutoHyphens/>
              <w:ind w:firstLine="420" w:firstLineChars="200"/>
              <w:rPr>
                <w:color w:val="auto"/>
                <w:szCs w:val="21"/>
              </w:rPr>
            </w:pPr>
            <w:r>
              <w:rPr>
                <w:rFonts w:hint="eastAsia"/>
                <w:color w:val="auto"/>
                <w:szCs w:val="21"/>
              </w:rPr>
              <w:t>智能笔与会议平板为同一品牌。</w:t>
            </w:r>
          </w:p>
          <w:p>
            <w:pPr>
              <w:suppressAutoHyphens/>
              <w:rPr>
                <w:b/>
                <w:bCs/>
                <w:color w:val="auto"/>
                <w:szCs w:val="21"/>
              </w:rPr>
            </w:pPr>
            <w:r>
              <w:rPr>
                <w:b/>
                <w:bCs/>
                <w:color w:val="auto"/>
                <w:szCs w:val="21"/>
              </w:rPr>
              <w:t xml:space="preserve">2. </w:t>
            </w:r>
            <w:r>
              <w:rPr>
                <w:rFonts w:hint="eastAsia"/>
                <w:b/>
                <w:bCs/>
                <w:color w:val="auto"/>
                <w:szCs w:val="21"/>
              </w:rPr>
              <w:t>无线同屏器</w:t>
            </w:r>
          </w:p>
          <w:p>
            <w:pPr>
              <w:numPr>
                <w:ilvl w:val="0"/>
                <w:numId w:val="8"/>
              </w:numPr>
              <w:suppressAutoHyphens/>
              <w:ind w:firstLine="420" w:firstLineChars="200"/>
              <w:rPr>
                <w:color w:val="auto"/>
                <w:szCs w:val="21"/>
              </w:rPr>
            </w:pPr>
            <w:r>
              <w:rPr>
                <w:rFonts w:hint="eastAsia"/>
                <w:color w:val="auto"/>
                <w:szCs w:val="21"/>
              </w:rPr>
              <w:t>传输协议：自定义协议、Airplay；</w:t>
            </w:r>
          </w:p>
          <w:p>
            <w:pPr>
              <w:numPr>
                <w:ilvl w:val="0"/>
                <w:numId w:val="8"/>
              </w:numPr>
              <w:suppressAutoHyphens/>
              <w:ind w:firstLine="420" w:firstLineChars="200"/>
              <w:rPr>
                <w:color w:val="auto"/>
                <w:szCs w:val="21"/>
              </w:rPr>
            </w:pPr>
            <w:r>
              <w:rPr>
                <w:rFonts w:hint="eastAsia"/>
                <w:color w:val="auto"/>
                <w:szCs w:val="21"/>
              </w:rPr>
              <w:t>传输WI-FI频段：5.8G/2.4G双频（硬路由模块）；</w:t>
            </w:r>
          </w:p>
          <w:p>
            <w:pPr>
              <w:suppressAutoHyphens/>
              <w:ind w:firstLine="420" w:firstLineChars="200"/>
              <w:rPr>
                <w:color w:val="auto"/>
                <w:szCs w:val="21"/>
              </w:rPr>
            </w:pPr>
            <w:r>
              <w:rPr>
                <w:rFonts w:hint="eastAsia"/>
                <w:color w:val="auto"/>
                <w:szCs w:val="21"/>
              </w:rPr>
              <w:t>实际带宽：1.25G带宽（硬路由模块）；</w:t>
            </w:r>
          </w:p>
          <w:p>
            <w:pPr>
              <w:numPr>
                <w:ilvl w:val="0"/>
                <w:numId w:val="8"/>
              </w:numPr>
              <w:suppressAutoHyphens/>
              <w:ind w:firstLine="420" w:firstLineChars="200"/>
              <w:rPr>
                <w:color w:val="auto"/>
                <w:szCs w:val="21"/>
              </w:rPr>
            </w:pPr>
            <w:r>
              <w:rPr>
                <w:rFonts w:hint="eastAsia"/>
                <w:color w:val="auto"/>
                <w:szCs w:val="21"/>
              </w:rPr>
              <w:t>鼠标延时典型值：＜55ms;</w:t>
            </w:r>
          </w:p>
          <w:p>
            <w:pPr>
              <w:numPr>
                <w:ilvl w:val="0"/>
                <w:numId w:val="8"/>
              </w:numPr>
              <w:suppressAutoHyphens/>
              <w:ind w:firstLine="420" w:firstLineChars="200"/>
              <w:rPr>
                <w:color w:val="auto"/>
                <w:szCs w:val="21"/>
              </w:rPr>
            </w:pPr>
            <w:r>
              <w:rPr>
                <w:rFonts w:hint="eastAsia"/>
                <w:color w:val="auto"/>
                <w:szCs w:val="21"/>
              </w:rPr>
              <w:t>平均断线率：＜1次/3小时（硬路由模块）；</w:t>
            </w:r>
          </w:p>
          <w:p>
            <w:pPr>
              <w:numPr>
                <w:ilvl w:val="0"/>
                <w:numId w:val="8"/>
              </w:numPr>
              <w:suppressAutoHyphens/>
              <w:ind w:firstLine="420" w:firstLineChars="200"/>
              <w:rPr>
                <w:color w:val="auto"/>
                <w:szCs w:val="21"/>
              </w:rPr>
            </w:pPr>
            <w:r>
              <w:rPr>
                <w:rFonts w:hint="eastAsia"/>
                <w:color w:val="auto"/>
                <w:szCs w:val="21"/>
              </w:rPr>
              <w:t>传输距离：≥15M@1080P；</w:t>
            </w:r>
          </w:p>
          <w:p>
            <w:pPr>
              <w:numPr>
                <w:ilvl w:val="0"/>
                <w:numId w:val="8"/>
              </w:numPr>
              <w:suppressAutoHyphens/>
              <w:ind w:firstLine="420" w:firstLineChars="200"/>
              <w:rPr>
                <w:color w:val="auto"/>
                <w:szCs w:val="21"/>
              </w:rPr>
            </w:pPr>
            <w:r>
              <w:rPr>
                <w:rFonts w:hint="eastAsia"/>
                <w:color w:val="auto"/>
                <w:szCs w:val="21"/>
              </w:rPr>
              <w:t>操控性：同屏器插入电脑，自动启动应用程序，自动连接会议小秘，一拍即投，操作简单方便；</w:t>
            </w:r>
          </w:p>
          <w:p>
            <w:pPr>
              <w:numPr>
                <w:ilvl w:val="0"/>
                <w:numId w:val="8"/>
              </w:numPr>
              <w:suppressAutoHyphens/>
              <w:ind w:firstLine="420" w:firstLineChars="200"/>
              <w:rPr>
                <w:color w:val="auto"/>
                <w:szCs w:val="21"/>
              </w:rPr>
            </w:pPr>
            <w:r>
              <w:rPr>
                <w:rFonts w:hint="eastAsia"/>
                <w:color w:val="auto"/>
                <w:szCs w:val="21"/>
              </w:rPr>
              <w:t>输入分辨率：1024*867、1280*720、1920*1080；</w:t>
            </w:r>
          </w:p>
          <w:p>
            <w:pPr>
              <w:numPr>
                <w:ilvl w:val="0"/>
                <w:numId w:val="8"/>
              </w:numPr>
              <w:suppressAutoHyphens/>
              <w:ind w:firstLine="420" w:firstLineChars="200"/>
              <w:rPr>
                <w:color w:val="auto"/>
                <w:szCs w:val="21"/>
              </w:rPr>
            </w:pPr>
            <w:r>
              <w:rPr>
                <w:rFonts w:hint="eastAsia"/>
                <w:color w:val="auto"/>
                <w:szCs w:val="21"/>
              </w:rPr>
              <w:t>带载能力：≥8个WiFi终端；</w:t>
            </w:r>
          </w:p>
          <w:p>
            <w:pPr>
              <w:numPr>
                <w:ilvl w:val="0"/>
                <w:numId w:val="8"/>
              </w:numPr>
              <w:suppressAutoHyphens/>
              <w:ind w:firstLine="420" w:firstLineChars="200"/>
              <w:rPr>
                <w:color w:val="auto"/>
                <w:szCs w:val="21"/>
              </w:rPr>
            </w:pPr>
            <w:r>
              <w:rPr>
                <w:rFonts w:hint="eastAsia"/>
                <w:color w:val="auto"/>
                <w:szCs w:val="21"/>
              </w:rPr>
              <w:t>兼容系统：windows、Android、Mac os；</w:t>
            </w:r>
          </w:p>
          <w:p>
            <w:pPr>
              <w:numPr>
                <w:ilvl w:val="0"/>
                <w:numId w:val="8"/>
              </w:numPr>
              <w:suppressAutoHyphens/>
              <w:ind w:firstLine="420" w:firstLineChars="200"/>
              <w:rPr>
                <w:color w:val="auto"/>
                <w:szCs w:val="21"/>
              </w:rPr>
            </w:pPr>
            <w:r>
              <w:rPr>
                <w:rFonts w:hint="eastAsia"/>
                <w:color w:val="auto"/>
                <w:szCs w:val="21"/>
              </w:rPr>
              <w:t>视频无损传输：最大1080P视频源；</w:t>
            </w:r>
          </w:p>
          <w:p>
            <w:pPr>
              <w:numPr>
                <w:ilvl w:val="0"/>
                <w:numId w:val="8"/>
              </w:numPr>
              <w:suppressAutoHyphens/>
              <w:ind w:firstLine="420" w:firstLineChars="200"/>
              <w:rPr>
                <w:color w:val="auto"/>
                <w:szCs w:val="21"/>
              </w:rPr>
            </w:pPr>
            <w:r>
              <w:rPr>
                <w:rFonts w:hint="eastAsia"/>
                <w:color w:val="auto"/>
                <w:szCs w:val="21"/>
              </w:rPr>
              <w:t>抢占功能：除两个IOS设备之间不能互抢占外所有设备可以相互抢占；</w:t>
            </w:r>
          </w:p>
          <w:p>
            <w:pPr>
              <w:numPr>
                <w:ilvl w:val="0"/>
                <w:numId w:val="8"/>
              </w:numPr>
              <w:suppressAutoHyphens/>
              <w:ind w:firstLine="420" w:firstLineChars="200"/>
              <w:rPr>
                <w:color w:val="auto"/>
                <w:szCs w:val="21"/>
              </w:rPr>
            </w:pPr>
            <w:r>
              <w:rPr>
                <w:rFonts w:hint="eastAsia"/>
                <w:color w:val="auto"/>
                <w:szCs w:val="21"/>
              </w:rPr>
              <w:t>系统升级：通过internet网络远程升级；</w:t>
            </w:r>
          </w:p>
          <w:p>
            <w:pPr>
              <w:numPr>
                <w:ilvl w:val="0"/>
                <w:numId w:val="8"/>
              </w:numPr>
              <w:suppressAutoHyphens/>
              <w:ind w:firstLine="420" w:firstLineChars="200"/>
              <w:rPr>
                <w:color w:val="auto"/>
                <w:szCs w:val="21"/>
              </w:rPr>
            </w:pPr>
            <w:r>
              <w:rPr>
                <w:rFonts w:hint="eastAsia"/>
                <w:color w:val="auto"/>
                <w:szCs w:val="21"/>
              </w:rPr>
              <w:t>一键内容共享、在会议平板上可实现对电脑反向操作；</w:t>
            </w:r>
          </w:p>
          <w:p>
            <w:pPr>
              <w:numPr>
                <w:ilvl w:val="0"/>
                <w:numId w:val="8"/>
              </w:numPr>
              <w:suppressAutoHyphens/>
              <w:ind w:firstLine="420" w:firstLineChars="200"/>
              <w:rPr>
                <w:color w:val="auto"/>
                <w:szCs w:val="21"/>
              </w:rPr>
            </w:pPr>
            <w:r>
              <w:rPr>
                <w:rFonts w:hint="eastAsia"/>
                <w:color w:val="auto"/>
                <w:szCs w:val="21"/>
              </w:rPr>
              <w:t>同屏器与会议平板为同一品牌；</w:t>
            </w:r>
          </w:p>
          <w:p>
            <w:pPr>
              <w:rPr>
                <w:rFonts w:asciiTheme="minorEastAsia" w:hAnsiTheme="minorEastAsia" w:eastAsiaTheme="minorEastAsia" w:cstheme="minorEastAsia"/>
                <w:b/>
                <w:bCs/>
                <w:color w:val="auto"/>
                <w:szCs w:val="21"/>
              </w:rPr>
            </w:pPr>
            <w:r>
              <w:rPr>
                <w:rFonts w:asciiTheme="minorEastAsia" w:hAnsiTheme="minorEastAsia" w:eastAsiaTheme="minorEastAsia" w:cstheme="minorEastAsia"/>
                <w:b/>
                <w:bCs/>
                <w:color w:val="auto"/>
                <w:szCs w:val="21"/>
              </w:rPr>
              <w:t xml:space="preserve">3. </w:t>
            </w:r>
            <w:r>
              <w:rPr>
                <w:rFonts w:hint="eastAsia" w:asciiTheme="minorEastAsia" w:hAnsiTheme="minorEastAsia" w:eastAsiaTheme="minorEastAsia" w:cstheme="minorEastAsia"/>
                <w:b/>
                <w:bCs/>
                <w:color w:val="auto"/>
                <w:szCs w:val="21"/>
              </w:rPr>
              <w:t>移动底座</w:t>
            </w:r>
          </w:p>
          <w:p>
            <w:pPr>
              <w:numPr>
                <w:ilvl w:val="0"/>
                <w:numId w:val="9"/>
              </w:numPr>
              <w:suppressAutoHyphens/>
              <w:ind w:firstLine="420" w:firstLineChars="200"/>
              <w:rPr>
                <w:color w:val="auto"/>
                <w:szCs w:val="21"/>
              </w:rPr>
            </w:pPr>
            <w:r>
              <w:rPr>
                <w:rFonts w:hint="eastAsia"/>
                <w:color w:val="auto"/>
                <w:szCs w:val="21"/>
              </w:rPr>
              <w:t>U型设计，整洁大方；</w:t>
            </w:r>
          </w:p>
          <w:p>
            <w:pPr>
              <w:numPr>
                <w:ilvl w:val="0"/>
                <w:numId w:val="9"/>
              </w:numPr>
              <w:suppressAutoHyphens/>
              <w:ind w:firstLine="420" w:firstLineChars="200"/>
              <w:rPr>
                <w:color w:val="auto"/>
                <w:szCs w:val="21"/>
              </w:rPr>
            </w:pPr>
            <w:r>
              <w:rPr>
                <w:rFonts w:hint="eastAsia"/>
                <w:color w:val="auto"/>
                <w:szCs w:val="21"/>
              </w:rPr>
              <w:t>材质为优质碳钢钢化玻璃；</w:t>
            </w:r>
          </w:p>
          <w:p>
            <w:pPr>
              <w:numPr>
                <w:ilvl w:val="0"/>
                <w:numId w:val="9"/>
              </w:numPr>
              <w:suppressAutoHyphens/>
              <w:ind w:firstLine="420" w:firstLineChars="200"/>
              <w:rPr>
                <w:color w:val="auto"/>
                <w:szCs w:val="21"/>
              </w:rPr>
            </w:pPr>
            <w:r>
              <w:rPr>
                <w:rFonts w:hint="eastAsia"/>
                <w:color w:val="auto"/>
                <w:szCs w:val="21"/>
              </w:rPr>
              <w:t>承重范围≥</w:t>
            </w:r>
            <w:r>
              <w:rPr>
                <w:color w:val="auto"/>
                <w:szCs w:val="21"/>
              </w:rPr>
              <w:t>10</w:t>
            </w:r>
            <w:r>
              <w:rPr>
                <w:rFonts w:hint="eastAsia"/>
                <w:color w:val="auto"/>
                <w:szCs w:val="21"/>
              </w:rPr>
              <w:t>0KG；</w:t>
            </w:r>
          </w:p>
          <w:p>
            <w:pPr>
              <w:numPr>
                <w:ilvl w:val="0"/>
                <w:numId w:val="9"/>
              </w:numPr>
              <w:suppressAutoHyphens/>
              <w:ind w:firstLine="420" w:firstLineChars="200"/>
              <w:rPr>
                <w:color w:val="auto"/>
                <w:szCs w:val="21"/>
              </w:rPr>
            </w:pPr>
            <w:r>
              <w:rPr>
                <w:rFonts w:hint="eastAsia"/>
                <w:color w:val="auto"/>
                <w:szCs w:val="21"/>
              </w:rPr>
              <w:t>金属搭配透明钢化玻璃，双轴承脚轮，静音顺滑，耐磨，360º轻松旋转、移动；</w:t>
            </w:r>
          </w:p>
          <w:p>
            <w:pPr>
              <w:numPr>
                <w:ilvl w:val="0"/>
                <w:numId w:val="9"/>
              </w:numPr>
              <w:suppressAutoHyphens/>
              <w:ind w:firstLine="420" w:firstLineChars="200"/>
              <w:rPr>
                <w:color w:val="auto"/>
                <w:szCs w:val="21"/>
              </w:rPr>
            </w:pPr>
            <w:r>
              <w:rPr>
                <w:rFonts w:hint="eastAsia"/>
                <w:color w:val="auto"/>
                <w:szCs w:val="21"/>
              </w:rPr>
              <w:t>移动支架与会议平板为同一品牌；</w:t>
            </w:r>
          </w:p>
          <w:p>
            <w:pPr>
              <w:suppressAutoHyphens/>
              <w:rPr>
                <w:b/>
                <w:bCs/>
                <w:color w:val="auto"/>
                <w:szCs w:val="21"/>
              </w:rPr>
            </w:pPr>
            <w:r>
              <w:rPr>
                <w:b/>
                <w:bCs/>
                <w:color w:val="auto"/>
                <w:szCs w:val="21"/>
              </w:rPr>
              <w:t xml:space="preserve">4. </w:t>
            </w:r>
            <w:r>
              <w:rPr>
                <w:rFonts w:hint="eastAsia"/>
                <w:b/>
                <w:bCs/>
                <w:color w:val="auto"/>
                <w:szCs w:val="21"/>
              </w:rPr>
              <w:t>OPS定制电脑</w:t>
            </w:r>
          </w:p>
          <w:p>
            <w:pPr>
              <w:suppressAutoHyphens/>
              <w:ind w:firstLine="420" w:firstLineChars="200"/>
              <w:rPr>
                <w:color w:val="auto"/>
                <w:szCs w:val="21"/>
              </w:rPr>
            </w:pPr>
            <w:r>
              <w:rPr>
                <w:rFonts w:hint="eastAsia"/>
                <w:color w:val="auto"/>
                <w:szCs w:val="21"/>
              </w:rPr>
              <w:t>a</w:t>
            </w:r>
            <w:r>
              <w:rPr>
                <w:color w:val="auto"/>
                <w:szCs w:val="21"/>
              </w:rPr>
              <w:t>.</w:t>
            </w:r>
            <w:r>
              <w:rPr>
                <w:rFonts w:hint="eastAsia" w:ascii="微软雅黑" w:hAnsi="微软雅黑" w:eastAsia="微软雅黑" w:cstheme="minorBidi"/>
                <w:color w:val="auto"/>
                <w:kern w:val="24"/>
                <w:szCs w:val="21"/>
              </w:rPr>
              <w:t xml:space="preserve"> </w:t>
            </w:r>
            <w:r>
              <w:rPr>
                <w:rFonts w:hint="eastAsia"/>
                <w:color w:val="auto"/>
                <w:szCs w:val="21"/>
              </w:rPr>
              <w:t>采用标准80</w:t>
            </w:r>
            <w:r>
              <w:rPr>
                <w:color w:val="auto"/>
                <w:szCs w:val="21"/>
              </w:rPr>
              <w:t>pin</w:t>
            </w:r>
            <w:r>
              <w:rPr>
                <w:rFonts w:hint="eastAsia"/>
                <w:color w:val="auto"/>
                <w:szCs w:val="21"/>
              </w:rPr>
              <w:t>接口与液晶屏内的OPS接口进行对接</w:t>
            </w:r>
          </w:p>
          <w:p>
            <w:pPr>
              <w:suppressAutoHyphens/>
              <w:ind w:firstLine="420" w:firstLineChars="200"/>
              <w:rPr>
                <w:color w:val="auto"/>
                <w:szCs w:val="21"/>
              </w:rPr>
            </w:pPr>
            <w:r>
              <w:rPr>
                <w:color w:val="auto"/>
                <w:szCs w:val="21"/>
              </w:rPr>
              <w:t>b.</w:t>
            </w:r>
            <w:r>
              <w:rPr>
                <w:rFonts w:hint="eastAsia"/>
                <w:color w:val="auto"/>
                <w:szCs w:val="21"/>
              </w:rPr>
              <w:t xml:space="preserve"> OPS电脑模块配置：Intel-i5</w:t>
            </w:r>
            <w:r>
              <w:rPr>
                <w:color w:val="auto"/>
                <w:szCs w:val="21"/>
              </w:rPr>
              <w:t xml:space="preserve"> </w:t>
            </w:r>
            <w:r>
              <w:rPr>
                <w:rFonts w:hint="eastAsia"/>
                <w:color w:val="auto"/>
                <w:szCs w:val="21"/>
              </w:rPr>
              <w:t>七代及以上CPU，内存4G，固态硬盘128G，win</w:t>
            </w:r>
            <w:r>
              <w:rPr>
                <w:color w:val="auto"/>
                <w:szCs w:val="21"/>
              </w:rPr>
              <w:t>dows</w:t>
            </w:r>
            <w:r>
              <w:rPr>
                <w:rFonts w:hint="eastAsia"/>
                <w:color w:val="auto"/>
                <w:szCs w:val="21"/>
              </w:rPr>
              <w:t>系统</w:t>
            </w:r>
          </w:p>
          <w:p>
            <w:pPr>
              <w:suppressAutoHyphens/>
              <w:ind w:firstLine="420" w:firstLineChars="200"/>
              <w:rPr>
                <w:rFonts w:hint="default"/>
                <w:color w:val="auto"/>
                <w:lang w:val="en-US" w:eastAsia="zh-CN"/>
              </w:rPr>
            </w:pPr>
            <w:r>
              <w:rPr>
                <w:rFonts w:hint="eastAsia"/>
                <w:color w:val="auto"/>
                <w:szCs w:val="21"/>
              </w:rPr>
              <w:t>c</w:t>
            </w:r>
            <w:r>
              <w:rPr>
                <w:color w:val="auto"/>
                <w:szCs w:val="21"/>
              </w:rPr>
              <w:t>.</w:t>
            </w:r>
            <w:r>
              <w:rPr>
                <w:rFonts w:hint="eastAsia"/>
                <w:color w:val="auto"/>
                <w:szCs w:val="21"/>
              </w:rPr>
              <w:t xml:space="preserve"> 尺寸</w:t>
            </w:r>
            <w:r>
              <w:rPr>
                <w:rFonts w:hint="eastAsia"/>
                <w:color w:val="auto"/>
                <w:szCs w:val="21"/>
                <w:lang w:val="en-US" w:eastAsia="zh-CN"/>
              </w:rPr>
              <w:t>约</w:t>
            </w:r>
            <w:r>
              <w:rPr>
                <w:rFonts w:hint="eastAsia"/>
                <w:color w:val="auto"/>
                <w:szCs w:val="21"/>
              </w:rPr>
              <w:t>为180*119*30mm</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2台</w:t>
            </w:r>
          </w:p>
        </w:tc>
        <w:tc>
          <w:tcPr>
            <w:tcW w:w="750" w:type="dxa"/>
            <w:noWrap w:val="0"/>
            <w:vAlign w:val="center"/>
          </w:tcPr>
          <w:p>
            <w:pPr>
              <w:keepNext w:val="0"/>
              <w:keepLines w:val="0"/>
              <w:widowControl/>
              <w:suppressLineNumbers w:val="0"/>
              <w:jc w:val="center"/>
              <w:textAlignment w:val="center"/>
              <w:rPr>
                <w:rFonts w:hint="default" w:ascii="宋体" w:hAnsi="宋体" w:cs="宋体"/>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5</w:t>
            </w:r>
          </w:p>
        </w:tc>
        <w:tc>
          <w:tcPr>
            <w:tcW w:w="810" w:type="dxa"/>
            <w:noWrap w:val="0"/>
            <w:vAlign w:val="center"/>
          </w:tcPr>
          <w:p>
            <w:pPr>
              <w:widowControl/>
              <w:jc w:val="center"/>
              <w:rPr>
                <w:rFonts w:hint="eastAsia" w:ascii="宋体" w:hAnsi="宋体" w:cs="宋体"/>
                <w:b w:val="0"/>
                <w:bCs/>
                <w:color w:val="auto"/>
                <w:kern w:val="0"/>
                <w:szCs w:val="21"/>
                <w:lang w:eastAsia="zh-CN"/>
              </w:rPr>
            </w:pPr>
            <w:r>
              <w:rPr>
                <w:rFonts w:hint="eastAsia" w:ascii="宋体" w:hAnsi="宋体" w:cs="宋体"/>
                <w:b w:val="0"/>
                <w:bCs/>
                <w:color w:val="auto"/>
                <w:kern w:val="0"/>
                <w:szCs w:val="21"/>
                <w:lang w:eastAsia="zh-CN"/>
              </w:rPr>
              <w:t>试剂柜</w:t>
            </w:r>
          </w:p>
        </w:tc>
        <w:tc>
          <w:tcPr>
            <w:tcW w:w="7440" w:type="dxa"/>
            <w:noWrap w:val="0"/>
            <w:vAlign w:val="center"/>
          </w:tcPr>
          <w:p>
            <w:pPr>
              <w:rPr>
                <w:rFonts w:ascii="宋体" w:hAnsi="宋体" w:eastAsia="宋体"/>
                <w:color w:val="auto"/>
                <w:szCs w:val="21"/>
              </w:rPr>
            </w:pPr>
            <w:r>
              <w:rPr>
                <w:rFonts w:hint="eastAsia" w:ascii="宋体" w:hAnsi="宋体" w:eastAsia="宋体"/>
                <w:color w:val="auto"/>
                <w:szCs w:val="21"/>
              </w:rPr>
              <w:t>规格尺寸：900</w:t>
            </w:r>
            <w:r>
              <w:rPr>
                <w:rFonts w:ascii="宋体" w:hAnsi="宋体" w:eastAsia="宋体"/>
                <w:color w:val="auto"/>
                <w:szCs w:val="21"/>
              </w:rPr>
              <w:t>（宽</w:t>
            </w:r>
            <w:r>
              <w:rPr>
                <w:rFonts w:hint="eastAsia" w:ascii="宋体" w:hAnsi="宋体" w:eastAsia="宋体"/>
                <w:color w:val="auto"/>
                <w:szCs w:val="21"/>
              </w:rPr>
              <w:t>mm</w:t>
            </w:r>
            <w:r>
              <w:rPr>
                <w:rFonts w:ascii="宋体" w:hAnsi="宋体" w:eastAsia="宋体"/>
                <w:color w:val="auto"/>
                <w:szCs w:val="21"/>
              </w:rPr>
              <w:t>）</w:t>
            </w:r>
            <w:r>
              <w:rPr>
                <w:rFonts w:hint="eastAsia" w:ascii="宋体" w:hAnsi="宋体" w:eastAsia="宋体"/>
                <w:color w:val="auto"/>
                <w:szCs w:val="21"/>
              </w:rPr>
              <w:t>*450（深mm</w:t>
            </w:r>
            <w:r>
              <w:rPr>
                <w:rFonts w:ascii="宋体" w:hAnsi="宋体" w:eastAsia="宋体"/>
                <w:color w:val="auto"/>
                <w:szCs w:val="21"/>
              </w:rPr>
              <w:t>）</w:t>
            </w:r>
            <w:r>
              <w:rPr>
                <w:rFonts w:hint="eastAsia" w:ascii="宋体" w:hAnsi="宋体" w:eastAsia="宋体"/>
                <w:color w:val="auto"/>
                <w:szCs w:val="21"/>
              </w:rPr>
              <w:t>*1800</w:t>
            </w:r>
            <w:r>
              <w:rPr>
                <w:rFonts w:ascii="宋体" w:hAnsi="宋体" w:eastAsia="宋体"/>
                <w:color w:val="auto"/>
                <w:szCs w:val="21"/>
              </w:rPr>
              <w:t>（</w:t>
            </w:r>
            <w:r>
              <w:rPr>
                <w:rFonts w:hint="eastAsia" w:ascii="宋体" w:hAnsi="宋体" w:eastAsia="宋体"/>
                <w:color w:val="auto"/>
                <w:szCs w:val="21"/>
              </w:rPr>
              <w:t>高mm</w:t>
            </w:r>
            <w:r>
              <w:rPr>
                <w:rFonts w:ascii="宋体" w:hAnsi="宋体" w:eastAsia="宋体"/>
                <w:color w:val="auto"/>
                <w:szCs w:val="21"/>
              </w:rPr>
              <w:t>）</w:t>
            </w:r>
          </w:p>
          <w:p>
            <w:pPr>
              <w:rPr>
                <w:rFonts w:ascii="宋体" w:hAnsi="宋体" w:eastAsia="宋体"/>
                <w:color w:val="auto"/>
                <w:szCs w:val="21"/>
              </w:rPr>
            </w:pPr>
            <w:r>
              <w:rPr>
                <w:rFonts w:ascii="宋体" w:hAnsi="宋体" w:eastAsia="宋体"/>
                <w:color w:val="auto"/>
                <w:szCs w:val="21"/>
              </w:rPr>
              <w:t>1、上下四门结构，上门内嵌钢化透明玻璃。上下门各备有安全双门锁，加强管制药品。</w:t>
            </w:r>
          </w:p>
          <w:p>
            <w:pPr>
              <w:rPr>
                <w:rFonts w:ascii="宋体" w:hAnsi="宋体" w:eastAsia="宋体"/>
                <w:color w:val="auto"/>
                <w:szCs w:val="21"/>
              </w:rPr>
            </w:pPr>
            <w:r>
              <w:rPr>
                <w:rFonts w:ascii="宋体" w:hAnsi="宋体" w:eastAsia="宋体"/>
                <w:color w:val="auto"/>
                <w:szCs w:val="21"/>
              </w:rPr>
              <w:t>2、柜体材质：整体采用8mm厚瓷白色PP聚丙烯原料板制作，门框及侧板及承重立柱一体折弯成型，表面无焊缝，无缝焊接固定，结构坚固结实，承重性能优异。</w:t>
            </w:r>
          </w:p>
          <w:p>
            <w:pPr>
              <w:rPr>
                <w:rFonts w:ascii="宋体" w:hAnsi="宋体" w:eastAsia="宋体"/>
                <w:color w:val="auto"/>
                <w:szCs w:val="21"/>
              </w:rPr>
            </w:pPr>
            <w:r>
              <w:rPr>
                <w:rFonts w:ascii="宋体" w:hAnsi="宋体" w:eastAsia="宋体"/>
                <w:color w:val="auto"/>
                <w:szCs w:val="21"/>
              </w:rPr>
              <w:t>3、层板：采用瓷白色8mmPP聚丙烯原料板制作或一体注塑成型层板，四周设有防溢漏立边，可见样品，层板可调，可根据需要任意调节高度。</w:t>
            </w:r>
          </w:p>
          <w:p>
            <w:pPr>
              <w:rPr>
                <w:rFonts w:ascii="宋体" w:hAnsi="宋体" w:eastAsia="宋体"/>
                <w:color w:val="auto"/>
                <w:szCs w:val="21"/>
              </w:rPr>
            </w:pPr>
            <w:r>
              <w:rPr>
                <w:rFonts w:ascii="宋体" w:hAnsi="宋体" w:eastAsia="宋体"/>
                <w:color w:val="auto"/>
                <w:szCs w:val="21"/>
              </w:rPr>
              <w:t>4、门板：采用8mm厚PP聚丙烯原料板制作，门边框双层一体折弯加厚成型处理，焊枪无缝式焊接，上门内嵌5mm厚钢化玻璃透明视窗。</w:t>
            </w:r>
          </w:p>
          <w:p>
            <w:pPr>
              <w:rPr>
                <w:rFonts w:ascii="宋体" w:hAnsi="宋体" w:eastAsia="宋体"/>
                <w:color w:val="auto"/>
                <w:szCs w:val="21"/>
              </w:rPr>
            </w:pPr>
            <w:r>
              <w:rPr>
                <w:rFonts w:ascii="宋体" w:hAnsi="宋体" w:eastAsia="宋体"/>
                <w:color w:val="auto"/>
                <w:szCs w:val="21"/>
              </w:rPr>
              <w:t>5、绞链：PP塑胶射出一体成型，抗腐蚀性佳。</w:t>
            </w:r>
          </w:p>
          <w:p>
            <w:pPr>
              <w:rPr>
                <w:rFonts w:ascii="宋体" w:hAnsi="宋体" w:eastAsia="宋体"/>
                <w:color w:val="auto"/>
                <w:szCs w:val="21"/>
              </w:rPr>
            </w:pPr>
            <w:r>
              <w:rPr>
                <w:rFonts w:ascii="宋体" w:hAnsi="宋体" w:eastAsia="宋体"/>
                <w:color w:val="auto"/>
                <w:szCs w:val="21"/>
              </w:rPr>
              <w:t>6、把手：PP塑胶射出一体成型，抗腐蚀性佳。</w:t>
            </w:r>
          </w:p>
          <w:p>
            <w:pPr>
              <w:rPr>
                <w:rFonts w:ascii="宋体" w:hAnsi="宋体" w:eastAsia="宋体"/>
                <w:color w:val="auto"/>
                <w:szCs w:val="21"/>
              </w:rPr>
            </w:pPr>
            <w:r>
              <w:rPr>
                <w:rFonts w:ascii="宋体" w:hAnsi="宋体" w:eastAsia="宋体"/>
                <w:color w:val="auto"/>
                <w:szCs w:val="21"/>
              </w:rPr>
              <w:t>7、试剂柜要求采用CNC加工下料，所有连接结构稳固，各层板侧板门缝等无变形，具有省级或以上质量监督检验机构根据国家相关塑料家具检验标准出具的外观工艺（翘曲度、平整度、外观、拉门试验等）CMA检测报告，检测结构合格。需提供证书复印件。</w:t>
            </w:r>
          </w:p>
          <w:p>
            <w:pPr>
              <w:rPr>
                <w:rFonts w:ascii="宋体" w:hAnsi="宋体" w:eastAsia="宋体"/>
                <w:color w:val="auto"/>
                <w:szCs w:val="21"/>
              </w:rPr>
            </w:pPr>
            <w:r>
              <w:rPr>
                <w:rFonts w:ascii="宋体" w:hAnsi="宋体" w:eastAsia="宋体"/>
                <w:color w:val="auto"/>
                <w:szCs w:val="21"/>
              </w:rPr>
              <w:t>8、试剂柜采用PP（聚丙烯）材质，要求材质合格，不变色，提供根据国家相关塑料家具检验标准出具的耐老化性能CMA检测报告，老化时间不低于500小时，检测结果合格。需提供证书复印件</w:t>
            </w:r>
          </w:p>
          <w:p>
            <w:pPr>
              <w:widowControl/>
              <w:jc w:val="left"/>
              <w:rPr>
                <w:rFonts w:hint="eastAsia" w:ascii="Times New Roman" w:hAnsi="Times New Roman" w:eastAsia="宋体" w:cs="Times New Roman"/>
                <w:color w:val="auto"/>
                <w:lang w:val="en-US" w:eastAsia="zh-CN"/>
              </w:rPr>
            </w:pPr>
            <w:r>
              <w:rPr>
                <w:rFonts w:ascii="宋体" w:hAnsi="宋体" w:eastAsia="宋体"/>
                <w:color w:val="auto"/>
                <w:szCs w:val="21"/>
              </w:rPr>
              <w:t>9、</w:t>
            </w:r>
            <w:r>
              <w:rPr>
                <w:rFonts w:hint="eastAsia"/>
                <w:color w:val="auto"/>
                <w:lang w:val="en-US" w:eastAsia="zh-CN"/>
              </w:rPr>
              <w:t>供应商承诺提供三年原厂售后服务。</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3个</w:t>
            </w:r>
          </w:p>
        </w:tc>
        <w:tc>
          <w:tcPr>
            <w:tcW w:w="750" w:type="dxa"/>
            <w:noWrap w:val="0"/>
            <w:vAlign w:val="center"/>
          </w:tcPr>
          <w:p>
            <w:pPr>
              <w:keepNext w:val="0"/>
              <w:keepLines w:val="0"/>
              <w:widowControl/>
              <w:suppressLineNumbers w:val="0"/>
              <w:jc w:val="center"/>
              <w:textAlignment w:val="center"/>
              <w:rPr>
                <w:rFonts w:hint="default" w:ascii="宋体" w:hAnsi="宋体" w:cs="宋体"/>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7"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6</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酸度计</w:t>
            </w:r>
          </w:p>
        </w:tc>
        <w:tc>
          <w:tcPr>
            <w:tcW w:w="7440"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校准点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"http://www.sh17.cn/search/?q=%E6%A0%A1%E5%87%86%E7%82%B9:1-2%E7%82%B9&amp;c=52"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1-2点</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配套电极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"http://www.sh17.cn/search/?q=%E9%85%8D%E5%A5%97%E7%94%B5%E6%9E%81:E-201-C&amp;c=52"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E-201-C</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温度测量范围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"http://www.sh17.cn/search/?q=%E6%B8%A9%E5%BA%A6%E6%B5%8B%E9%87%8F%E8%8C%83%E5%9B%B4:0~60%E2%84%83&amp;c=52"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0~60℃</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稳定性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"http://www.sh17.cn/search/?q=%E7%A8%B3%E5%AE%9A%E6%80%A7:%C2%B10.01PH%C2%B11%E4%B8%AA%E5%AD%97/3h&amp;c=52"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±0.01PH±1个字/3h</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输入阻抗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"http://www.sh17.cn/search/?q=%E8%BE%93%E5%85%A5%E9%98%BB%E6%8A%97:%E2%89%A51*10(12)%CE%A9&amp;c=52"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≥1*10(12)Ω</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MV误差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"http://www.sh17.cn/search/?q=MV%E8%AF%AF%E5%B7%AE:%C2%B12mV&amp;c=52"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±2mV</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PH误差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"http://www.sh17.cn/search/?q=PH%E8%AF%AF%E5%B7%AE:%C2%B10.01PH%C2%B11%E4%B8%AA%E5%AD%97&amp;c=52"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±0.01PH±1个字</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mv精度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"http://www.sh17.cn/search/?q=mv%E7%B2%BE%E5%BA%A6:1mv&amp;c=52"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1mv</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ph精度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"http://www.sh17.cn/search/?q=ph%E7%B2%BE%E5%BA%A6:0.01PH&amp;c=52"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0.01PH</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测量范围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"http://www.sh17.cn/search/?q=%E6%B5%8B%E9%87%8F%E8%8C%83%E5%9B%B4:-1400~1400mv&amp;c=52"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-1400~1400mv</w:t>
            </w:r>
            <w:r>
              <w:rPr>
                <w:rFonts w:hint="default" w:ascii="宋体" w:hAnsi="宋体" w:eastAsia="宋体" w:cs="宋体"/>
                <w:color w:val="auto"/>
                <w:kern w:val="0"/>
                <w:sz w:val="21"/>
                <w:szCs w:val="21"/>
                <w:lang w:val="en-US" w:eastAsia="zh-CN" w:bidi="ar"/>
              </w:rPr>
              <w:fldChar w:fldCharType="end"/>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测量范围 ：</w:t>
            </w:r>
            <w:r>
              <w:rPr>
                <w:rFonts w:hint="default" w:ascii="宋体" w:hAnsi="宋体" w:eastAsia="宋体" w:cs="宋体"/>
                <w:color w:val="auto"/>
                <w:kern w:val="0"/>
                <w:sz w:val="21"/>
                <w:szCs w:val="21"/>
                <w:lang w:val="en-US" w:eastAsia="zh-CN" w:bidi="ar"/>
              </w:rPr>
              <w:fldChar w:fldCharType="begin"/>
            </w:r>
            <w:r>
              <w:rPr>
                <w:rFonts w:hint="default" w:ascii="宋体" w:hAnsi="宋体" w:eastAsia="宋体" w:cs="宋体"/>
                <w:color w:val="auto"/>
                <w:kern w:val="0"/>
                <w:sz w:val="21"/>
                <w:szCs w:val="21"/>
                <w:lang w:val="en-US" w:eastAsia="zh-CN" w:bidi="ar"/>
              </w:rPr>
              <w:instrText xml:space="preserve"> HYPERLINK "http://www.sh17.cn/search/?q=%E6%B5%8B%E9%87%8F%E8%8C%83%E5%9B%B4:0.00-14.00PH&amp;c=52" \t "http://www.sh17.cn/product/1804/_blank" </w:instrText>
            </w:r>
            <w:r>
              <w:rPr>
                <w:rFonts w:hint="default" w:ascii="宋体" w:hAnsi="宋体" w:eastAsia="宋体" w:cs="宋体"/>
                <w:color w:val="auto"/>
                <w:kern w:val="0"/>
                <w:sz w:val="21"/>
                <w:szCs w:val="21"/>
                <w:lang w:val="en-US" w:eastAsia="zh-CN" w:bidi="ar"/>
              </w:rPr>
              <w:fldChar w:fldCharType="separate"/>
            </w:r>
            <w:r>
              <w:rPr>
                <w:rFonts w:hint="default" w:ascii="宋体" w:hAnsi="宋体" w:eastAsia="宋体" w:cs="宋体"/>
                <w:color w:val="auto"/>
                <w:kern w:val="0"/>
                <w:sz w:val="21"/>
                <w:szCs w:val="21"/>
                <w:lang w:val="en-US" w:eastAsia="zh-CN" w:bidi="ar"/>
              </w:rPr>
              <w:t>0.00-14.00PH</w:t>
            </w:r>
            <w:r>
              <w:rPr>
                <w:rFonts w:hint="default" w:ascii="宋体" w:hAnsi="宋体" w:eastAsia="宋体" w:cs="宋体"/>
                <w:color w:val="auto"/>
                <w:kern w:val="0"/>
                <w:sz w:val="21"/>
                <w:szCs w:val="21"/>
                <w:lang w:val="en-US" w:eastAsia="zh-CN" w:bidi="ar"/>
              </w:rPr>
              <w:fldChar w:fldCharType="end"/>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6台</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05" w:type="dxa"/>
            <w:noWrap w:val="0"/>
            <w:vAlign w:val="center"/>
          </w:tcPr>
          <w:p>
            <w:pPr>
              <w:widowControl/>
              <w:jc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7</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磁力搅拌器</w:t>
            </w:r>
          </w:p>
        </w:tc>
        <w:tc>
          <w:tcPr>
            <w:tcW w:w="7440"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1、材质 ：高分子聚合物；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2、最大搅拌容量 (H2O) ：5L(重要指标，此条为必须符合指标，提供产品彩页)；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3、转速 ：0~1500rpm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4、调速：10rpm/节；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5、转速显示：LED数字显示(重要指标，此条为必须符合指标，提供产品彩页)；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6、具有定时功能，可在1-900min任意设定搅拌时间或连续工作模式(重要指标，此条为必须符合指标，提供产品彩页)；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7、具有反转功能，更利于复杂样品的搅拌(重要指标，此条为必须符合指标，提供产品彩页)；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配置：主机1台+磁力搅拌子1个；</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为保证产品质量，要求所投产品生产厂家通过ISO9001:2008，ISO14001：2004及OHSAS18001:2007认证（提供证书复印件）。</w:t>
            </w:r>
          </w:p>
        </w:tc>
        <w:tc>
          <w:tcPr>
            <w:tcW w:w="780" w:type="dxa"/>
            <w:noWrap w:val="0"/>
            <w:vAlign w:val="center"/>
          </w:tcPr>
          <w:p>
            <w:pPr>
              <w:keepNext w:val="0"/>
              <w:keepLines w:val="0"/>
              <w:widowControl/>
              <w:suppressLineNumbers w:val="0"/>
              <w:jc w:val="center"/>
              <w:textAlignment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1台</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8</w:t>
            </w:r>
          </w:p>
        </w:tc>
        <w:tc>
          <w:tcPr>
            <w:tcW w:w="810" w:type="dxa"/>
            <w:noWrap w:val="0"/>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千分之一电子天平</w:t>
            </w:r>
          </w:p>
        </w:tc>
        <w:tc>
          <w:tcPr>
            <w:tcW w:w="7440" w:type="dxa"/>
            <w:noWrap w:val="0"/>
            <w:vAlign w:val="center"/>
          </w:tcPr>
          <w:p>
            <w:pPr>
              <w:widowControl/>
              <w:jc w:val="left"/>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bidi="ar"/>
              </w:rPr>
              <w:t>人性化设计、结构新颖、五面全透明玻璃防风罩。采用新一代电磁平衡式称量传感器，保证了产品的高精度。具有全自动故障检测，线性四点校准，超载保护等应用程序</w:t>
            </w:r>
            <w:r>
              <w:rPr>
                <w:rFonts w:hint="eastAsia" w:ascii="宋体" w:hAnsi="宋体" w:eastAsia="宋体" w:cs="宋体"/>
                <w:color w:val="auto"/>
                <w:kern w:val="0"/>
                <w:sz w:val="21"/>
                <w:szCs w:val="21"/>
                <w:lang w:eastAsia="zh-CN" w:bidi="ar"/>
              </w:rPr>
              <w:t>；</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超大带背光液晶显示屏。</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bidi="ar"/>
              </w:rPr>
              <w:t>具有计件、单位转换（米制克拉、金盎司等）、稳定度、全量程去皮、零点跟踪等多种功能，操作更简便可靠。</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bidi="ar"/>
              </w:rPr>
              <w:t>内置RS232C输出接口，可直接连接计算机、打印机等外部设备</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内置式下称吊钩</w:t>
            </w:r>
            <w:r>
              <w:rPr>
                <w:rFonts w:hint="eastAsia" w:ascii="宋体" w:hAnsi="宋体" w:cs="宋体"/>
                <w:color w:val="auto"/>
                <w:kern w:val="0"/>
                <w:sz w:val="21"/>
                <w:szCs w:val="21"/>
                <w:lang w:eastAsia="zh-CN" w:bidi="ar"/>
              </w:rPr>
              <w:t>，外部校准；</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称量范围：0-</w:t>
            </w:r>
            <w:r>
              <w:rPr>
                <w:rFonts w:hint="eastAsia" w:ascii="宋体" w:hAnsi="宋体" w:cs="宋体"/>
                <w:color w:val="auto"/>
                <w:kern w:val="0"/>
                <w:sz w:val="21"/>
                <w:szCs w:val="21"/>
                <w:lang w:val="en-US" w:eastAsia="zh-CN" w:bidi="ar"/>
              </w:rPr>
              <w:t>50</w:t>
            </w:r>
            <w:r>
              <w:rPr>
                <w:rFonts w:hint="eastAsia" w:ascii="宋体" w:hAnsi="宋体" w:eastAsia="宋体" w:cs="宋体"/>
                <w:color w:val="auto"/>
                <w:kern w:val="0"/>
                <w:sz w:val="21"/>
                <w:szCs w:val="21"/>
                <w:lang w:val="en-US" w:eastAsia="zh-CN" w:bidi="ar"/>
              </w:rPr>
              <w:t>0g</w:t>
            </w:r>
            <w:r>
              <w:rPr>
                <w:rFonts w:hint="eastAsia" w:ascii="宋体" w:hAnsi="宋体" w:cs="宋体"/>
                <w:color w:val="auto"/>
                <w:kern w:val="0"/>
                <w:sz w:val="21"/>
                <w:szCs w:val="21"/>
                <w:lang w:val="en-US" w:eastAsia="zh-CN" w:bidi="ar"/>
              </w:rPr>
              <w:t>；</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可读性精度：1mg</w:t>
            </w:r>
            <w:r>
              <w:rPr>
                <w:rFonts w:hint="eastAsia" w:ascii="宋体" w:hAnsi="宋体" w:cs="宋体"/>
                <w:color w:val="auto"/>
                <w:kern w:val="0"/>
                <w:sz w:val="21"/>
                <w:szCs w:val="21"/>
                <w:lang w:val="en-US" w:eastAsia="zh-CN" w:bidi="ar"/>
              </w:rPr>
              <w:t>；</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秤盘尺寸：</w:t>
            </w:r>
            <w:r>
              <w:rPr>
                <w:rFonts w:hint="eastAsia" w:ascii="宋体" w:hAnsi="宋体" w:eastAsia="宋体" w:cs="宋体"/>
                <w:color w:val="auto"/>
                <w:kern w:val="0"/>
                <w:sz w:val="21"/>
                <w:szCs w:val="21"/>
                <w:lang w:bidi="ar"/>
              </w:rPr>
              <w:t>Φ</w:t>
            </w:r>
            <w:r>
              <w:rPr>
                <w:rFonts w:hint="eastAsia" w:ascii="宋体" w:hAnsi="宋体" w:cs="宋体"/>
                <w:color w:val="auto"/>
                <w:kern w:val="0"/>
                <w:sz w:val="21"/>
                <w:szCs w:val="21"/>
                <w:lang w:val="en-US" w:eastAsia="zh-CN" w:bidi="ar"/>
              </w:rPr>
              <w:t>110</w:t>
            </w:r>
            <w:r>
              <w:rPr>
                <w:rFonts w:hint="eastAsia" w:ascii="宋体" w:hAnsi="宋体" w:eastAsia="宋体" w:cs="宋体"/>
                <w:color w:val="auto"/>
                <w:kern w:val="0"/>
                <w:sz w:val="21"/>
                <w:szCs w:val="21"/>
                <w:lang w:bidi="ar"/>
              </w:rPr>
              <w:t>mm</w:t>
            </w:r>
            <w:r>
              <w:rPr>
                <w:rFonts w:hint="eastAsia" w:ascii="宋体" w:hAnsi="宋体" w:cs="宋体"/>
                <w:color w:val="auto"/>
                <w:kern w:val="0"/>
                <w:sz w:val="21"/>
                <w:szCs w:val="21"/>
                <w:lang w:eastAsia="zh-CN" w:bidi="ar"/>
              </w:rPr>
              <w:t>；</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6台</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9</w:t>
            </w:r>
          </w:p>
        </w:tc>
        <w:tc>
          <w:tcPr>
            <w:tcW w:w="810" w:type="dxa"/>
            <w:noWrap w:val="0"/>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万分之一电子天平</w:t>
            </w:r>
          </w:p>
        </w:tc>
        <w:tc>
          <w:tcPr>
            <w:tcW w:w="7440" w:type="dxa"/>
            <w:noWrap w:val="0"/>
            <w:vAlign w:val="center"/>
          </w:tcPr>
          <w:p>
            <w:pPr>
              <w:widowControl/>
              <w:jc w:val="left"/>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bidi="ar"/>
              </w:rPr>
              <w:t>人性化设计、结构新颖、五面全透明玻璃防风罩。采用新一代电磁平衡式称量传感器，保证了产品的高精度。具有全自动故障检测，线性四点校准，超载保护等应用程序</w:t>
            </w:r>
            <w:r>
              <w:rPr>
                <w:rFonts w:hint="eastAsia" w:ascii="宋体" w:hAnsi="宋体" w:eastAsia="宋体" w:cs="宋体"/>
                <w:color w:val="auto"/>
                <w:kern w:val="0"/>
                <w:sz w:val="21"/>
                <w:szCs w:val="21"/>
                <w:lang w:eastAsia="zh-CN" w:bidi="ar"/>
              </w:rPr>
              <w:t>；</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超大带背光液晶显示屏。</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bidi="ar"/>
              </w:rPr>
              <w:t>具有计件、单位转换（米制克拉、金盎司等）、稳定度、全量程去皮、零点跟踪等多种功能，操作更简便可靠。</w:t>
            </w:r>
          </w:p>
          <w:p>
            <w:pPr>
              <w:widowControl/>
              <w:jc w:val="left"/>
              <w:textAlignment w:val="center"/>
              <w:rPr>
                <w:rFonts w:hint="eastAsia"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bidi="ar"/>
              </w:rPr>
              <w:t>内置RS232C输出接口，可直接连接计算机、打印机等外部设备</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内置式下称吊钩</w:t>
            </w:r>
            <w:r>
              <w:rPr>
                <w:rFonts w:hint="eastAsia" w:ascii="宋体" w:hAnsi="宋体" w:cs="宋体"/>
                <w:color w:val="auto"/>
                <w:kern w:val="0"/>
                <w:sz w:val="21"/>
                <w:szCs w:val="21"/>
                <w:lang w:eastAsia="zh-CN" w:bidi="ar"/>
              </w:rPr>
              <w:t>，外部校准；</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称量范围：0-220g</w:t>
            </w:r>
            <w:r>
              <w:rPr>
                <w:rFonts w:hint="eastAsia" w:ascii="宋体" w:hAnsi="宋体" w:cs="宋体"/>
                <w:color w:val="auto"/>
                <w:kern w:val="0"/>
                <w:sz w:val="21"/>
                <w:szCs w:val="21"/>
                <w:lang w:val="en-US" w:eastAsia="zh-CN" w:bidi="ar"/>
              </w:rPr>
              <w:t>；</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可读性精度：0.1mg</w:t>
            </w:r>
            <w:r>
              <w:rPr>
                <w:rFonts w:hint="eastAsia" w:ascii="宋体" w:hAnsi="宋体" w:cs="宋体"/>
                <w:color w:val="auto"/>
                <w:kern w:val="0"/>
                <w:sz w:val="21"/>
                <w:szCs w:val="21"/>
                <w:lang w:val="en-US" w:eastAsia="zh-CN" w:bidi="ar"/>
              </w:rPr>
              <w:t>；</w:t>
            </w:r>
          </w:p>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秤盘尺寸：</w:t>
            </w:r>
            <w:r>
              <w:rPr>
                <w:rFonts w:hint="eastAsia" w:ascii="宋体" w:hAnsi="宋体" w:eastAsia="宋体" w:cs="宋体"/>
                <w:color w:val="auto"/>
                <w:kern w:val="0"/>
                <w:sz w:val="21"/>
                <w:szCs w:val="21"/>
                <w:lang w:bidi="ar"/>
              </w:rPr>
              <w:t>Φ80mm</w:t>
            </w:r>
            <w:r>
              <w:rPr>
                <w:rFonts w:hint="eastAsia" w:ascii="宋体" w:hAnsi="宋体" w:cs="宋体"/>
                <w:color w:val="auto"/>
                <w:kern w:val="0"/>
                <w:sz w:val="21"/>
                <w:szCs w:val="21"/>
                <w:lang w:eastAsia="zh-CN" w:bidi="ar"/>
              </w:rPr>
              <w:t>；</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2台</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705" w:type="dxa"/>
            <w:noWrap w:val="0"/>
            <w:vAlign w:val="center"/>
          </w:tcPr>
          <w:p>
            <w:pPr>
              <w:widowControl/>
              <w:jc w:val="center"/>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10</w:t>
            </w:r>
          </w:p>
        </w:tc>
        <w:tc>
          <w:tcPr>
            <w:tcW w:w="810" w:type="dxa"/>
            <w:noWrap w:val="0"/>
            <w:vAlign w:val="center"/>
          </w:tcPr>
          <w:p>
            <w:pPr>
              <w:keepNext w:val="0"/>
              <w:keepLines w:val="0"/>
              <w:widowControl/>
              <w:suppressLineNumbers w:val="0"/>
              <w:jc w:val="center"/>
              <w:textAlignment w:val="center"/>
              <w:rPr>
                <w:rFonts w:hint="eastAsia" w:ascii="宋体" w:hAnsi="宋体" w:cs="宋体"/>
                <w:b w:val="0"/>
                <w:bCs/>
                <w:color w:val="auto"/>
                <w:kern w:val="0"/>
                <w:sz w:val="21"/>
                <w:szCs w:val="21"/>
                <w:lang w:eastAsia="zh-CN"/>
              </w:rPr>
            </w:pPr>
            <w:r>
              <w:rPr>
                <w:rFonts w:hint="eastAsia" w:ascii="宋体" w:hAnsi="宋体" w:eastAsia="宋体" w:cs="宋体"/>
                <w:i w:val="0"/>
                <w:color w:val="auto"/>
                <w:kern w:val="0"/>
                <w:sz w:val="21"/>
                <w:szCs w:val="21"/>
                <w:u w:val="none"/>
                <w:lang w:val="en-US" w:eastAsia="zh-CN" w:bidi="ar"/>
              </w:rPr>
              <w:t>实验圆凳</w:t>
            </w:r>
          </w:p>
        </w:tc>
        <w:tc>
          <w:tcPr>
            <w:tcW w:w="7440" w:type="dxa"/>
            <w:noWrap w:val="0"/>
            <w:vAlign w:val="center"/>
          </w:tcPr>
          <w:p>
            <w:pPr>
              <w:widowControl/>
              <w:jc w:val="left"/>
              <w:textAlignment w:val="center"/>
              <w:rPr>
                <w:rFonts w:hint="default" w:ascii="宋体" w:hAnsi="宋体" w:eastAsia="宋体" w:cs="宋体"/>
                <w:b w:val="0"/>
                <w:bCs/>
                <w:color w:val="auto"/>
                <w:kern w:val="0"/>
                <w:sz w:val="21"/>
                <w:szCs w:val="21"/>
                <w:lang w:eastAsia="zh-CN"/>
              </w:rPr>
            </w:pPr>
            <w:r>
              <w:rPr>
                <w:rFonts w:hint="eastAsia" w:ascii="宋体" w:hAnsi="宋体" w:eastAsia="宋体" w:cs="宋体"/>
                <w:color w:val="auto"/>
                <w:kern w:val="0"/>
                <w:sz w:val="21"/>
                <w:szCs w:val="21"/>
                <w:lang w:bidi="ar"/>
              </w:rPr>
              <w:t>1、采用PU皮革材质，防水耐用，不易变形、安全气压支撑杆，气压杆均符合标准气压棒检测，有效支撑，加长使用寿命。加厚钢制四爪，耐腐蚀性强，座椅可360°旋转。</w:t>
            </w:r>
          </w:p>
        </w:tc>
        <w:tc>
          <w:tcPr>
            <w:tcW w:w="780" w:type="dxa"/>
            <w:noWrap w:val="0"/>
            <w:vAlign w:val="center"/>
          </w:tcPr>
          <w:p>
            <w:pPr>
              <w:widowControl/>
              <w:jc w:val="center"/>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40张</w:t>
            </w:r>
          </w:p>
        </w:tc>
        <w:tc>
          <w:tcPr>
            <w:tcW w:w="750" w:type="dxa"/>
            <w:noWrap w:val="0"/>
            <w:vAlign w:val="center"/>
          </w:tcPr>
          <w:p>
            <w:pPr>
              <w:keepNext w:val="0"/>
              <w:keepLines w:val="0"/>
              <w:widowControl/>
              <w:suppressLineNumbers w:val="0"/>
              <w:jc w:val="center"/>
              <w:textAlignment w:val="center"/>
              <w:rPr>
                <w:rFonts w:hint="eastAsia" w:ascii="宋体" w:hAnsi="宋体" w:cs="宋体"/>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7" w:hRule="atLeast"/>
        </w:trPr>
        <w:tc>
          <w:tcPr>
            <w:tcW w:w="10485" w:type="dxa"/>
            <w:gridSpan w:val="5"/>
            <w:noWrap w:val="0"/>
            <w:vAlign w:val="center"/>
          </w:tcPr>
          <w:p>
            <w:pPr>
              <w:spacing w:line="360" w:lineRule="auto"/>
              <w:jc w:val="left"/>
              <w:rPr>
                <w:b/>
                <w:bCs/>
                <w:sz w:val="22"/>
                <w:szCs w:val="22"/>
              </w:rPr>
            </w:pPr>
            <w:r>
              <w:rPr>
                <w:rFonts w:hint="eastAsia"/>
                <w:b/>
                <w:bCs/>
                <w:sz w:val="22"/>
                <w:szCs w:val="22"/>
              </w:rPr>
              <w:t>说明：谈判响应人的谈判响应文件必须标明所投货物的品牌与参数，保证原厂正品供货，提供相关资料等。</w:t>
            </w:r>
          </w:p>
          <w:p>
            <w:pPr>
              <w:spacing w:line="360" w:lineRule="auto"/>
              <w:ind w:firstLine="442" w:firstLineChars="200"/>
              <w:jc w:val="left"/>
              <w:rPr>
                <w:b/>
                <w:bCs/>
                <w:color w:val="auto"/>
                <w:sz w:val="22"/>
                <w:szCs w:val="22"/>
              </w:rPr>
            </w:pPr>
            <w:r>
              <w:rPr>
                <w:rFonts w:hint="eastAsia"/>
                <w:b/>
                <w:bCs/>
                <w:sz w:val="22"/>
                <w:szCs w:val="22"/>
              </w:rPr>
              <w:t>本项目技术参数中若有要求提供证明资料（例如检测报告、</w:t>
            </w:r>
            <w:r>
              <w:rPr>
                <w:rFonts w:hint="eastAsia"/>
                <w:b/>
                <w:bCs/>
                <w:sz w:val="22"/>
                <w:szCs w:val="22"/>
                <w:lang w:val="en-US" w:eastAsia="zh-CN"/>
              </w:rPr>
              <w:t>产品彩页</w:t>
            </w:r>
            <w:r>
              <w:rPr>
                <w:rFonts w:hint="eastAsia"/>
                <w:b/>
                <w:bCs/>
                <w:sz w:val="22"/>
                <w:szCs w:val="22"/>
              </w:rPr>
              <w:t>、体系认证</w:t>
            </w:r>
            <w:r>
              <w:rPr>
                <w:rFonts w:hint="eastAsia"/>
                <w:b/>
                <w:bCs/>
                <w:sz w:val="22"/>
                <w:szCs w:val="22"/>
                <w:lang w:eastAsia="zh-CN"/>
              </w:rPr>
              <w:t>、</w:t>
            </w:r>
            <w:r>
              <w:rPr>
                <w:rFonts w:hint="eastAsia"/>
                <w:b/>
                <w:bCs/>
                <w:sz w:val="22"/>
                <w:szCs w:val="22"/>
              </w:rPr>
              <w:t>软件著作权证书、售后服务承诺函等）均在成交通知书发出后7个工作日内提供，若成交人未在竞争性谈判文件要求的期限内提供竞争性谈判文</w:t>
            </w:r>
            <w:r>
              <w:rPr>
                <w:rFonts w:hint="eastAsia"/>
                <w:b/>
                <w:bCs/>
                <w:color w:val="auto"/>
                <w:sz w:val="22"/>
                <w:szCs w:val="22"/>
              </w:rPr>
              <w:t>件中要求的证明资料或成交人提供的证明资料不能完全符合竞争性谈判文件要求，则视为虚假响应。</w:t>
            </w:r>
          </w:p>
          <w:p>
            <w:pPr>
              <w:keepNext w:val="0"/>
              <w:keepLines w:val="0"/>
              <w:widowControl/>
              <w:suppressLineNumbers w:val="0"/>
              <w:jc w:val="center"/>
              <w:textAlignment w:val="center"/>
              <w:rPr>
                <w:rFonts w:hint="eastAsia" w:ascii="宋体" w:hAnsi="宋体" w:cs="宋体"/>
                <w:b w:val="0"/>
                <w:bCs/>
                <w:color w:val="auto"/>
                <w:kern w:val="0"/>
                <w:sz w:val="21"/>
                <w:szCs w:val="21"/>
                <w:lang w:val="en-US" w:eastAsia="zh-CN"/>
              </w:rPr>
            </w:pPr>
          </w:p>
        </w:tc>
      </w:tr>
    </w:tbl>
    <w:p>
      <w:pPr>
        <w:pStyle w:val="5"/>
        <w:ind w:left="0" w:leftChars="0" w:firstLine="0" w:firstLineChars="0"/>
      </w:pPr>
    </w:p>
    <w:p>
      <w:pPr>
        <w:pStyle w:val="6"/>
        <w:ind w:firstLine="472" w:firstLineChars="196"/>
        <w:rPr>
          <w:rFonts w:hAnsi="宋体" w:cs="宋体"/>
          <w:color w:val="000000"/>
        </w:rPr>
      </w:pPr>
      <w:r>
        <w:rPr>
          <w:rFonts w:hint="eastAsia" w:hAnsi="宋体" w:cs="宋体"/>
          <w:color w:val="000000"/>
        </w:rPr>
        <w:t>八、人员培训要求</w:t>
      </w:r>
      <w:bookmarkEnd w:id="79"/>
      <w:bookmarkEnd w:id="80"/>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货物安装、调试、验收合格后，成交人应对采购人的相关人员进行免费现场培训。培训内容包括基本操作、保养维修、常见故障及解决办法等。</w:t>
      </w:r>
    </w:p>
    <w:p>
      <w:pPr>
        <w:pStyle w:val="6"/>
        <w:ind w:firstLine="472" w:firstLineChars="196"/>
        <w:rPr>
          <w:rFonts w:hAnsi="宋体" w:cs="宋体"/>
          <w:color w:val="000000"/>
        </w:rPr>
      </w:pPr>
      <w:bookmarkStart w:id="100" w:name="_Toc21193"/>
      <w:bookmarkStart w:id="101" w:name="_Toc54938483"/>
      <w:r>
        <w:rPr>
          <w:rFonts w:hint="eastAsia" w:hAnsi="宋体" w:cs="宋体"/>
          <w:color w:val="000000"/>
        </w:rPr>
        <w:t>九、货物质量及售后服务要求</w:t>
      </w:r>
      <w:bookmarkEnd w:id="100"/>
      <w:bookmarkEnd w:id="101"/>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
        <w:ind w:firstLine="472" w:firstLineChars="196"/>
        <w:rPr>
          <w:rFonts w:hAnsi="宋体" w:cs="宋体"/>
          <w:color w:val="000000"/>
        </w:rPr>
      </w:pPr>
      <w:bookmarkStart w:id="102" w:name="_Toc23093"/>
      <w:bookmarkStart w:id="103" w:name="_Toc54938484"/>
      <w:r>
        <w:rPr>
          <w:rFonts w:hint="eastAsia" w:hAnsi="宋体" w:cs="宋体"/>
          <w:color w:val="000000"/>
        </w:rPr>
        <w:t>十、验收</w:t>
      </w:r>
      <w:bookmarkEnd w:id="102"/>
      <w:bookmarkEnd w:id="103"/>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成交人和采购人双方共同实施验收工作，结果和验收报告经双方确认后生效。</w:t>
      </w:r>
    </w:p>
    <w:p>
      <w:pPr>
        <w:widowControl/>
        <w:jc w:val="left"/>
        <w:rPr>
          <w:rFonts w:ascii="宋体" w:hAnsi="宋体" w:cs="宋体"/>
          <w:szCs w:val="21"/>
        </w:rPr>
      </w:pPr>
      <w:r>
        <w:rPr>
          <w:rFonts w:ascii="宋体" w:hAnsi="宋体" w:cs="宋体"/>
          <w:szCs w:val="21"/>
        </w:rPr>
        <w:br w:type="page"/>
      </w:r>
    </w:p>
    <w:p>
      <w:pPr>
        <w:pStyle w:val="3"/>
        <w:rPr>
          <w:rFonts w:ascii="宋体" w:hAnsi="宋体" w:cs="宋体"/>
        </w:rPr>
      </w:pPr>
      <w:r>
        <w:rPr>
          <w:rFonts w:hint="eastAsia" w:ascii="宋体" w:hAnsi="宋体" w:cs="宋体"/>
        </w:rPr>
        <w:t>第四章  合同主要条款</w:t>
      </w:r>
      <w:bookmarkEnd w:id="77"/>
      <w:bookmarkEnd w:id="78"/>
    </w:p>
    <w:p>
      <w:pPr>
        <w:tabs>
          <w:tab w:val="left" w:pos="3640"/>
        </w:tabs>
        <w:autoSpaceDE w:val="0"/>
        <w:autoSpaceDN w:val="0"/>
        <w:spacing w:line="360" w:lineRule="auto"/>
        <w:rPr>
          <w:rFonts w:ascii="宋体" w:hAnsi="宋体" w:cs="宋体"/>
          <w:color w:val="000000"/>
          <w:szCs w:val="21"/>
          <w:u w:val="single"/>
        </w:rPr>
      </w:pPr>
      <w:bookmarkStart w:id="104" w:name="_Toc26873"/>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3"/>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spacing w:line="360" w:lineRule="auto"/>
        <w:rPr>
          <w:rFonts w:ascii="宋体" w:hAnsi="宋体"/>
          <w:spacing w:val="8"/>
          <w:szCs w:val="21"/>
          <w:u w:val="single"/>
        </w:rPr>
      </w:pPr>
    </w:p>
    <w:p>
      <w:pPr>
        <w:tabs>
          <w:tab w:val="left" w:pos="3640"/>
        </w:tabs>
        <w:autoSpaceDE w:val="0"/>
        <w:autoSpaceDN w:val="0"/>
        <w:spacing w:line="360" w:lineRule="auto"/>
        <w:rPr>
          <w:rFonts w:ascii="宋体" w:hAnsi="宋体" w:cs="宋体"/>
          <w:szCs w:val="21"/>
        </w:rPr>
      </w:pP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买  方                          卖   方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采购人（盖章）：</w:t>
      </w:r>
      <w:r>
        <w:rPr>
          <w:rFonts w:hint="eastAsia" w:ascii="宋体" w:hAnsi="宋体" w:cs="宋体"/>
          <w:szCs w:val="21"/>
          <w:u w:val="single"/>
        </w:rPr>
        <w:t xml:space="preserve">          </w:t>
      </w:r>
      <w:r>
        <w:rPr>
          <w:rFonts w:hint="eastAsia" w:ascii="宋体" w:hAnsi="宋体" w:cs="宋体"/>
          <w:szCs w:val="21"/>
        </w:rPr>
        <w:t xml:space="preserve">      成交人（盖章）：</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法人代表：</w:t>
      </w:r>
      <w:r>
        <w:rPr>
          <w:rFonts w:hint="eastAsia" w:ascii="宋体" w:hAnsi="宋体" w:cs="宋体"/>
          <w:szCs w:val="21"/>
          <w:u w:val="single"/>
        </w:rPr>
        <w:t xml:space="preserve">                </w:t>
      </w:r>
      <w:r>
        <w:rPr>
          <w:rFonts w:hint="eastAsia" w:ascii="宋体" w:hAnsi="宋体" w:cs="宋体"/>
          <w:szCs w:val="21"/>
        </w:rPr>
        <w:t xml:space="preserve">      法人代表：</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地址：</w:t>
      </w:r>
      <w:r>
        <w:rPr>
          <w:rFonts w:hint="eastAsia" w:ascii="宋体" w:hAnsi="宋体" w:cs="宋体"/>
          <w:szCs w:val="21"/>
          <w:u w:val="single"/>
        </w:rPr>
        <w:t xml:space="preserve">                      </w:t>
      </w:r>
      <w:r>
        <w:rPr>
          <w:rFonts w:hint="eastAsia" w:ascii="宋体" w:hAnsi="宋体" w:cs="宋体"/>
          <w:szCs w:val="21"/>
        </w:rPr>
        <w:t xml:space="preserve">    </w:t>
      </w:r>
    </w:p>
    <w:p>
      <w:pPr>
        <w:tabs>
          <w:tab w:val="left" w:pos="3640"/>
        </w:tabs>
        <w:autoSpaceDE w:val="0"/>
        <w:autoSpaceDN w:val="0"/>
        <w:spacing w:line="48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pPr>
        <w:tabs>
          <w:tab w:val="left" w:pos="3640"/>
        </w:tabs>
        <w:autoSpaceDE w:val="0"/>
        <w:autoSpaceDN w:val="0"/>
        <w:spacing w:line="480" w:lineRule="auto"/>
        <w:rPr>
          <w:rFonts w:ascii="宋体" w:hAnsi="宋体" w:cs="宋体"/>
          <w:szCs w:val="21"/>
        </w:rPr>
      </w:pPr>
      <w:r>
        <w:rPr>
          <w:rFonts w:hint="eastAsia" w:ascii="宋体" w:hAnsi="宋体" w:cs="宋体"/>
          <w:szCs w:val="21"/>
        </w:rPr>
        <w:t xml:space="preserve">               年   月    日                   年   月    日</w:t>
      </w:r>
    </w:p>
    <w:p>
      <w:pPr>
        <w:widowControl/>
        <w:jc w:val="left"/>
        <w:rPr>
          <w:rFonts w:ascii="宋体" w:hAnsi="宋体" w:cs="宋体"/>
          <w:szCs w:val="21"/>
        </w:rPr>
      </w:pPr>
      <w:r>
        <w:rPr>
          <w:rFonts w:ascii="宋体" w:hAnsi="宋体" w:cs="宋体"/>
          <w:szCs w:val="21"/>
        </w:rPr>
        <w:br w:type="page"/>
      </w:r>
    </w:p>
    <w:p>
      <w:pPr>
        <w:pStyle w:val="3"/>
        <w:rPr>
          <w:rFonts w:ascii="宋体" w:hAnsi="宋体" w:cs="宋体"/>
        </w:rPr>
      </w:pPr>
      <w:bookmarkStart w:id="105" w:name="_Toc54939200"/>
      <w:r>
        <w:rPr>
          <w:rFonts w:hint="eastAsia" w:ascii="宋体" w:hAnsi="宋体" w:cs="宋体"/>
        </w:rPr>
        <w:t>第五章   谈判响应文件格式</w:t>
      </w:r>
      <w:bookmarkEnd w:id="104"/>
      <w:bookmarkEnd w:id="105"/>
    </w:p>
    <w:p>
      <w:pPr>
        <w:spacing w:line="360" w:lineRule="auto"/>
        <w:jc w:val="center"/>
        <w:rPr>
          <w:rFonts w:ascii="宋体" w:hAnsi="宋体" w:cs="宋体"/>
          <w:b/>
          <w:spacing w:val="20"/>
          <w:sz w:val="36"/>
          <w:szCs w:val="36"/>
          <w:u w:val="single"/>
        </w:rPr>
      </w:pPr>
    </w:p>
    <w:p>
      <w:pPr>
        <w:spacing w:line="360" w:lineRule="auto"/>
        <w:jc w:val="center"/>
        <w:rPr>
          <w:rFonts w:ascii="宋体" w:hAnsi="宋体" w:cs="宋体"/>
          <w:b/>
          <w:spacing w:val="20"/>
          <w:sz w:val="36"/>
          <w:szCs w:val="36"/>
        </w:rPr>
      </w:pPr>
      <w:r>
        <w:rPr>
          <w:rFonts w:hint="eastAsia" w:ascii="宋体" w:hAnsi="宋体" w:cs="宋体"/>
          <w:b/>
          <w:spacing w:val="20"/>
          <w:sz w:val="36"/>
          <w:szCs w:val="36"/>
          <w:u w:val="single"/>
        </w:rPr>
        <w:t xml:space="preserve">                              </w:t>
      </w:r>
      <w:r>
        <w:rPr>
          <w:rFonts w:hint="eastAsia" w:ascii="宋体" w:hAnsi="宋体" w:cs="宋体"/>
          <w:b/>
          <w:spacing w:val="20"/>
          <w:sz w:val="36"/>
          <w:szCs w:val="36"/>
        </w:rPr>
        <w:t>采购</w:t>
      </w:r>
    </w:p>
    <w:p>
      <w:pPr>
        <w:spacing w:line="360" w:lineRule="auto"/>
        <w:rPr>
          <w:rFonts w:ascii="宋体" w:hAnsi="宋体" w:cs="宋体"/>
          <w:sz w:val="24"/>
        </w:rPr>
      </w:pPr>
    </w:p>
    <w:p>
      <w:pPr>
        <w:spacing w:line="360" w:lineRule="auto"/>
        <w:rPr>
          <w:rFonts w:ascii="宋体" w:hAnsi="宋体" w:cs="宋体"/>
          <w:sz w:val="24"/>
        </w:rPr>
      </w:pPr>
    </w:p>
    <w:p>
      <w:pPr>
        <w:spacing w:line="800" w:lineRule="exact"/>
        <w:jc w:val="center"/>
        <w:rPr>
          <w:rFonts w:ascii="宋体" w:hAnsi="宋体" w:cs="宋体"/>
          <w:b/>
          <w:sz w:val="72"/>
          <w:szCs w:val="72"/>
        </w:rPr>
      </w:pPr>
      <w:r>
        <w:rPr>
          <w:rFonts w:hint="eastAsia" w:ascii="宋体" w:hAnsi="宋体" w:cs="宋体"/>
          <w:b/>
          <w:sz w:val="72"/>
          <w:szCs w:val="72"/>
        </w:rPr>
        <w:t>谈</w:t>
      </w:r>
    </w:p>
    <w:p>
      <w:pPr>
        <w:spacing w:line="800" w:lineRule="exact"/>
        <w:jc w:val="center"/>
        <w:rPr>
          <w:rFonts w:ascii="宋体" w:hAnsi="宋体" w:cs="宋体"/>
          <w:b/>
          <w:sz w:val="72"/>
          <w:szCs w:val="72"/>
        </w:rPr>
      </w:pPr>
      <w:r>
        <w:rPr>
          <w:rFonts w:hint="eastAsia" w:ascii="宋体" w:hAnsi="宋体" w:cs="宋体"/>
          <w:b/>
          <w:sz w:val="72"/>
          <w:szCs w:val="72"/>
        </w:rPr>
        <w:t>判</w:t>
      </w:r>
    </w:p>
    <w:p>
      <w:pPr>
        <w:spacing w:line="800" w:lineRule="exact"/>
        <w:jc w:val="center"/>
        <w:rPr>
          <w:rFonts w:ascii="宋体" w:hAnsi="宋体" w:cs="宋体"/>
          <w:b/>
          <w:sz w:val="72"/>
          <w:szCs w:val="72"/>
        </w:rPr>
      </w:pPr>
      <w:r>
        <w:rPr>
          <w:rFonts w:hint="eastAsia" w:ascii="宋体" w:hAnsi="宋体" w:cs="宋体"/>
          <w:b/>
          <w:sz w:val="72"/>
          <w:szCs w:val="72"/>
        </w:rPr>
        <w:t>响</w:t>
      </w:r>
    </w:p>
    <w:p>
      <w:pPr>
        <w:spacing w:line="800" w:lineRule="exact"/>
        <w:jc w:val="center"/>
        <w:rPr>
          <w:rFonts w:ascii="宋体" w:hAnsi="宋体" w:cs="宋体"/>
          <w:b/>
          <w:sz w:val="72"/>
          <w:szCs w:val="72"/>
        </w:rPr>
      </w:pPr>
      <w:r>
        <w:rPr>
          <w:rFonts w:hint="eastAsia" w:ascii="宋体" w:hAnsi="宋体" w:cs="宋体"/>
          <w:b/>
          <w:sz w:val="72"/>
          <w:szCs w:val="72"/>
        </w:rPr>
        <w:t>应</w:t>
      </w:r>
    </w:p>
    <w:p>
      <w:pPr>
        <w:spacing w:line="800" w:lineRule="exact"/>
        <w:jc w:val="center"/>
        <w:rPr>
          <w:rFonts w:ascii="宋体" w:hAnsi="宋体" w:cs="宋体"/>
          <w:b/>
          <w:sz w:val="72"/>
          <w:szCs w:val="72"/>
        </w:rPr>
      </w:pPr>
      <w:r>
        <w:rPr>
          <w:rFonts w:hint="eastAsia" w:ascii="宋体" w:hAnsi="宋体" w:cs="宋体"/>
          <w:b/>
          <w:sz w:val="72"/>
          <w:szCs w:val="72"/>
        </w:rPr>
        <w:t>文</w:t>
      </w:r>
    </w:p>
    <w:p>
      <w:pPr>
        <w:spacing w:line="360" w:lineRule="auto"/>
        <w:jc w:val="center"/>
        <w:rPr>
          <w:rFonts w:ascii="宋体" w:hAnsi="宋体" w:cs="宋体"/>
          <w:sz w:val="24"/>
        </w:rPr>
      </w:pPr>
      <w:r>
        <w:rPr>
          <w:rFonts w:hint="eastAsia" w:ascii="宋体" w:hAnsi="宋体" w:cs="宋体"/>
          <w:b/>
          <w:sz w:val="72"/>
          <w:szCs w:val="72"/>
        </w:rPr>
        <w:t>件</w:t>
      </w: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采购人名称： </w:t>
      </w:r>
      <w:r>
        <w:rPr>
          <w:rFonts w:hint="eastAsia" w:ascii="宋体" w:hAnsi="宋体" w:cs="宋体"/>
          <w:b/>
          <w:sz w:val="30"/>
          <w:szCs w:val="30"/>
          <w:u w:val="single"/>
        </w:rPr>
        <w:t xml:space="preserve">                                             </w:t>
      </w:r>
    </w:p>
    <w:p>
      <w:pPr>
        <w:spacing w:line="360" w:lineRule="auto"/>
        <w:rPr>
          <w:rFonts w:ascii="宋体" w:hAnsi="宋体" w:cs="宋体"/>
          <w:b/>
          <w:sz w:val="30"/>
          <w:szCs w:val="30"/>
        </w:rPr>
      </w:pPr>
    </w:p>
    <w:p>
      <w:pPr>
        <w:spacing w:line="360" w:lineRule="auto"/>
        <w:ind w:firstLine="148" w:firstLineChars="49"/>
        <w:rPr>
          <w:rFonts w:ascii="宋体" w:hAnsi="宋体" w:cs="宋体"/>
          <w:b/>
          <w:sz w:val="30"/>
          <w:szCs w:val="30"/>
        </w:rPr>
      </w:pPr>
      <w:r>
        <w:rPr>
          <w:rFonts w:hint="eastAsia" w:ascii="宋体" w:hAnsi="宋体" w:cs="宋体"/>
          <w:b/>
          <w:sz w:val="30"/>
          <w:szCs w:val="30"/>
        </w:rPr>
        <w:t xml:space="preserve">谈判响应人名称： </w:t>
      </w:r>
      <w:r>
        <w:rPr>
          <w:rFonts w:hint="eastAsia" w:ascii="宋体" w:hAnsi="宋体" w:cs="宋体"/>
          <w:b/>
          <w:sz w:val="30"/>
          <w:szCs w:val="30"/>
          <w:u w:val="single"/>
        </w:rPr>
        <w:t xml:space="preserve">                                   （盖 章）           </w:t>
      </w:r>
    </w:p>
    <w:p>
      <w:pPr>
        <w:spacing w:line="360" w:lineRule="auto"/>
        <w:rPr>
          <w:rFonts w:ascii="宋体" w:hAnsi="宋体" w:cs="宋体"/>
          <w:b/>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sz w:val="30"/>
          <w:szCs w:val="30"/>
        </w:rPr>
      </w:pPr>
    </w:p>
    <w:p>
      <w:pPr>
        <w:spacing w:line="360" w:lineRule="auto"/>
        <w:jc w:val="center"/>
        <w:rPr>
          <w:rFonts w:ascii="宋体" w:hAns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目 录</w:t>
      </w:r>
    </w:p>
    <w:p>
      <w:pPr>
        <w:spacing w:line="480" w:lineRule="auto"/>
        <w:ind w:firstLine="480" w:firstLineChars="200"/>
        <w:rPr>
          <w:rFonts w:ascii="宋体" w:hAnsi="宋体" w:cs="宋体"/>
          <w:sz w:val="24"/>
        </w:rPr>
      </w:pPr>
      <w:r>
        <w:rPr>
          <w:rFonts w:hint="eastAsia" w:ascii="宋体" w:hAnsi="宋体" w:cs="宋体"/>
          <w:sz w:val="24"/>
        </w:rPr>
        <w:t>一、谈判响应函</w:t>
      </w:r>
    </w:p>
    <w:p>
      <w:pPr>
        <w:spacing w:line="480" w:lineRule="auto"/>
        <w:ind w:firstLine="480" w:firstLineChars="200"/>
        <w:rPr>
          <w:rFonts w:ascii="宋体" w:hAnsi="宋体" w:cs="宋体"/>
          <w:sz w:val="24"/>
        </w:rPr>
      </w:pPr>
      <w:r>
        <w:rPr>
          <w:rFonts w:hint="eastAsia" w:ascii="宋体" w:hAnsi="宋体" w:cs="宋体"/>
          <w:sz w:val="24"/>
        </w:rPr>
        <w:t>二、货物报价表（首轮）、最终报价表</w:t>
      </w:r>
    </w:p>
    <w:p>
      <w:pPr>
        <w:spacing w:line="480" w:lineRule="auto"/>
        <w:ind w:firstLine="480" w:firstLineChars="200"/>
        <w:rPr>
          <w:rFonts w:ascii="宋体" w:hAnsi="宋体" w:cs="宋体"/>
          <w:sz w:val="24"/>
        </w:rPr>
      </w:pPr>
      <w:r>
        <w:rPr>
          <w:rFonts w:hint="eastAsia" w:ascii="宋体" w:hAnsi="宋体" w:cs="宋体"/>
          <w:sz w:val="24"/>
        </w:rPr>
        <w:t>三、技术参数响应表</w:t>
      </w:r>
    </w:p>
    <w:p>
      <w:pPr>
        <w:spacing w:line="48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color w:val="000000"/>
          <w:sz w:val="24"/>
        </w:rPr>
        <w:t>供货及谈判响应技术方案</w:t>
      </w:r>
    </w:p>
    <w:p>
      <w:pPr>
        <w:spacing w:line="480" w:lineRule="auto"/>
        <w:ind w:firstLine="480" w:firstLineChars="200"/>
        <w:rPr>
          <w:rFonts w:ascii="宋体" w:hAnsi="宋体" w:cs="宋体"/>
          <w:sz w:val="24"/>
        </w:rPr>
      </w:pPr>
      <w:r>
        <w:rPr>
          <w:rFonts w:hint="eastAsia" w:ascii="宋体" w:hAnsi="宋体" w:cs="宋体"/>
          <w:sz w:val="24"/>
        </w:rPr>
        <w:t>五、诚信谈判响应承诺书</w:t>
      </w:r>
    </w:p>
    <w:p>
      <w:pPr>
        <w:spacing w:line="480" w:lineRule="auto"/>
        <w:ind w:firstLine="480" w:firstLineChars="200"/>
        <w:rPr>
          <w:rFonts w:ascii="宋体" w:hAnsi="宋体" w:cs="宋体"/>
          <w:sz w:val="24"/>
        </w:rPr>
      </w:pPr>
      <w:r>
        <w:rPr>
          <w:rFonts w:hint="eastAsia" w:ascii="宋体" w:hAnsi="宋体"/>
          <w:sz w:val="24"/>
        </w:rPr>
        <w:t>六、</w:t>
      </w:r>
      <w:r>
        <w:rPr>
          <w:rFonts w:hint="eastAsia" w:ascii="宋体" w:hAnsi="宋体" w:cs="宋体"/>
          <w:sz w:val="24"/>
        </w:rPr>
        <w:t>资格证明文件</w:t>
      </w:r>
    </w:p>
    <w:p>
      <w:pPr>
        <w:widowControl/>
        <w:jc w:val="left"/>
        <w:rPr>
          <w:rFonts w:ascii="宋体" w:hAnsi="宋体" w:cs="宋体"/>
          <w:sz w:val="24"/>
        </w:rPr>
      </w:pPr>
      <w:r>
        <w:rPr>
          <w:rFonts w:ascii="宋体" w:hAnsi="宋体" w:cs="宋体"/>
          <w:sz w:val="24"/>
        </w:rPr>
        <w:br w:type="page"/>
      </w:r>
    </w:p>
    <w:p>
      <w:pPr>
        <w:pStyle w:val="6"/>
        <w:jc w:val="center"/>
        <w:rPr>
          <w:rFonts w:hAnsi="宋体" w:cs="宋体"/>
        </w:rPr>
      </w:pPr>
      <w:bookmarkStart w:id="106" w:name="_Toc13905"/>
      <w:bookmarkStart w:id="107" w:name="_Toc54939201"/>
      <w:r>
        <w:rPr>
          <w:rFonts w:hint="eastAsia" w:hAnsi="宋体" w:cs="宋体"/>
        </w:rPr>
        <w:t>一、谈判响应函</w:t>
      </w:r>
      <w:bookmarkEnd w:id="106"/>
      <w:bookmarkEnd w:id="107"/>
    </w:p>
    <w:p>
      <w:pPr>
        <w:tabs>
          <w:tab w:val="left" w:pos="5580"/>
        </w:tabs>
        <w:spacing w:before="120"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安庆职业技术学院</w:t>
      </w:r>
    </w:p>
    <w:p>
      <w:pPr>
        <w:pStyle w:val="11"/>
        <w:tabs>
          <w:tab w:val="left" w:pos="5580"/>
        </w:tabs>
        <w:spacing w:line="360" w:lineRule="auto"/>
        <w:ind w:firstLine="420" w:firstLineChars="200"/>
        <w:rPr>
          <w:rFonts w:hAnsi="宋体" w:cs="宋体"/>
          <w:szCs w:val="21"/>
        </w:rPr>
      </w:pPr>
      <w:r>
        <w:rPr>
          <w:rFonts w:hint="eastAsia" w:hAnsi="宋体" w:cs="宋体"/>
          <w:szCs w:val="21"/>
        </w:rPr>
        <w:t>1、根据贵方竞争性谈判公告，我方决定参加贵方组织的</w:t>
      </w:r>
      <w:r>
        <w:rPr>
          <w:rFonts w:hint="eastAsia" w:hAnsi="宋体" w:cs="宋体"/>
          <w:szCs w:val="21"/>
          <w:u w:val="single"/>
        </w:rPr>
        <w:t xml:space="preserve"> </w:t>
      </w:r>
      <w:r>
        <w:rPr>
          <w:rFonts w:hint="eastAsia" w:hAnsi="宋体" w:cs="宋体"/>
          <w:szCs w:val="21"/>
          <w:u w:val="single"/>
          <w:lang w:eastAsia="zh-CN"/>
        </w:rPr>
        <w:t>安庆职业技术学院食品质量与安全理实一体化实验实训室改造</w:t>
      </w:r>
      <w:r>
        <w:rPr>
          <w:rFonts w:hint="eastAsia" w:hAnsi="宋体" w:cs="宋体"/>
          <w:szCs w:val="21"/>
          <w:u w:val="single"/>
        </w:rPr>
        <w:t>项目</w:t>
      </w:r>
      <w:r>
        <w:rPr>
          <w:rFonts w:hint="eastAsia" w:hAnsi="宋体" w:cs="宋体"/>
          <w:szCs w:val="21"/>
        </w:rPr>
        <w:t>项目的采购活动。我方授权</w:t>
      </w:r>
      <w:r>
        <w:rPr>
          <w:rFonts w:hint="eastAsia" w:hAnsi="宋体" w:cs="宋体"/>
          <w:szCs w:val="21"/>
          <w:u w:val="single"/>
        </w:rPr>
        <w:t xml:space="preserve">         </w:t>
      </w:r>
      <w:r>
        <w:rPr>
          <w:rFonts w:hint="eastAsia" w:hAnsi="宋体" w:cs="宋体"/>
          <w:szCs w:val="21"/>
        </w:rPr>
        <w:t>(姓名和职务)代表我方</w:t>
      </w:r>
      <w:r>
        <w:rPr>
          <w:rFonts w:hint="eastAsia" w:hAnsi="宋体" w:cs="宋体"/>
          <w:szCs w:val="21"/>
          <w:u w:val="single"/>
        </w:rPr>
        <w:t xml:space="preserve">                    </w:t>
      </w:r>
      <w:r>
        <w:rPr>
          <w:rFonts w:hint="eastAsia" w:hAnsi="宋体" w:cs="宋体"/>
          <w:szCs w:val="21"/>
        </w:rPr>
        <w:t>全权处理本项目谈判响应的有关事宜。</w:t>
      </w:r>
    </w:p>
    <w:p>
      <w:pPr>
        <w:pStyle w:val="11"/>
        <w:tabs>
          <w:tab w:val="left" w:pos="5580"/>
        </w:tabs>
        <w:spacing w:line="360" w:lineRule="auto"/>
        <w:ind w:firstLine="420" w:firstLineChars="200"/>
        <w:rPr>
          <w:rFonts w:hAnsi="宋体" w:cs="宋体"/>
          <w:szCs w:val="21"/>
        </w:rPr>
      </w:pPr>
      <w:r>
        <w:rPr>
          <w:rFonts w:hint="eastAsia" w:hAnsi="宋体" w:cs="宋体"/>
          <w:szCs w:val="21"/>
        </w:rPr>
        <w:t>2、我方愿意按照竞争性谈判文件约定的各项要求，向采购人提供所需的服务，报价为人民币（大写）</w:t>
      </w:r>
      <w:r>
        <w:rPr>
          <w:rFonts w:hint="eastAsia" w:hAnsi="宋体" w:cs="宋体"/>
          <w:szCs w:val="21"/>
          <w:u w:val="single"/>
        </w:rPr>
        <w:t xml:space="preserve">        元   </w:t>
      </w:r>
      <w:r>
        <w:rPr>
          <w:rFonts w:hint="eastAsia" w:hAnsi="宋体" w:cs="宋体"/>
          <w:szCs w:val="21"/>
        </w:rPr>
        <w:t>(小写)</w:t>
      </w:r>
      <w:r>
        <w:rPr>
          <w:rFonts w:hint="eastAsia" w:hAnsi="宋体" w:cs="宋体"/>
          <w:szCs w:val="21"/>
          <w:u w:val="single"/>
        </w:rPr>
        <w:t xml:space="preserve">       元</w:t>
      </w:r>
      <w:r>
        <w:rPr>
          <w:rFonts w:hint="eastAsia" w:hAnsi="宋体" w:cs="宋体"/>
          <w:szCs w:val="21"/>
        </w:rPr>
        <w:t>。</w:t>
      </w:r>
    </w:p>
    <w:p>
      <w:pPr>
        <w:pStyle w:val="11"/>
        <w:tabs>
          <w:tab w:val="left" w:pos="5580"/>
        </w:tabs>
        <w:spacing w:line="360" w:lineRule="auto"/>
        <w:ind w:firstLine="420" w:firstLineChars="200"/>
        <w:rPr>
          <w:rFonts w:hAnsi="宋体" w:cs="宋体"/>
          <w:szCs w:val="21"/>
        </w:rPr>
      </w:pPr>
      <w:r>
        <w:rPr>
          <w:rFonts w:hint="eastAsia" w:hAnsi="宋体" w:cs="宋体"/>
          <w:szCs w:val="21"/>
        </w:rPr>
        <w:t>3、一旦我方成交，我方将严格履行合同约定的责任和义务，</w:t>
      </w:r>
      <w:r>
        <w:rPr>
          <w:rFonts w:hint="eastAsia" w:hAnsi="宋体"/>
          <w:szCs w:val="21"/>
        </w:rPr>
        <w:t>保证于合同签字生效后</w:t>
      </w:r>
      <w:r>
        <w:rPr>
          <w:rFonts w:hint="eastAsia" w:hAnsi="宋体"/>
          <w:szCs w:val="21"/>
          <w:u w:val="single"/>
        </w:rPr>
        <w:t xml:space="preserve">     </w:t>
      </w:r>
      <w:r>
        <w:rPr>
          <w:rFonts w:hint="eastAsia" w:hAnsi="宋体"/>
          <w:szCs w:val="21"/>
        </w:rPr>
        <w:t>日历天完成项目的交货、安装、调试，并交付采购人验收、使用。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6、我方完全理解贵方不一定将合同授予最低报价的谈判响应人。</w:t>
      </w: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570" w:firstLineChars="17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ind w:firstLine="480" w:firstLineChars="200"/>
        <w:jc w:val="center"/>
        <w:rPr>
          <w:rFonts w:ascii="宋体" w:hAnsi="宋体" w:cs="宋体"/>
          <w:sz w:val="24"/>
        </w:rPr>
      </w:pPr>
    </w:p>
    <w:p>
      <w:pPr>
        <w:spacing w:line="360" w:lineRule="auto"/>
        <w:rPr>
          <w:rFonts w:ascii="宋体" w:hAnsi="宋体" w:cs="宋体"/>
          <w:sz w:val="24"/>
        </w:rPr>
      </w:pPr>
    </w:p>
    <w:p>
      <w:pPr>
        <w:pStyle w:val="6"/>
        <w:jc w:val="center"/>
        <w:rPr>
          <w:rFonts w:hAnsi="宋体" w:cs="宋体"/>
        </w:rPr>
      </w:pPr>
      <w:bookmarkStart w:id="108" w:name="_Toc12161"/>
      <w:bookmarkStart w:id="109" w:name="_Toc54939202"/>
      <w:bookmarkStart w:id="110" w:name="_Toc7098"/>
      <w:r>
        <w:rPr>
          <w:rFonts w:hint="eastAsia" w:hAnsi="宋体" w:cs="宋体"/>
        </w:rPr>
        <w:t>二、</w:t>
      </w:r>
      <w:bookmarkEnd w:id="108"/>
      <w:r>
        <w:rPr>
          <w:rFonts w:hint="eastAsia" w:hAnsi="宋体" w:cs="宋体"/>
        </w:rPr>
        <w:t>货物报价表(首轮)</w:t>
      </w:r>
      <w:bookmarkEnd w:id="109"/>
      <w:bookmarkEnd w:id="110"/>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kern w:val="0"/>
          <w:szCs w:val="21"/>
          <w:lang w:eastAsia="zh-CN"/>
        </w:rPr>
        <w:t>CG-AZ-2021-009</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安庆职业技术学院食品质量与安全理实一体化实验实训室改造</w:t>
      </w:r>
      <w:r>
        <w:rPr>
          <w:rFonts w:hint="eastAsia" w:ascii="宋体" w:hAnsi="宋体" w:cs="宋体"/>
          <w:szCs w:val="21"/>
        </w:rPr>
        <w:t xml:space="preserve">项目                                                         </w:t>
      </w:r>
    </w:p>
    <w:tbl>
      <w:tblPr>
        <w:tblStyle w:val="2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74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395"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742" w:type="dxa"/>
            <w:vAlign w:val="center"/>
          </w:tcPr>
          <w:p>
            <w:pPr>
              <w:spacing w:line="360" w:lineRule="auto"/>
              <w:jc w:val="center"/>
              <w:rPr>
                <w:rFonts w:ascii="宋体" w:hAnsi="宋体" w:cs="宋体"/>
                <w:color w:val="000000"/>
                <w:szCs w:val="21"/>
              </w:rPr>
            </w:pPr>
          </w:p>
        </w:tc>
        <w:tc>
          <w:tcPr>
            <w:tcW w:w="2395"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pStyle w:val="6"/>
        <w:jc w:val="center"/>
        <w:rPr>
          <w:rFonts w:hAnsi="宋体" w:cs="宋体"/>
          <w:u w:val="single"/>
        </w:rPr>
      </w:pPr>
      <w:bookmarkStart w:id="111" w:name="_Toc15489"/>
      <w:bookmarkStart w:id="112" w:name="_Toc10635"/>
      <w:bookmarkStart w:id="113" w:name="_Toc54939203"/>
      <w:r>
        <w:rPr>
          <w:rFonts w:hint="eastAsia" w:hAnsi="宋体" w:cs="宋体"/>
        </w:rPr>
        <w:t>最终报价表</w:t>
      </w:r>
      <w:bookmarkEnd w:id="111"/>
      <w:bookmarkEnd w:id="112"/>
      <w:bookmarkEnd w:id="113"/>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kern w:val="0"/>
          <w:szCs w:val="21"/>
          <w:lang w:eastAsia="zh-CN"/>
        </w:rPr>
        <w:t>CG-AZ-2021-009</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 xml:space="preserve">项目编号： </w:t>
      </w:r>
      <w:r>
        <w:rPr>
          <w:rFonts w:hint="eastAsia" w:ascii="宋体" w:hAnsi="宋体" w:cs="宋体"/>
          <w:szCs w:val="21"/>
          <w:lang w:eastAsia="zh-CN"/>
        </w:rPr>
        <w:t>安庆职业技术学院食品质量与安全理实一体化实验实训室改造</w:t>
      </w:r>
      <w:r>
        <w:rPr>
          <w:rFonts w:hint="eastAsia" w:ascii="宋体" w:hAnsi="宋体" w:cs="宋体"/>
          <w:szCs w:val="21"/>
        </w:rPr>
        <w:t xml:space="preserve">项目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rPr>
            </w:pPr>
            <w:r>
              <w:rPr>
                <w:rFonts w:hint="eastAsia" w:ascii="宋体" w:hAnsi="宋体" w:cs="宋体"/>
                <w:color w:val="000000"/>
                <w:sz w:val="24"/>
              </w:rPr>
              <w:t>交货、安装、</w:t>
            </w:r>
          </w:p>
          <w:p>
            <w:pPr>
              <w:spacing w:line="400" w:lineRule="exact"/>
              <w:ind w:firstLine="120" w:firstLineChars="50"/>
              <w:jc w:val="center"/>
              <w:rPr>
                <w:rFonts w:ascii="宋体" w:hAnsi="宋体" w:cs="宋体"/>
                <w:sz w:val="24"/>
              </w:rPr>
            </w:pPr>
            <w:r>
              <w:rPr>
                <w:rFonts w:hint="eastAsia" w:ascii="宋体" w:hAnsi="宋体" w:cs="宋体"/>
                <w:color w:val="000000"/>
                <w:sz w:val="24"/>
              </w:rPr>
              <w:t>调试期</w:t>
            </w:r>
          </w:p>
        </w:tc>
        <w:tc>
          <w:tcPr>
            <w:tcW w:w="7507" w:type="dxa"/>
            <w:vAlign w:val="center"/>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6"/>
        <w:jc w:val="center"/>
        <w:rPr>
          <w:rFonts w:hAnsi="宋体" w:cs="宋体"/>
        </w:rPr>
      </w:pPr>
      <w:bookmarkStart w:id="114" w:name="_Toc28153"/>
      <w:bookmarkStart w:id="115" w:name="_Toc54939204"/>
      <w:r>
        <w:rPr>
          <w:rFonts w:hint="eastAsia" w:hAnsi="宋体" w:cs="宋体"/>
        </w:rPr>
        <w:t>三、</w:t>
      </w:r>
      <w:bookmarkEnd w:id="114"/>
      <w:bookmarkEnd w:id="115"/>
      <w:r>
        <w:rPr>
          <w:rFonts w:hint="eastAsia" w:hAnsi="宋体" w:cs="宋体"/>
        </w:rPr>
        <w:t>技术参数响应表</w:t>
      </w:r>
    </w:p>
    <w:p>
      <w:pPr>
        <w:spacing w:line="360" w:lineRule="auto"/>
        <w:rPr>
          <w:rFonts w:ascii="宋体" w:hAnsi="宋体" w:cs="宋体"/>
          <w:b/>
          <w:szCs w:val="21"/>
        </w:rPr>
      </w:pPr>
      <w:r>
        <w:rPr>
          <w:rFonts w:hint="eastAsia" w:ascii="宋体" w:hAnsi="宋体" w:cs="宋体"/>
          <w:szCs w:val="21"/>
        </w:rPr>
        <w:t xml:space="preserve">项目名称： </w:t>
      </w:r>
      <w:r>
        <w:rPr>
          <w:rFonts w:hint="eastAsia" w:ascii="宋体" w:hAnsi="宋体" w:cs="宋体"/>
          <w:szCs w:val="21"/>
          <w:lang w:eastAsia="zh-CN"/>
        </w:rPr>
        <w:t>安庆职业技术学院食品质量与安全理实一体化实验实训室改造</w:t>
      </w:r>
      <w:r>
        <w:rPr>
          <w:rFonts w:hint="eastAsia" w:ascii="宋体" w:hAnsi="宋体" w:cs="宋体"/>
          <w:szCs w:val="21"/>
        </w:rPr>
        <w:t>项目</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8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196"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如有</w:t>
            </w:r>
            <w:r>
              <w:rPr>
                <w:rFonts w:hint="eastAsia" w:ascii="宋体" w:hAnsi="宋体" w:cs="宋体"/>
                <w:color w:val="000000"/>
                <w:szCs w:val="21"/>
                <w:lang w:eastAsia="zh-CN"/>
              </w:rPr>
              <w:t>）</w:t>
            </w:r>
          </w:p>
        </w:tc>
        <w:tc>
          <w:tcPr>
            <w:tcW w:w="18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155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c>
          <w:tcPr>
            <w:tcW w:w="11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801" w:type="dxa"/>
            <w:vAlign w:val="center"/>
          </w:tcPr>
          <w:p>
            <w:pPr>
              <w:spacing w:line="360" w:lineRule="auto"/>
              <w:jc w:val="center"/>
              <w:rPr>
                <w:rFonts w:ascii="宋体" w:hAnsi="宋体" w:cs="宋体"/>
                <w:color w:val="000000"/>
                <w:szCs w:val="21"/>
              </w:rPr>
            </w:pPr>
          </w:p>
        </w:tc>
        <w:tc>
          <w:tcPr>
            <w:tcW w:w="2196" w:type="dxa"/>
          </w:tcPr>
          <w:p>
            <w:pPr>
              <w:spacing w:line="360" w:lineRule="auto"/>
              <w:jc w:val="center"/>
              <w:rPr>
                <w:rFonts w:ascii="宋体" w:hAnsi="宋体" w:cs="宋体"/>
                <w:b/>
                <w:color w:val="000000"/>
                <w:szCs w:val="21"/>
              </w:rPr>
            </w:pPr>
          </w:p>
        </w:tc>
        <w:tc>
          <w:tcPr>
            <w:tcW w:w="1843" w:type="dxa"/>
            <w:vAlign w:val="center"/>
          </w:tcPr>
          <w:p>
            <w:pPr>
              <w:spacing w:line="360" w:lineRule="auto"/>
              <w:jc w:val="center"/>
              <w:rPr>
                <w:rFonts w:ascii="宋体" w:hAnsi="宋体" w:cs="宋体"/>
                <w:b/>
                <w:color w:val="000000"/>
                <w:szCs w:val="21"/>
              </w:rPr>
            </w:pPr>
          </w:p>
        </w:tc>
        <w:tc>
          <w:tcPr>
            <w:tcW w:w="1559" w:type="dxa"/>
            <w:vAlign w:val="center"/>
          </w:tcPr>
          <w:p>
            <w:pPr>
              <w:spacing w:line="360" w:lineRule="auto"/>
              <w:jc w:val="center"/>
              <w:rPr>
                <w:rFonts w:ascii="宋体" w:hAnsi="宋体" w:cs="宋体"/>
                <w:b/>
                <w:color w:val="000000"/>
                <w:szCs w:val="21"/>
              </w:rPr>
            </w:pPr>
          </w:p>
        </w:tc>
        <w:tc>
          <w:tcPr>
            <w:tcW w:w="1134"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szCs w:val="21"/>
        </w:rPr>
      </w:pPr>
    </w:p>
    <w:p>
      <w:pPr>
        <w:tabs>
          <w:tab w:val="left" w:pos="1815"/>
        </w:tabs>
        <w:spacing w:line="360" w:lineRule="auto"/>
        <w:rPr>
          <w:rFonts w:ascii="宋体" w:hAnsi="宋体" w:cs="宋体"/>
          <w:color w:val="000000"/>
          <w:szCs w:val="21"/>
        </w:rPr>
      </w:pPr>
      <w:r>
        <w:rPr>
          <w:rFonts w:hint="eastAsia" w:ascii="宋体" w:hAnsi="宋体" w:cs="宋体"/>
          <w:b/>
          <w:color w:val="000000"/>
          <w:szCs w:val="21"/>
        </w:rPr>
        <w:t>注：</w:t>
      </w:r>
      <w:r>
        <w:rPr>
          <w:rFonts w:hint="eastAsia" w:ascii="宋体" w:hAnsi="宋体" w:cs="宋体"/>
          <w:color w:val="000000"/>
          <w:szCs w:val="21"/>
        </w:rPr>
        <w:t>1、谈判响应人必须将自己所投货物真实、准确地填入以上表格中。</w:t>
      </w:r>
    </w:p>
    <w:p>
      <w:pPr>
        <w:pStyle w:val="55"/>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pStyle w:val="55"/>
        <w:tabs>
          <w:tab w:val="left" w:pos="1815"/>
        </w:tabs>
        <w:spacing w:line="360" w:lineRule="auto"/>
        <w:ind w:left="420" w:firstLine="0" w:firstLineChars="0"/>
        <w:rPr>
          <w:rFonts w:ascii="宋体" w:hAnsi="宋体" w:cs="宋体"/>
          <w:color w:val="000000"/>
          <w:szCs w:val="21"/>
        </w:rPr>
      </w:pPr>
      <w:r>
        <w:rPr>
          <w:rFonts w:hint="eastAsia" w:ascii="宋体" w:hAnsi="宋体" w:cs="宋体"/>
          <w:color w:val="000000"/>
          <w:szCs w:val="21"/>
        </w:rPr>
        <w:t>3、</w:t>
      </w:r>
      <w:r>
        <w:rPr>
          <w:rFonts w:hint="eastAsia" w:ascii="宋体" w:hAnsi="宋体" w:cs="Arial"/>
          <w:b/>
          <w:szCs w:val="21"/>
        </w:rPr>
        <w:t>若谈判响应人</w:t>
      </w:r>
      <w:r>
        <w:rPr>
          <w:rFonts w:hint="eastAsia" w:ascii="宋体" w:hAnsi="宋体"/>
          <w:b/>
          <w:bCs/>
          <w:szCs w:val="21"/>
        </w:rPr>
        <w:t>所投货物为进口产品的，必须在表中明确列出所投进口产品的原产地。</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szCs w:val="21"/>
        </w:rPr>
      </w:pPr>
      <w:r>
        <w:rPr>
          <w:rFonts w:ascii="宋体" w:hAnsi="宋体" w:cs="宋体"/>
          <w:szCs w:val="21"/>
        </w:rPr>
        <w:br w:type="page"/>
      </w:r>
    </w:p>
    <w:p>
      <w:pPr>
        <w:pStyle w:val="6"/>
        <w:jc w:val="center"/>
        <w:rPr>
          <w:rFonts w:hAnsi="宋体" w:cs="宋体"/>
          <w:color w:val="000000"/>
          <w:bdr w:val="single" w:color="auto" w:sz="4" w:space="0"/>
        </w:rPr>
      </w:pPr>
      <w:bookmarkStart w:id="116" w:name="_Toc2920"/>
      <w:bookmarkStart w:id="117" w:name="_Toc54939205"/>
      <w:bookmarkStart w:id="118" w:name="_Toc8668"/>
      <w:r>
        <w:rPr>
          <w:rFonts w:hint="eastAsia" w:hAnsi="宋体" w:cs="宋体"/>
        </w:rPr>
        <w:t>四、</w:t>
      </w:r>
      <w:bookmarkEnd w:id="116"/>
      <w:bookmarkEnd w:id="117"/>
      <w:bookmarkEnd w:id="118"/>
      <w:r>
        <w:rPr>
          <w:rFonts w:hint="eastAsia" w:hAnsi="宋体" w:cs="宋体"/>
          <w:color w:val="000000"/>
        </w:rPr>
        <w:t>供货及谈判响应技术方案</w:t>
      </w:r>
    </w:p>
    <w:p>
      <w:pPr>
        <w:spacing w:line="360" w:lineRule="auto"/>
        <w:rPr>
          <w:rFonts w:ascii="宋体" w:hAnsi="宋体" w:cs="宋体"/>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1、人员培训方案</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2、质量保证及售后服务承诺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3、谈判响应人认为需要提供的其他内容</w:t>
      </w:r>
    </w:p>
    <w:p>
      <w:pPr>
        <w:spacing w:line="360" w:lineRule="auto"/>
        <w:ind w:firstLine="420" w:firstLineChars="200"/>
        <w:rPr>
          <w:rFonts w:ascii="宋体" w:hAnsi="宋体" w:cs="宋体"/>
          <w:szCs w:val="21"/>
        </w:rPr>
      </w:pPr>
    </w:p>
    <w:p>
      <w:pPr>
        <w:spacing w:line="360" w:lineRule="auto"/>
        <w:ind w:firstLine="404" w:firstLineChars="200"/>
        <w:rPr>
          <w:rFonts w:ascii="宋体" w:hAnsi="宋体" w:cs="宋体"/>
          <w:spacing w:val="-4"/>
          <w:kern w:val="0"/>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rPr>
          <w:rFonts w:ascii="宋体" w:hAnsi="宋体" w:cs="宋体"/>
          <w:szCs w:val="21"/>
        </w:rPr>
      </w:pPr>
    </w:p>
    <w:p>
      <w:pPr>
        <w:pStyle w:val="6"/>
        <w:jc w:val="center"/>
        <w:rPr>
          <w:rFonts w:hAnsi="宋体" w:cs="宋体"/>
        </w:rPr>
      </w:pPr>
      <w:bookmarkStart w:id="119" w:name="_Toc54939206"/>
      <w:bookmarkStart w:id="120" w:name="_Toc25547"/>
      <w:r>
        <w:rPr>
          <w:rFonts w:hint="eastAsia" w:hAnsi="宋体" w:cs="宋体"/>
        </w:rPr>
        <w:t>五、诚信谈判响应承诺书</w:t>
      </w:r>
      <w:bookmarkEnd w:id="119"/>
      <w:bookmarkEnd w:id="120"/>
    </w:p>
    <w:p>
      <w:pPr>
        <w:rPr>
          <w:rFonts w:ascii="宋体" w:hAnsi="宋体" w:cs="宋体"/>
          <w:b/>
          <w:bCs/>
          <w:sz w:val="24"/>
        </w:rPr>
      </w:pPr>
    </w:p>
    <w:p>
      <w:pPr>
        <w:spacing w:line="440" w:lineRule="exact"/>
        <w:ind w:firstLine="422" w:firstLineChars="200"/>
        <w:rPr>
          <w:rFonts w:ascii="宋体" w:hAnsi="宋体" w:cs="宋体"/>
          <w:b/>
          <w:bCs/>
          <w:szCs w:val="21"/>
        </w:rPr>
      </w:pPr>
      <w:r>
        <w:rPr>
          <w:rFonts w:hint="eastAsia" w:ascii="宋体" w:hAnsi="宋体" w:cs="宋体"/>
          <w:b/>
          <w:bCs/>
          <w:szCs w:val="21"/>
        </w:rPr>
        <w:t>本人以企业法定代表人的身份郑重承诺：</w:t>
      </w:r>
    </w:p>
    <w:p>
      <w:pPr>
        <w:spacing w:line="440" w:lineRule="exact"/>
        <w:ind w:firstLine="422" w:firstLineChars="200"/>
        <w:rPr>
          <w:rFonts w:ascii="宋体" w:hAnsi="宋体" w:cs="宋体"/>
          <w:b/>
          <w:bCs/>
          <w:szCs w:val="21"/>
        </w:rPr>
      </w:pPr>
      <w:r>
        <w:rPr>
          <w:rFonts w:hint="eastAsia" w:ascii="宋体" w:hAnsi="宋体" w:cs="宋体"/>
          <w:b/>
          <w:bCs/>
          <w:szCs w:val="21"/>
        </w:rPr>
        <w:t>一、将遵循公开、公正和诚实信用的原则自愿参加</w:t>
      </w:r>
      <w:r>
        <w:rPr>
          <w:rFonts w:hint="eastAsia" w:ascii="宋体" w:hAnsi="宋体" w:cs="宋体"/>
          <w:b/>
          <w:bCs/>
          <w:szCs w:val="21"/>
          <w:u w:val="single"/>
        </w:rPr>
        <w:t xml:space="preserve">                </w:t>
      </w:r>
      <w:r>
        <w:rPr>
          <w:rFonts w:hint="eastAsia" w:ascii="宋体" w:hAnsi="宋体" w:cs="宋体"/>
          <w:b/>
          <w:bCs/>
          <w:szCs w:val="21"/>
        </w:rPr>
        <w:t>项目的竞争性谈判活动；</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二、所提供的一切材料都是真实、有效、合法的；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六、严格遵守开标现场纪律，服从监管人员管理；  </w:t>
      </w:r>
    </w:p>
    <w:p>
      <w:pPr>
        <w:spacing w:line="440" w:lineRule="exact"/>
        <w:ind w:firstLine="422" w:firstLineChars="200"/>
        <w:rPr>
          <w:rFonts w:ascii="宋体" w:hAnsi="宋体" w:cs="宋体"/>
          <w:b/>
          <w:bCs/>
          <w:szCs w:val="21"/>
        </w:rPr>
      </w:pPr>
      <w:r>
        <w:rPr>
          <w:rFonts w:hint="eastAsia" w:ascii="宋体" w:hAnsi="宋体" w:cs="宋体"/>
          <w:b/>
          <w:bCs/>
          <w:szCs w:val="21"/>
        </w:rPr>
        <w:t>七、保证成交后不转包，若有合法分包征得采购人同意；</w:t>
      </w:r>
    </w:p>
    <w:p>
      <w:pPr>
        <w:spacing w:line="440" w:lineRule="exact"/>
        <w:ind w:firstLine="422" w:firstLineChars="200"/>
        <w:rPr>
          <w:rFonts w:ascii="宋体" w:hAnsi="宋体" w:cs="宋体"/>
          <w:b/>
          <w:bCs/>
          <w:szCs w:val="21"/>
        </w:rPr>
      </w:pPr>
      <w:r>
        <w:rPr>
          <w:rFonts w:hint="eastAsia" w:ascii="宋体" w:hAnsi="宋体" w:cs="宋体"/>
          <w:b/>
          <w:bCs/>
          <w:szCs w:val="21"/>
        </w:rPr>
        <w:t>八、保证成交之后，按照谈判响应文件承诺提供货物、服务及派驻人员；</w:t>
      </w:r>
    </w:p>
    <w:p>
      <w:pPr>
        <w:spacing w:line="440" w:lineRule="exact"/>
        <w:ind w:firstLine="422" w:firstLineChars="200"/>
        <w:rPr>
          <w:rFonts w:ascii="宋体" w:hAnsi="宋体" w:cs="宋体"/>
          <w:b/>
          <w:bCs/>
          <w:szCs w:val="21"/>
        </w:rPr>
      </w:pPr>
      <w:r>
        <w:rPr>
          <w:rFonts w:hint="eastAsia" w:ascii="宋体" w:hAnsi="宋体" w:cs="宋体"/>
          <w:b/>
          <w:bCs/>
          <w:szCs w:val="21"/>
        </w:rPr>
        <w:t>九、保证企业及所属相关人员在本次谈判响应中无行贿等犯罪行为；</w:t>
      </w:r>
    </w:p>
    <w:p>
      <w:pPr>
        <w:spacing w:line="440" w:lineRule="exact"/>
        <w:ind w:firstLine="422" w:firstLineChars="200"/>
        <w:rPr>
          <w:rFonts w:ascii="宋体" w:hAnsi="宋体" w:cs="宋体"/>
          <w:b/>
          <w:bCs/>
          <w:szCs w:val="21"/>
        </w:rPr>
      </w:pPr>
      <w:r>
        <w:rPr>
          <w:rFonts w:hint="eastAsia" w:ascii="宋体" w:hAnsi="宋体" w:cs="宋体"/>
          <w:b/>
          <w:bCs/>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szCs w:val="21"/>
        </w:rPr>
      </w:pPr>
      <w:r>
        <w:rPr>
          <w:rFonts w:hint="eastAsia" w:ascii="宋体" w:hAnsi="宋体" w:cs="宋体"/>
          <w:b/>
          <w:bCs/>
          <w:szCs w:val="21"/>
        </w:rPr>
        <w:t xml:space="preserve">十一、不恶意投诉，对本公司提供的投诉线索的真实性负责。 </w:t>
      </w:r>
    </w:p>
    <w:p>
      <w:pPr>
        <w:spacing w:line="440" w:lineRule="exact"/>
        <w:ind w:firstLine="422" w:firstLineChars="200"/>
        <w:rPr>
          <w:rFonts w:ascii="宋体" w:hAnsi="宋体" w:cs="宋体"/>
          <w:b/>
          <w:bCs/>
          <w:szCs w:val="21"/>
        </w:rPr>
      </w:pPr>
      <w:r>
        <w:rPr>
          <w:rFonts w:hint="eastAsia" w:ascii="宋体" w:hAnsi="宋体" w:cs="宋体"/>
          <w:b/>
          <w:bCs/>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szCs w:val="21"/>
        </w:rPr>
      </w:pPr>
      <w:r>
        <w:rPr>
          <w:rFonts w:hint="eastAsia" w:ascii="宋体" w:hAnsi="宋体" w:cs="宋体"/>
          <w:b/>
          <w:bCs/>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szCs w:val="21"/>
        </w:rPr>
      </w:pPr>
      <w:r>
        <w:rPr>
          <w:rFonts w:hint="eastAsia" w:ascii="宋体" w:hAnsi="宋体" w:cs="宋体"/>
          <w:b/>
          <w:bCs/>
          <w:szCs w:val="21"/>
        </w:rPr>
        <w:t xml:space="preserve">  </w:t>
      </w:r>
    </w:p>
    <w:p>
      <w:pPr>
        <w:rPr>
          <w:rFonts w:ascii="宋体" w:hAnsi="宋体" w:cs="宋体"/>
          <w:b/>
          <w:bCs/>
          <w:szCs w:val="21"/>
        </w:rPr>
      </w:pPr>
    </w:p>
    <w:p>
      <w:pPr>
        <w:jc w:val="center"/>
        <w:rPr>
          <w:rFonts w:ascii="宋体" w:hAnsi="宋体" w:cs="宋体"/>
          <w:b/>
          <w:bCs/>
          <w:szCs w:val="21"/>
        </w:rPr>
      </w:pPr>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sz w:val="24"/>
        </w:rPr>
      </w:pPr>
      <w:r>
        <w:rPr>
          <w:rFonts w:hint="eastAsia" w:ascii="宋体" w:hAnsi="宋体" w:cs="宋体"/>
          <w:b/>
          <w:bCs/>
          <w:szCs w:val="21"/>
        </w:rPr>
        <w:t xml:space="preserve">                                               日期：_____年____月____日</w:t>
      </w:r>
      <w:bookmarkStart w:id="121" w:name="_Toc22272"/>
    </w:p>
    <w:p>
      <w:pPr>
        <w:widowControl/>
        <w:jc w:val="left"/>
        <w:rPr>
          <w:rFonts w:ascii="宋体" w:hAnsi="宋体" w:cs="宋体"/>
          <w:b/>
          <w:bCs/>
          <w:sz w:val="24"/>
        </w:rPr>
      </w:pPr>
      <w:r>
        <w:rPr>
          <w:rFonts w:ascii="宋体" w:hAnsi="宋体" w:cs="宋体"/>
          <w:b/>
          <w:bCs/>
          <w:sz w:val="24"/>
        </w:rPr>
        <w:br w:type="page"/>
      </w:r>
    </w:p>
    <w:p>
      <w:pPr>
        <w:pStyle w:val="6"/>
        <w:jc w:val="center"/>
        <w:rPr>
          <w:rFonts w:hAnsi="宋体" w:cs="宋体"/>
          <w:bdr w:val="single" w:color="auto" w:sz="4" w:space="0"/>
        </w:rPr>
      </w:pPr>
      <w:bookmarkStart w:id="122" w:name="_Toc54939209"/>
      <w:r>
        <w:rPr>
          <w:rFonts w:hint="eastAsia" w:hAnsi="宋体" w:cs="宋体"/>
        </w:rPr>
        <w:t>六、资格证明文件</w:t>
      </w:r>
      <w:bookmarkEnd w:id="121"/>
      <w:bookmarkEnd w:id="122"/>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10"/>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4、履行合同所必需的设备专业技术能力证明文件（由谈判响应人根据项目情况决定是否填写）；</w:t>
      </w:r>
    </w:p>
    <w:p>
      <w:pPr>
        <w:spacing w:line="360" w:lineRule="auto"/>
        <w:rPr>
          <w:rFonts w:ascii="宋体" w:hAnsi="宋体" w:cs="宋体"/>
          <w:szCs w:val="21"/>
        </w:rPr>
      </w:pPr>
      <w:r>
        <w:rPr>
          <w:rFonts w:hint="eastAsia" w:ascii="宋体" w:hAnsi="宋体" w:cs="宋体"/>
          <w:szCs w:val="21"/>
        </w:rPr>
        <w:t>（1）服务于本项目的专业设备一览表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292" w:type="dxa"/>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1453" w:type="dxa"/>
            <w:vAlign w:val="center"/>
          </w:tcPr>
          <w:p>
            <w:pPr>
              <w:spacing w:line="360" w:lineRule="auto"/>
              <w:jc w:val="center"/>
              <w:rPr>
                <w:rFonts w:ascii="宋体" w:hAnsi="宋体" w:cs="宋体"/>
                <w:szCs w:val="21"/>
              </w:rPr>
            </w:pPr>
            <w:r>
              <w:rPr>
                <w:rFonts w:hint="eastAsia" w:ascii="宋体" w:hAnsi="宋体" w:cs="宋体"/>
                <w:szCs w:val="21"/>
              </w:rPr>
              <w:t>购入时间</w:t>
            </w:r>
          </w:p>
        </w:tc>
        <w:tc>
          <w:tcPr>
            <w:tcW w:w="934" w:type="dxa"/>
            <w:vAlign w:val="center"/>
          </w:tcPr>
          <w:p>
            <w:pPr>
              <w:spacing w:line="360" w:lineRule="auto"/>
              <w:jc w:val="center"/>
              <w:rPr>
                <w:rFonts w:ascii="宋体" w:hAnsi="宋体" w:cs="宋体"/>
                <w:szCs w:val="21"/>
              </w:rPr>
            </w:pPr>
            <w:r>
              <w:rPr>
                <w:rFonts w:hint="eastAsia" w:ascii="宋体" w:hAnsi="宋体" w:cs="宋体"/>
                <w:szCs w:val="21"/>
              </w:rPr>
              <w:t>价值</w:t>
            </w:r>
          </w:p>
        </w:tc>
        <w:tc>
          <w:tcPr>
            <w:tcW w:w="878" w:type="dxa"/>
            <w:vAlign w:val="center"/>
          </w:tcPr>
          <w:p>
            <w:pPr>
              <w:spacing w:line="360" w:lineRule="auto"/>
              <w:jc w:val="center"/>
              <w:rPr>
                <w:rFonts w:ascii="宋体" w:hAnsi="宋体" w:cs="宋体"/>
                <w:szCs w:val="21"/>
              </w:rPr>
            </w:pPr>
            <w:r>
              <w:rPr>
                <w:rFonts w:hint="eastAsia" w:ascii="宋体" w:hAnsi="宋体" w:cs="宋体"/>
                <w:szCs w:val="21"/>
              </w:rPr>
              <w:t>数量</w:t>
            </w:r>
          </w:p>
        </w:tc>
        <w:tc>
          <w:tcPr>
            <w:tcW w:w="1495" w:type="dxa"/>
            <w:vAlign w:val="center"/>
          </w:tcPr>
          <w:p>
            <w:pPr>
              <w:spacing w:line="360" w:lineRule="auto"/>
              <w:jc w:val="center"/>
              <w:rPr>
                <w:rFonts w:ascii="宋体" w:hAnsi="宋体" w:cs="宋体"/>
                <w:szCs w:val="21"/>
              </w:rPr>
            </w:pPr>
            <w:r>
              <w:rPr>
                <w:rFonts w:hint="eastAsia" w:ascii="宋体" w:hAnsi="宋体" w:cs="宋体"/>
                <w:szCs w:val="21"/>
              </w:rPr>
              <w:t>生产厂家</w:t>
            </w:r>
          </w:p>
        </w:tc>
        <w:tc>
          <w:tcPr>
            <w:tcW w:w="1504"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rPr>
                <w:rFonts w:ascii="宋体" w:hAnsi="宋体" w:cs="宋体"/>
                <w:szCs w:val="21"/>
              </w:rPr>
            </w:pPr>
            <w:r>
              <w:rPr>
                <w:rFonts w:hint="eastAsia" w:ascii="宋体" w:hAnsi="宋体" w:cs="宋体"/>
                <w:szCs w:val="21"/>
              </w:rPr>
              <w:t xml:space="preserve">    </w:t>
            </w: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szCs w:val="21"/>
              </w:rPr>
            </w:pPr>
          </w:p>
        </w:tc>
        <w:tc>
          <w:tcPr>
            <w:tcW w:w="2292" w:type="dxa"/>
            <w:vAlign w:val="center"/>
          </w:tcPr>
          <w:p>
            <w:pPr>
              <w:spacing w:line="360" w:lineRule="auto"/>
              <w:ind w:firstLine="420" w:firstLineChars="200"/>
              <w:rPr>
                <w:rFonts w:ascii="宋体" w:hAnsi="宋体" w:cs="宋体"/>
                <w:szCs w:val="21"/>
              </w:rPr>
            </w:pPr>
          </w:p>
        </w:tc>
        <w:tc>
          <w:tcPr>
            <w:tcW w:w="1453" w:type="dxa"/>
            <w:vAlign w:val="center"/>
          </w:tcPr>
          <w:p>
            <w:pPr>
              <w:spacing w:line="360" w:lineRule="auto"/>
              <w:ind w:firstLine="420" w:firstLineChars="200"/>
              <w:rPr>
                <w:rFonts w:ascii="宋体" w:hAnsi="宋体" w:cs="宋体"/>
                <w:szCs w:val="21"/>
              </w:rPr>
            </w:pPr>
          </w:p>
        </w:tc>
        <w:tc>
          <w:tcPr>
            <w:tcW w:w="934" w:type="dxa"/>
            <w:vAlign w:val="center"/>
          </w:tcPr>
          <w:p>
            <w:pPr>
              <w:spacing w:line="360" w:lineRule="auto"/>
              <w:ind w:firstLine="420" w:firstLineChars="200"/>
              <w:rPr>
                <w:rFonts w:ascii="宋体" w:hAnsi="宋体" w:cs="宋体"/>
                <w:szCs w:val="21"/>
              </w:rPr>
            </w:pPr>
          </w:p>
        </w:tc>
        <w:tc>
          <w:tcPr>
            <w:tcW w:w="878" w:type="dxa"/>
            <w:vAlign w:val="center"/>
          </w:tcPr>
          <w:p>
            <w:pPr>
              <w:spacing w:line="360" w:lineRule="auto"/>
              <w:ind w:firstLine="420" w:firstLineChars="200"/>
              <w:rPr>
                <w:rFonts w:ascii="宋体" w:hAnsi="宋体" w:cs="宋体"/>
                <w:szCs w:val="21"/>
              </w:rPr>
            </w:pPr>
          </w:p>
        </w:tc>
        <w:tc>
          <w:tcPr>
            <w:tcW w:w="1495" w:type="dxa"/>
            <w:vAlign w:val="center"/>
          </w:tcPr>
          <w:p>
            <w:pPr>
              <w:spacing w:line="360" w:lineRule="auto"/>
              <w:ind w:firstLine="420" w:firstLineChars="200"/>
              <w:rPr>
                <w:rFonts w:ascii="宋体" w:hAnsi="宋体" w:cs="宋体"/>
                <w:szCs w:val="21"/>
              </w:rPr>
            </w:pPr>
          </w:p>
        </w:tc>
        <w:tc>
          <w:tcPr>
            <w:tcW w:w="1504" w:type="dxa"/>
            <w:vAlign w:val="center"/>
          </w:tcPr>
          <w:p>
            <w:pPr>
              <w:spacing w:line="360" w:lineRule="auto"/>
              <w:ind w:firstLine="420" w:firstLineChars="20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（2）服务本项目人员一览表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szCs w:val="21"/>
              </w:rPr>
            </w:pPr>
          </w:p>
        </w:tc>
        <w:tc>
          <w:tcPr>
            <w:tcW w:w="987"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名称</w:t>
            </w:r>
          </w:p>
        </w:tc>
        <w:tc>
          <w:tcPr>
            <w:tcW w:w="1974" w:type="dxa"/>
            <w:vAlign w:val="center"/>
          </w:tcPr>
          <w:p>
            <w:pPr>
              <w:spacing w:before="100" w:beforeAutospacing="1" w:after="100" w:afterAutospacing="1" w:line="360" w:lineRule="auto"/>
              <w:jc w:val="center"/>
              <w:rPr>
                <w:rFonts w:ascii="宋体" w:hAnsi="宋体" w:cs="宋体"/>
                <w:szCs w:val="21"/>
              </w:rPr>
            </w:pPr>
            <w:r>
              <w:rPr>
                <w:rFonts w:hint="eastAsia" w:ascii="宋体" w:hAnsi="宋体" w:cs="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管理人员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szCs w:val="21"/>
              </w:rPr>
            </w:pPr>
            <w:r>
              <w:rPr>
                <w:rFonts w:hint="eastAsia" w:ascii="宋体" w:hAnsi="宋体" w:cs="宋体"/>
                <w:szCs w:val="21"/>
              </w:rPr>
              <w:t>技术人员</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szCs w:val="21"/>
              </w:rPr>
            </w:pPr>
            <w:r>
              <w:rPr>
                <w:rFonts w:hint="eastAsia" w:ascii="宋体" w:hAnsi="宋体" w:cs="宋体"/>
                <w:szCs w:val="21"/>
              </w:rPr>
              <w:t>其他</w:t>
            </w: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szCs w:val="21"/>
              </w:rPr>
            </w:pPr>
          </w:p>
        </w:tc>
        <w:tc>
          <w:tcPr>
            <w:tcW w:w="1187"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185"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c>
          <w:tcPr>
            <w:tcW w:w="987" w:type="dxa"/>
          </w:tcPr>
          <w:p>
            <w:pPr>
              <w:spacing w:before="100" w:beforeAutospacing="1" w:after="100" w:afterAutospacing="1" w:line="360" w:lineRule="auto"/>
              <w:ind w:firstLine="420" w:firstLineChars="200"/>
              <w:rPr>
                <w:rFonts w:ascii="宋体" w:hAnsi="宋体" w:cs="宋体"/>
                <w:szCs w:val="21"/>
              </w:rPr>
            </w:pPr>
          </w:p>
        </w:tc>
        <w:tc>
          <w:tcPr>
            <w:tcW w:w="1974" w:type="dxa"/>
          </w:tcPr>
          <w:p>
            <w:pPr>
              <w:spacing w:before="100" w:beforeAutospacing="1" w:after="100" w:afterAutospacing="1" w:line="360" w:lineRule="auto"/>
              <w:ind w:firstLine="420" w:firstLineChars="200"/>
              <w:rPr>
                <w:rFonts w:ascii="宋体" w:hAnsi="宋体" w:cs="宋体"/>
                <w:szCs w:val="21"/>
              </w:rPr>
            </w:pPr>
          </w:p>
        </w:tc>
      </w:tr>
    </w:tbl>
    <w:p>
      <w:pPr>
        <w:spacing w:line="360" w:lineRule="auto"/>
        <w:ind w:firstLine="420" w:firstLineChars="200"/>
        <w:rPr>
          <w:rFonts w:ascii="宋体" w:hAnsi="宋体" w:cs="宋体"/>
          <w:bCs/>
          <w:kern w:val="0"/>
          <w:sz w:val="24"/>
          <w:szCs w:val="18"/>
        </w:rPr>
      </w:pPr>
      <w:r>
        <w:rPr>
          <w:rFonts w:hint="eastAsia" w:ascii="宋体" w:hAnsi="宋体" w:cs="宋体"/>
          <w:szCs w:val="21"/>
        </w:rPr>
        <w:t>5、本项目竞争性谈判文件中要求谈判响应人提供的其他资格条件证明材料。</w:t>
      </w:r>
    </w:p>
    <w:p>
      <w:pPr>
        <w:spacing w:line="360" w:lineRule="auto"/>
        <w:ind w:left="420" w:leftChars="200"/>
        <w:jc w:val="center"/>
        <w:rPr>
          <w:rFonts w:ascii="宋体" w:hAnsi="宋体" w:cs="宋体"/>
          <w:b/>
          <w:kern w:val="0"/>
          <w:sz w:val="24"/>
          <w:szCs w:val="18"/>
        </w:rPr>
      </w:pPr>
      <w:r>
        <w:rPr>
          <w:rFonts w:hint="eastAsia" w:ascii="宋体" w:hAnsi="宋体" w:cs="宋体"/>
          <w:bCs/>
          <w:kern w:val="0"/>
          <w:sz w:val="24"/>
          <w:szCs w:val="18"/>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kern w:val="0"/>
          <w:sz w:val="24"/>
          <w:szCs w:val="18"/>
        </w:rPr>
        <w:t xml:space="preserve">                             声明</w:t>
      </w:r>
    </w:p>
    <w:p>
      <w:pPr>
        <w:spacing w:line="360" w:lineRule="auto"/>
        <w:ind w:firstLine="420" w:firstLineChars="200"/>
        <w:rPr>
          <w:rFonts w:ascii="宋体" w:hAnsi="宋体" w:cs="宋体"/>
          <w:szCs w:val="21"/>
        </w:rPr>
      </w:pPr>
      <w:r>
        <w:rPr>
          <w:rFonts w:hint="eastAsia" w:ascii="宋体" w:hAnsi="宋体" w:cs="宋体"/>
          <w:szCs w:val="21"/>
        </w:rPr>
        <w:t>致:安庆职业技术学院</w:t>
      </w:r>
    </w:p>
    <w:p>
      <w:pPr>
        <w:spacing w:line="360" w:lineRule="auto"/>
        <w:ind w:firstLine="420" w:firstLineChars="200"/>
        <w:rPr>
          <w:rFonts w:ascii="宋体" w:hAnsi="宋体" w:cs="宋体"/>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szCs w:val="21"/>
        </w:rPr>
        <w:t>，包括：</w:t>
      </w:r>
    </w:p>
    <w:p>
      <w:pPr>
        <w:spacing w:line="360" w:lineRule="auto"/>
        <w:ind w:firstLine="420" w:firstLineChars="200"/>
        <w:rPr>
          <w:rFonts w:ascii="宋体" w:hAnsi="宋体" w:cs="宋体"/>
          <w:szCs w:val="21"/>
        </w:rPr>
      </w:pPr>
      <w:r>
        <w:rPr>
          <w:rFonts w:hint="eastAsia" w:ascii="宋体" w:hAnsi="宋体" w:cs="宋体"/>
          <w:szCs w:val="21"/>
        </w:rPr>
        <w:t>因违法经营受到刑事处罚或者责令停产停业、吊销许可证或者执照、较大数额罚款等行政处罚。</w:t>
      </w:r>
    </w:p>
    <w:p>
      <w:pPr>
        <w:spacing w:line="360" w:lineRule="auto"/>
        <w:ind w:firstLine="420" w:firstLineChars="200"/>
        <w:rPr>
          <w:rFonts w:ascii="宋体" w:hAnsi="宋体" w:cs="宋体"/>
          <w:szCs w:val="21"/>
        </w:rPr>
      </w:pP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 xml:space="preserve">特此声明！                             </w:t>
      </w:r>
    </w:p>
    <w:p>
      <w:pPr>
        <w:spacing w:line="360" w:lineRule="auto"/>
        <w:ind w:firstLine="420" w:firstLineChars="200"/>
        <w:rPr>
          <w:rFonts w:ascii="宋体" w:hAnsi="宋体" w:cs="宋体"/>
          <w:szCs w:val="21"/>
        </w:rPr>
      </w:pPr>
      <w:r>
        <w:rPr>
          <w:rFonts w:hint="eastAsia" w:ascii="宋体" w:hAnsi="宋体" w:cs="宋体"/>
          <w:szCs w:val="21"/>
        </w:rPr>
        <w:t xml:space="preserve">                                            谈判响应人名称（盖章）：                        </w:t>
      </w:r>
    </w:p>
    <w:p>
      <w:pPr>
        <w:spacing w:line="360" w:lineRule="auto"/>
        <w:ind w:firstLine="420" w:firstLineChars="200"/>
        <w:rPr>
          <w:rFonts w:ascii="宋体" w:hAnsi="宋体" w:cs="宋体"/>
          <w:szCs w:val="21"/>
        </w:rPr>
      </w:pPr>
      <w:r>
        <w:rPr>
          <w:rFonts w:hint="eastAsia" w:ascii="宋体" w:hAnsi="宋体" w:cs="宋体"/>
          <w:szCs w:val="21"/>
        </w:rPr>
        <w:t xml:space="preserve">                                            法定代表人或委托代理人（签字或盖章）：                </w:t>
      </w:r>
    </w:p>
    <w:p>
      <w:pPr>
        <w:spacing w:line="360" w:lineRule="auto"/>
        <w:ind w:firstLine="420" w:firstLineChars="200"/>
        <w:rPr>
          <w:rFonts w:ascii="宋体" w:hAnsi="宋体" w:cs="宋体"/>
          <w:szCs w:val="21"/>
        </w:rPr>
      </w:pPr>
      <w:r>
        <w:rPr>
          <w:rFonts w:hint="eastAsia" w:ascii="宋体" w:hAnsi="宋体" w:cs="宋体"/>
          <w:szCs w:val="21"/>
        </w:rPr>
        <w:t xml:space="preserve">                                            日期：        年       月       日</w:t>
      </w:r>
    </w:p>
    <w:p>
      <w:pPr>
        <w:pStyle w:val="55"/>
        <w:spacing w:line="360" w:lineRule="auto"/>
        <w:ind w:left="420" w:firstLine="0" w:firstLineChars="0"/>
        <w:rPr>
          <w:rFonts w:ascii="宋体" w:hAnsi="宋体"/>
          <w:b/>
          <w:szCs w:val="21"/>
        </w:rPr>
      </w:pPr>
      <w:r>
        <w:rPr>
          <w:rFonts w:hint="eastAsia" w:ascii="宋体" w:hAnsi="宋体" w:cs="宋体"/>
          <w:szCs w:val="21"/>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szCs w:val="21"/>
        </w:rPr>
        <w:t>法定代表人或委托代理人（签字或盖章）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cs="宋体"/>
          <w:szCs w:val="21"/>
        </w:rPr>
      </w:pPr>
    </w:p>
    <w:p>
      <w:pPr>
        <w:widowControl/>
        <w:spacing w:line="500" w:lineRule="exact"/>
        <w:ind w:firstLine="420" w:firstLineChars="200"/>
        <w:jc w:val="left"/>
        <w:rPr>
          <w:rFonts w:ascii="宋体" w:hAnsi="宋体" w:cs="宋体"/>
          <w:szCs w:val="21"/>
        </w:rPr>
      </w:pPr>
      <w:r>
        <w:rPr>
          <w:rFonts w:hint="eastAsia" w:ascii="宋体" w:hAnsi="宋体" w:cs="宋体"/>
          <w:szCs w:val="21"/>
        </w:rPr>
        <w:t>8、一个完整年度（2018年或2019年或2020年）财务会计报表；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　　　如谈判响应人为新成立的供应商，请提供上一月度（或季度）财务会计报表</w:t>
      </w:r>
    </w:p>
    <w:p>
      <w:pPr>
        <w:widowControl/>
        <w:spacing w:line="500" w:lineRule="exact"/>
        <w:ind w:firstLine="420" w:firstLineChars="200"/>
        <w:jc w:val="left"/>
        <w:rPr>
          <w:rFonts w:ascii="宋体" w:hAnsi="宋体" w:cs="宋体"/>
          <w:szCs w:val="21"/>
        </w:rPr>
      </w:pPr>
      <w:r>
        <w:rPr>
          <w:rFonts w:hint="eastAsia" w:ascii="宋体" w:hAnsi="宋体" w:cs="宋体"/>
          <w:szCs w:val="21"/>
        </w:rPr>
        <w:t>9、本项目竞争性谈判文件中要求谈判响应人提供的其他资格条件证明材料</w:t>
      </w:r>
    </w:p>
    <w:p>
      <w:pPr>
        <w:widowControl/>
        <w:spacing w:line="500" w:lineRule="exact"/>
        <w:ind w:firstLine="420" w:firstLineChars="200"/>
        <w:jc w:val="left"/>
        <w:rPr>
          <w:rFonts w:ascii="宋体" w:hAnsi="宋体" w:cs="宋体"/>
          <w:szCs w:val="21"/>
        </w:rPr>
      </w:pPr>
      <w:r>
        <w:rPr>
          <w:rFonts w:hint="eastAsia" w:ascii="宋体" w:hAnsi="宋体" w:cs="宋体"/>
          <w:szCs w:val="21"/>
        </w:rPr>
        <w:t>10、须提供上述资格证明文件复印件或扫描件或影印件。</w:t>
      </w: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widowControl/>
        <w:spacing w:line="500" w:lineRule="exact"/>
        <w:ind w:firstLine="420" w:firstLineChars="200"/>
        <w:jc w:val="left"/>
        <w:rPr>
          <w:rFonts w:ascii="宋体" w:hAnsi="宋体" w:cs="宋体"/>
          <w:szCs w:val="21"/>
        </w:rPr>
      </w:pPr>
    </w:p>
    <w:p>
      <w:pPr>
        <w:spacing w:line="360" w:lineRule="auto"/>
        <w:jc w:val="left"/>
        <w:rPr>
          <w:rFonts w:ascii="宋体" w:hAnsi="宋体" w:cs="宋体"/>
          <w:b/>
          <w:sz w:val="24"/>
        </w:rPr>
      </w:pPr>
      <w:r>
        <w:rPr>
          <w:rFonts w:hint="eastAsia" w:ascii="宋体" w:hAnsi="宋体" w:cs="宋体"/>
          <w:b/>
          <w:sz w:val="24"/>
        </w:rPr>
        <w:t>附 件：</w:t>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授权书</w:t>
      </w:r>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39</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39</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szCs w:val="21"/>
      </w:rPr>
    </w:pPr>
    <w:r>
      <w:rPr>
        <w:rFonts w:hint="eastAsia"/>
        <w:szCs w:val="21"/>
      </w:rPr>
      <w:t xml:space="preserve">                                   </w:t>
    </w:r>
    <w:r>
      <w:rPr>
        <w:rFonts w:hint="eastAsia"/>
        <w:szCs w:val="21"/>
        <w:lang w:eastAsia="zh-CN"/>
      </w:rPr>
      <w:t>安庆职业技术学院食品质量与安全理实一体化实验实训室改造</w:t>
    </w:r>
    <w:r>
      <w:rPr>
        <w:rFonts w:hint="eastAsia"/>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65543"/>
    <w:multiLevelType w:val="singleLevel"/>
    <w:tmpl w:val="C0065543"/>
    <w:lvl w:ilvl="0" w:tentative="0">
      <w:start w:val="2"/>
      <w:numFmt w:val="decimal"/>
      <w:suff w:val="space"/>
      <w:lvlText w:val="%1."/>
      <w:lvlJc w:val="left"/>
    </w:lvl>
  </w:abstractNum>
  <w:abstractNum w:abstractNumId="1">
    <w:nsid w:val="C4E0FDBE"/>
    <w:multiLevelType w:val="singleLevel"/>
    <w:tmpl w:val="C4E0FDBE"/>
    <w:lvl w:ilvl="0" w:tentative="0">
      <w:start w:val="1"/>
      <w:numFmt w:val="lowerLetter"/>
      <w:suff w:val="space"/>
      <w:lvlText w:val="%1."/>
      <w:lvlJc w:val="left"/>
    </w:lvl>
  </w:abstractNum>
  <w:abstractNum w:abstractNumId="2">
    <w:nsid w:val="ED7967D1"/>
    <w:multiLevelType w:val="singleLevel"/>
    <w:tmpl w:val="ED7967D1"/>
    <w:lvl w:ilvl="0" w:tentative="0">
      <w:start w:val="7"/>
      <w:numFmt w:val="chineseCounting"/>
      <w:suff w:val="nothing"/>
      <w:lvlText w:val="%1、"/>
      <w:lvlJc w:val="left"/>
      <w:rPr>
        <w:rFonts w:hint="eastAsia"/>
      </w:rPr>
    </w:lvl>
  </w:abstractNum>
  <w:abstractNum w:abstractNumId="3">
    <w:nsid w:val="EF5A27C6"/>
    <w:multiLevelType w:val="singleLevel"/>
    <w:tmpl w:val="EF5A27C6"/>
    <w:lvl w:ilvl="0" w:tentative="0">
      <w:start w:val="1"/>
      <w:numFmt w:val="lowerLetter"/>
      <w:suff w:val="space"/>
      <w:lvlText w:val="%1."/>
      <w:lvlJc w:val="left"/>
    </w:lvl>
  </w:abstractNum>
  <w:abstractNum w:abstractNumId="4">
    <w:nsid w:val="15377CE0"/>
    <w:multiLevelType w:val="singleLevel"/>
    <w:tmpl w:val="15377CE0"/>
    <w:lvl w:ilvl="0" w:tentative="0">
      <w:start w:val="1"/>
      <w:numFmt w:val="lowerLetter"/>
      <w:suff w:val="space"/>
      <w:lvlText w:val="%1."/>
      <w:lvlJc w:val="left"/>
    </w:lvl>
  </w:abstractNum>
  <w:abstractNum w:abstractNumId="5">
    <w:nsid w:val="58D9DD69"/>
    <w:multiLevelType w:val="singleLevel"/>
    <w:tmpl w:val="58D9DD69"/>
    <w:lvl w:ilvl="0" w:tentative="0">
      <w:start w:val="3"/>
      <w:numFmt w:val="decimal"/>
      <w:suff w:val="nothing"/>
      <w:lvlText w:val="%1、"/>
      <w:lvlJc w:val="left"/>
    </w:lvl>
  </w:abstractNum>
  <w:abstractNum w:abstractNumId="6">
    <w:nsid w:val="58DE129E"/>
    <w:multiLevelType w:val="singleLevel"/>
    <w:tmpl w:val="58DE129E"/>
    <w:lvl w:ilvl="0" w:tentative="0">
      <w:start w:val="4"/>
      <w:numFmt w:val="chineseCounting"/>
      <w:suff w:val="nothing"/>
      <w:lvlText w:val="%1、"/>
      <w:lvlJc w:val="left"/>
    </w:lvl>
  </w:abstractNum>
  <w:abstractNum w:abstractNumId="7">
    <w:nsid w:val="590BEEFE"/>
    <w:multiLevelType w:val="singleLevel"/>
    <w:tmpl w:val="590BEEFE"/>
    <w:lvl w:ilvl="0" w:tentative="0">
      <w:start w:val="13"/>
      <w:numFmt w:val="decimal"/>
      <w:suff w:val="nothing"/>
      <w:lvlText w:val="%1、"/>
      <w:lvlJc w:val="left"/>
    </w:lvl>
  </w:abstractNum>
  <w:abstractNum w:abstractNumId="8">
    <w:nsid w:val="59427873"/>
    <w:multiLevelType w:val="singleLevel"/>
    <w:tmpl w:val="59427873"/>
    <w:lvl w:ilvl="0" w:tentative="0">
      <w:start w:val="1"/>
      <w:numFmt w:val="lowerLetter"/>
      <w:suff w:val="space"/>
      <w:lvlText w:val="%1."/>
      <w:lvlJc w:val="left"/>
    </w:lvl>
  </w:abstractNum>
  <w:abstractNum w:abstractNumId="9">
    <w:nsid w:val="6F9C3AE0"/>
    <w:multiLevelType w:val="singleLevel"/>
    <w:tmpl w:val="6F9C3AE0"/>
    <w:lvl w:ilvl="0" w:tentative="0">
      <w:start w:val="11"/>
      <w:numFmt w:val="decimal"/>
      <w:suff w:val="space"/>
      <w:lvlText w:val="%1."/>
      <w:lvlJc w:val="left"/>
    </w:lvl>
  </w:abstractNum>
  <w:num w:numId="1">
    <w:abstractNumId w:val="7"/>
  </w:num>
  <w:num w:numId="2">
    <w:abstractNumId w:val="6"/>
  </w:num>
  <w:num w:numId="3">
    <w:abstractNumId w:val="0"/>
  </w:num>
  <w:num w:numId="4">
    <w:abstractNumId w:val="9"/>
  </w:num>
  <w:num w:numId="5">
    <w:abstractNumId w:val="1"/>
  </w:num>
  <w:num w:numId="6">
    <w:abstractNumId w:val="2"/>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140F"/>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0B4"/>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4F65"/>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2B52"/>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87AD0"/>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4976"/>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3D3"/>
    <w:rsid w:val="00F474A7"/>
    <w:rsid w:val="00F51CFD"/>
    <w:rsid w:val="00F51D8D"/>
    <w:rsid w:val="00F55580"/>
    <w:rsid w:val="00F61383"/>
    <w:rsid w:val="00F61E09"/>
    <w:rsid w:val="00F61FF8"/>
    <w:rsid w:val="00F6226E"/>
    <w:rsid w:val="00F63116"/>
    <w:rsid w:val="00F632AC"/>
    <w:rsid w:val="00F632C4"/>
    <w:rsid w:val="00F6381F"/>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47F6D"/>
    <w:rsid w:val="01195173"/>
    <w:rsid w:val="013037ED"/>
    <w:rsid w:val="018A44B4"/>
    <w:rsid w:val="01922DC9"/>
    <w:rsid w:val="019924DC"/>
    <w:rsid w:val="019C237B"/>
    <w:rsid w:val="01BB72E8"/>
    <w:rsid w:val="01E2540A"/>
    <w:rsid w:val="020F6D54"/>
    <w:rsid w:val="021A1EAD"/>
    <w:rsid w:val="02316790"/>
    <w:rsid w:val="023B4D63"/>
    <w:rsid w:val="023E4914"/>
    <w:rsid w:val="02606320"/>
    <w:rsid w:val="026F2CC5"/>
    <w:rsid w:val="02734C55"/>
    <w:rsid w:val="02D57437"/>
    <w:rsid w:val="02E9052A"/>
    <w:rsid w:val="02F10E60"/>
    <w:rsid w:val="03120DBB"/>
    <w:rsid w:val="031778E3"/>
    <w:rsid w:val="031B0030"/>
    <w:rsid w:val="03387229"/>
    <w:rsid w:val="034340B9"/>
    <w:rsid w:val="03443A6F"/>
    <w:rsid w:val="03724537"/>
    <w:rsid w:val="03851ED2"/>
    <w:rsid w:val="038F23D0"/>
    <w:rsid w:val="0397390E"/>
    <w:rsid w:val="03A96165"/>
    <w:rsid w:val="03F44933"/>
    <w:rsid w:val="03FE22DC"/>
    <w:rsid w:val="04043AA5"/>
    <w:rsid w:val="040F0FC8"/>
    <w:rsid w:val="041E7ACD"/>
    <w:rsid w:val="04201B8B"/>
    <w:rsid w:val="04237D15"/>
    <w:rsid w:val="04245C53"/>
    <w:rsid w:val="04382BE0"/>
    <w:rsid w:val="043E7102"/>
    <w:rsid w:val="045E7194"/>
    <w:rsid w:val="0477350E"/>
    <w:rsid w:val="04875DFF"/>
    <w:rsid w:val="048D42C4"/>
    <w:rsid w:val="0498643B"/>
    <w:rsid w:val="04A006E1"/>
    <w:rsid w:val="04BF597B"/>
    <w:rsid w:val="04CB32CC"/>
    <w:rsid w:val="04E36D3F"/>
    <w:rsid w:val="04E50C1D"/>
    <w:rsid w:val="04FD4494"/>
    <w:rsid w:val="051A65C3"/>
    <w:rsid w:val="05244A1E"/>
    <w:rsid w:val="052E1C9F"/>
    <w:rsid w:val="052E7D0D"/>
    <w:rsid w:val="0531200C"/>
    <w:rsid w:val="053D22D7"/>
    <w:rsid w:val="053E109C"/>
    <w:rsid w:val="054C6411"/>
    <w:rsid w:val="05A14822"/>
    <w:rsid w:val="05BD1AA1"/>
    <w:rsid w:val="05E002BE"/>
    <w:rsid w:val="05E35B59"/>
    <w:rsid w:val="05F35EB0"/>
    <w:rsid w:val="0616034C"/>
    <w:rsid w:val="061652FD"/>
    <w:rsid w:val="062275FA"/>
    <w:rsid w:val="063B4D88"/>
    <w:rsid w:val="06481AD4"/>
    <w:rsid w:val="064E5990"/>
    <w:rsid w:val="06521913"/>
    <w:rsid w:val="06567772"/>
    <w:rsid w:val="06805122"/>
    <w:rsid w:val="069353D8"/>
    <w:rsid w:val="06952ADA"/>
    <w:rsid w:val="06A5679D"/>
    <w:rsid w:val="06A85231"/>
    <w:rsid w:val="06DF7532"/>
    <w:rsid w:val="06F36A08"/>
    <w:rsid w:val="06F94826"/>
    <w:rsid w:val="06FB1E54"/>
    <w:rsid w:val="071B4038"/>
    <w:rsid w:val="07422C6F"/>
    <w:rsid w:val="07632295"/>
    <w:rsid w:val="07655DB3"/>
    <w:rsid w:val="076E24E5"/>
    <w:rsid w:val="07733C89"/>
    <w:rsid w:val="07AE4DBF"/>
    <w:rsid w:val="07AF4527"/>
    <w:rsid w:val="07BD391F"/>
    <w:rsid w:val="07DA0583"/>
    <w:rsid w:val="07E357C9"/>
    <w:rsid w:val="0838737A"/>
    <w:rsid w:val="08444D9F"/>
    <w:rsid w:val="08511F00"/>
    <w:rsid w:val="087A5C75"/>
    <w:rsid w:val="087F1843"/>
    <w:rsid w:val="088A4392"/>
    <w:rsid w:val="089935B7"/>
    <w:rsid w:val="08AA4743"/>
    <w:rsid w:val="08D12404"/>
    <w:rsid w:val="08DA0D79"/>
    <w:rsid w:val="0927319F"/>
    <w:rsid w:val="092B3141"/>
    <w:rsid w:val="09324CAE"/>
    <w:rsid w:val="097517AF"/>
    <w:rsid w:val="097A7948"/>
    <w:rsid w:val="09890446"/>
    <w:rsid w:val="098C68F8"/>
    <w:rsid w:val="09AC4724"/>
    <w:rsid w:val="09B87F24"/>
    <w:rsid w:val="09F95F96"/>
    <w:rsid w:val="09FA4F71"/>
    <w:rsid w:val="0A0334B3"/>
    <w:rsid w:val="0A0D26BB"/>
    <w:rsid w:val="0A19239D"/>
    <w:rsid w:val="0A3C1CA7"/>
    <w:rsid w:val="0A461924"/>
    <w:rsid w:val="0A4B61C6"/>
    <w:rsid w:val="0A6D3720"/>
    <w:rsid w:val="0A901CC5"/>
    <w:rsid w:val="0ACE4FC1"/>
    <w:rsid w:val="0AD07978"/>
    <w:rsid w:val="0B072024"/>
    <w:rsid w:val="0B0914F5"/>
    <w:rsid w:val="0B0F0824"/>
    <w:rsid w:val="0B110D86"/>
    <w:rsid w:val="0B1A0EC4"/>
    <w:rsid w:val="0B1C5187"/>
    <w:rsid w:val="0B220186"/>
    <w:rsid w:val="0B2916C2"/>
    <w:rsid w:val="0B2A07B0"/>
    <w:rsid w:val="0B332287"/>
    <w:rsid w:val="0B736FD8"/>
    <w:rsid w:val="0B91761E"/>
    <w:rsid w:val="0B97165A"/>
    <w:rsid w:val="0BCA33E7"/>
    <w:rsid w:val="0BE77B0B"/>
    <w:rsid w:val="0C1C01DE"/>
    <w:rsid w:val="0C597572"/>
    <w:rsid w:val="0C83295D"/>
    <w:rsid w:val="0C89471E"/>
    <w:rsid w:val="0C907A80"/>
    <w:rsid w:val="0CAE5CFF"/>
    <w:rsid w:val="0D072DFE"/>
    <w:rsid w:val="0D2152D7"/>
    <w:rsid w:val="0D3E4270"/>
    <w:rsid w:val="0D494161"/>
    <w:rsid w:val="0D4F57E4"/>
    <w:rsid w:val="0D632F8F"/>
    <w:rsid w:val="0D6669BD"/>
    <w:rsid w:val="0DC64678"/>
    <w:rsid w:val="0DCB05AE"/>
    <w:rsid w:val="0DF70178"/>
    <w:rsid w:val="0DF94899"/>
    <w:rsid w:val="0DFA1324"/>
    <w:rsid w:val="0E32410D"/>
    <w:rsid w:val="0E487583"/>
    <w:rsid w:val="0E9223D5"/>
    <w:rsid w:val="0EA86D69"/>
    <w:rsid w:val="0EB14180"/>
    <w:rsid w:val="0EBC4E69"/>
    <w:rsid w:val="0EDD408A"/>
    <w:rsid w:val="0EF64818"/>
    <w:rsid w:val="0EFB37A0"/>
    <w:rsid w:val="0F137FA4"/>
    <w:rsid w:val="0F2B317B"/>
    <w:rsid w:val="0F3D389D"/>
    <w:rsid w:val="0F434292"/>
    <w:rsid w:val="0F8236D5"/>
    <w:rsid w:val="0FA65B55"/>
    <w:rsid w:val="0FC55235"/>
    <w:rsid w:val="0FD05E00"/>
    <w:rsid w:val="0FDC58DC"/>
    <w:rsid w:val="1009280B"/>
    <w:rsid w:val="100E134E"/>
    <w:rsid w:val="10264018"/>
    <w:rsid w:val="104A2CE1"/>
    <w:rsid w:val="1050087E"/>
    <w:rsid w:val="107E4A72"/>
    <w:rsid w:val="10B2256F"/>
    <w:rsid w:val="10C17787"/>
    <w:rsid w:val="10C64A93"/>
    <w:rsid w:val="10DC68D5"/>
    <w:rsid w:val="112F2B2C"/>
    <w:rsid w:val="11355366"/>
    <w:rsid w:val="11641478"/>
    <w:rsid w:val="11803EC2"/>
    <w:rsid w:val="11A03675"/>
    <w:rsid w:val="11AC730F"/>
    <w:rsid w:val="11BC1C1F"/>
    <w:rsid w:val="11C735A4"/>
    <w:rsid w:val="11CF1EF1"/>
    <w:rsid w:val="11EA2CE5"/>
    <w:rsid w:val="11F27F7D"/>
    <w:rsid w:val="12050414"/>
    <w:rsid w:val="121A40C0"/>
    <w:rsid w:val="12486B77"/>
    <w:rsid w:val="12633BA5"/>
    <w:rsid w:val="126D2AE8"/>
    <w:rsid w:val="12933A7D"/>
    <w:rsid w:val="12994AF8"/>
    <w:rsid w:val="12AE6B32"/>
    <w:rsid w:val="12C43EF0"/>
    <w:rsid w:val="12C4475B"/>
    <w:rsid w:val="12D6647C"/>
    <w:rsid w:val="12F81468"/>
    <w:rsid w:val="132B46CB"/>
    <w:rsid w:val="1347382D"/>
    <w:rsid w:val="135421F8"/>
    <w:rsid w:val="135C0074"/>
    <w:rsid w:val="13616BDF"/>
    <w:rsid w:val="13753967"/>
    <w:rsid w:val="13A1080A"/>
    <w:rsid w:val="13C2533C"/>
    <w:rsid w:val="13DF2D80"/>
    <w:rsid w:val="13EB17D3"/>
    <w:rsid w:val="13FF717E"/>
    <w:rsid w:val="140C3B2C"/>
    <w:rsid w:val="142A4E08"/>
    <w:rsid w:val="14396A3C"/>
    <w:rsid w:val="145C6A1A"/>
    <w:rsid w:val="145E59DA"/>
    <w:rsid w:val="146B3973"/>
    <w:rsid w:val="14BB77D1"/>
    <w:rsid w:val="14D8207C"/>
    <w:rsid w:val="14DA386A"/>
    <w:rsid w:val="14E42898"/>
    <w:rsid w:val="14F224D3"/>
    <w:rsid w:val="14FF6569"/>
    <w:rsid w:val="15021C7C"/>
    <w:rsid w:val="15073605"/>
    <w:rsid w:val="1516320B"/>
    <w:rsid w:val="152A4236"/>
    <w:rsid w:val="155807CF"/>
    <w:rsid w:val="156944AA"/>
    <w:rsid w:val="15786FC5"/>
    <w:rsid w:val="158546EC"/>
    <w:rsid w:val="15D34B8E"/>
    <w:rsid w:val="15E611B3"/>
    <w:rsid w:val="15FA4347"/>
    <w:rsid w:val="15FF0125"/>
    <w:rsid w:val="16135F43"/>
    <w:rsid w:val="162701DA"/>
    <w:rsid w:val="162B22EC"/>
    <w:rsid w:val="162C3647"/>
    <w:rsid w:val="16484942"/>
    <w:rsid w:val="164C31F0"/>
    <w:rsid w:val="164D4538"/>
    <w:rsid w:val="164E5502"/>
    <w:rsid w:val="1669259D"/>
    <w:rsid w:val="16AA643D"/>
    <w:rsid w:val="16AF3B22"/>
    <w:rsid w:val="16C16894"/>
    <w:rsid w:val="16E33E89"/>
    <w:rsid w:val="16E62698"/>
    <w:rsid w:val="170161F1"/>
    <w:rsid w:val="170B2AE0"/>
    <w:rsid w:val="170C2076"/>
    <w:rsid w:val="171347E8"/>
    <w:rsid w:val="171F0553"/>
    <w:rsid w:val="17412D20"/>
    <w:rsid w:val="17594F43"/>
    <w:rsid w:val="17656EC7"/>
    <w:rsid w:val="17710209"/>
    <w:rsid w:val="17865E6F"/>
    <w:rsid w:val="178B2FCA"/>
    <w:rsid w:val="17AB12FD"/>
    <w:rsid w:val="17B54142"/>
    <w:rsid w:val="17D73777"/>
    <w:rsid w:val="17E12977"/>
    <w:rsid w:val="17E16748"/>
    <w:rsid w:val="17E64412"/>
    <w:rsid w:val="183A16EE"/>
    <w:rsid w:val="184834A6"/>
    <w:rsid w:val="185C0EDF"/>
    <w:rsid w:val="187D7569"/>
    <w:rsid w:val="188859CE"/>
    <w:rsid w:val="189F55F4"/>
    <w:rsid w:val="18A75C99"/>
    <w:rsid w:val="18B20FCE"/>
    <w:rsid w:val="18B31707"/>
    <w:rsid w:val="18F273A6"/>
    <w:rsid w:val="192A68C8"/>
    <w:rsid w:val="19486FB2"/>
    <w:rsid w:val="19555DF8"/>
    <w:rsid w:val="195619E7"/>
    <w:rsid w:val="196E49C7"/>
    <w:rsid w:val="199475C6"/>
    <w:rsid w:val="19963360"/>
    <w:rsid w:val="199F5019"/>
    <w:rsid w:val="19A03350"/>
    <w:rsid w:val="19DF13F6"/>
    <w:rsid w:val="1A1856F2"/>
    <w:rsid w:val="1A390864"/>
    <w:rsid w:val="1A6930C2"/>
    <w:rsid w:val="1A6A324A"/>
    <w:rsid w:val="1A7D4C6E"/>
    <w:rsid w:val="1AC77936"/>
    <w:rsid w:val="1AEC4961"/>
    <w:rsid w:val="1B06535A"/>
    <w:rsid w:val="1B181533"/>
    <w:rsid w:val="1B44164E"/>
    <w:rsid w:val="1B565915"/>
    <w:rsid w:val="1B7E2B45"/>
    <w:rsid w:val="1BA7556B"/>
    <w:rsid w:val="1BDE1760"/>
    <w:rsid w:val="1BF1026B"/>
    <w:rsid w:val="1BF12414"/>
    <w:rsid w:val="1C2551E1"/>
    <w:rsid w:val="1C4B349A"/>
    <w:rsid w:val="1C5E38E2"/>
    <w:rsid w:val="1C656F34"/>
    <w:rsid w:val="1C946602"/>
    <w:rsid w:val="1C962D68"/>
    <w:rsid w:val="1CA232AC"/>
    <w:rsid w:val="1CC10E62"/>
    <w:rsid w:val="1CCA7376"/>
    <w:rsid w:val="1CDA731B"/>
    <w:rsid w:val="1D074EC5"/>
    <w:rsid w:val="1D0B7287"/>
    <w:rsid w:val="1D0E5817"/>
    <w:rsid w:val="1D153E51"/>
    <w:rsid w:val="1D2826AC"/>
    <w:rsid w:val="1D481A9F"/>
    <w:rsid w:val="1D6F39A9"/>
    <w:rsid w:val="1DA03128"/>
    <w:rsid w:val="1DA05131"/>
    <w:rsid w:val="1DB25B96"/>
    <w:rsid w:val="1DC52A30"/>
    <w:rsid w:val="1DC65517"/>
    <w:rsid w:val="1DD66520"/>
    <w:rsid w:val="1DE11A27"/>
    <w:rsid w:val="1DE870A5"/>
    <w:rsid w:val="1DED5C0B"/>
    <w:rsid w:val="1E16127D"/>
    <w:rsid w:val="1E2A33E0"/>
    <w:rsid w:val="1E465BA2"/>
    <w:rsid w:val="1E5E47E0"/>
    <w:rsid w:val="1E65548D"/>
    <w:rsid w:val="1E6A5CCC"/>
    <w:rsid w:val="1E815AFF"/>
    <w:rsid w:val="1E84689A"/>
    <w:rsid w:val="1E9F3A7D"/>
    <w:rsid w:val="1EFE292E"/>
    <w:rsid w:val="1F004046"/>
    <w:rsid w:val="1F0F5251"/>
    <w:rsid w:val="1F1555E0"/>
    <w:rsid w:val="1F2E7427"/>
    <w:rsid w:val="1F5472F6"/>
    <w:rsid w:val="1F5662B7"/>
    <w:rsid w:val="1F663A3C"/>
    <w:rsid w:val="1F6E7EA0"/>
    <w:rsid w:val="1F805BBC"/>
    <w:rsid w:val="1FA83428"/>
    <w:rsid w:val="1FA91EA6"/>
    <w:rsid w:val="1FE73C5F"/>
    <w:rsid w:val="1FF877BF"/>
    <w:rsid w:val="201803F2"/>
    <w:rsid w:val="202915A2"/>
    <w:rsid w:val="2038536A"/>
    <w:rsid w:val="204539A1"/>
    <w:rsid w:val="205D2600"/>
    <w:rsid w:val="206E486C"/>
    <w:rsid w:val="207019F5"/>
    <w:rsid w:val="20806241"/>
    <w:rsid w:val="208D6C00"/>
    <w:rsid w:val="20B030F9"/>
    <w:rsid w:val="20DD7A52"/>
    <w:rsid w:val="20EC75B1"/>
    <w:rsid w:val="21087874"/>
    <w:rsid w:val="21346507"/>
    <w:rsid w:val="213C7062"/>
    <w:rsid w:val="21435719"/>
    <w:rsid w:val="21457AA6"/>
    <w:rsid w:val="2184057F"/>
    <w:rsid w:val="219C4AB4"/>
    <w:rsid w:val="21B76AE0"/>
    <w:rsid w:val="21C24E53"/>
    <w:rsid w:val="21F63830"/>
    <w:rsid w:val="221A760B"/>
    <w:rsid w:val="223C008F"/>
    <w:rsid w:val="22472B4C"/>
    <w:rsid w:val="225260EF"/>
    <w:rsid w:val="2253597B"/>
    <w:rsid w:val="225D2B4B"/>
    <w:rsid w:val="22643497"/>
    <w:rsid w:val="22794F14"/>
    <w:rsid w:val="227F77DE"/>
    <w:rsid w:val="227F7B13"/>
    <w:rsid w:val="229442B5"/>
    <w:rsid w:val="22C67959"/>
    <w:rsid w:val="22E406C3"/>
    <w:rsid w:val="22E87C23"/>
    <w:rsid w:val="22FB0688"/>
    <w:rsid w:val="230828C0"/>
    <w:rsid w:val="231C0C23"/>
    <w:rsid w:val="232063A6"/>
    <w:rsid w:val="23635693"/>
    <w:rsid w:val="239F4B3B"/>
    <w:rsid w:val="23B76FD3"/>
    <w:rsid w:val="23B97AB4"/>
    <w:rsid w:val="23C44AC9"/>
    <w:rsid w:val="23ED7ADD"/>
    <w:rsid w:val="23F761C6"/>
    <w:rsid w:val="23FA536A"/>
    <w:rsid w:val="240C6AFA"/>
    <w:rsid w:val="2448342E"/>
    <w:rsid w:val="244B7F91"/>
    <w:rsid w:val="245C48D7"/>
    <w:rsid w:val="246E108F"/>
    <w:rsid w:val="2487230D"/>
    <w:rsid w:val="248A20F3"/>
    <w:rsid w:val="24A249FE"/>
    <w:rsid w:val="24BB2ACC"/>
    <w:rsid w:val="24DE204A"/>
    <w:rsid w:val="24E3226F"/>
    <w:rsid w:val="24F37B94"/>
    <w:rsid w:val="25066EF6"/>
    <w:rsid w:val="2518296A"/>
    <w:rsid w:val="253F4C3B"/>
    <w:rsid w:val="25AE54D9"/>
    <w:rsid w:val="25B174DB"/>
    <w:rsid w:val="25B52531"/>
    <w:rsid w:val="25BA112C"/>
    <w:rsid w:val="25CE2471"/>
    <w:rsid w:val="25D16B1F"/>
    <w:rsid w:val="25D976AC"/>
    <w:rsid w:val="26066D6F"/>
    <w:rsid w:val="26235A5B"/>
    <w:rsid w:val="26276106"/>
    <w:rsid w:val="262E24B2"/>
    <w:rsid w:val="268B284C"/>
    <w:rsid w:val="26935619"/>
    <w:rsid w:val="26A26BEE"/>
    <w:rsid w:val="26C7367F"/>
    <w:rsid w:val="26CC34C5"/>
    <w:rsid w:val="26CD70F0"/>
    <w:rsid w:val="26E97493"/>
    <w:rsid w:val="26FE1742"/>
    <w:rsid w:val="26FF1B22"/>
    <w:rsid w:val="2701248A"/>
    <w:rsid w:val="27015D0E"/>
    <w:rsid w:val="272B4880"/>
    <w:rsid w:val="2745366C"/>
    <w:rsid w:val="274F6261"/>
    <w:rsid w:val="277A093D"/>
    <w:rsid w:val="27800637"/>
    <w:rsid w:val="278241BD"/>
    <w:rsid w:val="27877964"/>
    <w:rsid w:val="27971706"/>
    <w:rsid w:val="279767AD"/>
    <w:rsid w:val="27B365ED"/>
    <w:rsid w:val="27D05667"/>
    <w:rsid w:val="27DA4D31"/>
    <w:rsid w:val="280755BB"/>
    <w:rsid w:val="284C2668"/>
    <w:rsid w:val="286012E2"/>
    <w:rsid w:val="286D29E1"/>
    <w:rsid w:val="288714FD"/>
    <w:rsid w:val="28902E8A"/>
    <w:rsid w:val="28C90B09"/>
    <w:rsid w:val="28CC3AA7"/>
    <w:rsid w:val="28CF34CF"/>
    <w:rsid w:val="28E656E0"/>
    <w:rsid w:val="28EA436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B6290"/>
    <w:rsid w:val="2A2E1289"/>
    <w:rsid w:val="2A5607F7"/>
    <w:rsid w:val="2A8229CD"/>
    <w:rsid w:val="2A8453B1"/>
    <w:rsid w:val="2A863051"/>
    <w:rsid w:val="2A9920D3"/>
    <w:rsid w:val="2AA56CCB"/>
    <w:rsid w:val="2AC6139B"/>
    <w:rsid w:val="2ADD5BBA"/>
    <w:rsid w:val="2AE107FF"/>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63268"/>
    <w:rsid w:val="2C457AB2"/>
    <w:rsid w:val="2C5174E0"/>
    <w:rsid w:val="2C5618F8"/>
    <w:rsid w:val="2C5F33AB"/>
    <w:rsid w:val="2C6A365C"/>
    <w:rsid w:val="2C877A43"/>
    <w:rsid w:val="2C8F59B2"/>
    <w:rsid w:val="2CA86A04"/>
    <w:rsid w:val="2CE22AB5"/>
    <w:rsid w:val="2CFA0193"/>
    <w:rsid w:val="2D050326"/>
    <w:rsid w:val="2D0C3A26"/>
    <w:rsid w:val="2D2E767E"/>
    <w:rsid w:val="2D320D1B"/>
    <w:rsid w:val="2D347FF2"/>
    <w:rsid w:val="2D4D44F0"/>
    <w:rsid w:val="2D5E00FB"/>
    <w:rsid w:val="2D845825"/>
    <w:rsid w:val="2D9A7120"/>
    <w:rsid w:val="2DC50F24"/>
    <w:rsid w:val="2DE435D2"/>
    <w:rsid w:val="2DF36570"/>
    <w:rsid w:val="2E0532BC"/>
    <w:rsid w:val="2E1B5298"/>
    <w:rsid w:val="2E235B1A"/>
    <w:rsid w:val="2E2D4D5E"/>
    <w:rsid w:val="2E3512B9"/>
    <w:rsid w:val="2E3A7CE1"/>
    <w:rsid w:val="2E5E27D5"/>
    <w:rsid w:val="2E8C2848"/>
    <w:rsid w:val="2ECC4C86"/>
    <w:rsid w:val="2ECF2A5B"/>
    <w:rsid w:val="2F042ADB"/>
    <w:rsid w:val="2F185165"/>
    <w:rsid w:val="2F1D6D65"/>
    <w:rsid w:val="2F2D4173"/>
    <w:rsid w:val="2F2E5DF2"/>
    <w:rsid w:val="2F323DD8"/>
    <w:rsid w:val="2F3C308F"/>
    <w:rsid w:val="2F3D0D32"/>
    <w:rsid w:val="2F4879FF"/>
    <w:rsid w:val="2F643906"/>
    <w:rsid w:val="2F795989"/>
    <w:rsid w:val="2F8278DB"/>
    <w:rsid w:val="2F9C7A54"/>
    <w:rsid w:val="2F9D6043"/>
    <w:rsid w:val="2FB706E1"/>
    <w:rsid w:val="2FC04163"/>
    <w:rsid w:val="2FCC3FBC"/>
    <w:rsid w:val="2FD71C09"/>
    <w:rsid w:val="2FE13372"/>
    <w:rsid w:val="3006129D"/>
    <w:rsid w:val="303965FE"/>
    <w:rsid w:val="30494AE2"/>
    <w:rsid w:val="309E160B"/>
    <w:rsid w:val="30B5333E"/>
    <w:rsid w:val="30DC639E"/>
    <w:rsid w:val="30E52D9A"/>
    <w:rsid w:val="30F90549"/>
    <w:rsid w:val="313C614E"/>
    <w:rsid w:val="314A76B4"/>
    <w:rsid w:val="31505DAD"/>
    <w:rsid w:val="31532F2D"/>
    <w:rsid w:val="31624461"/>
    <w:rsid w:val="31796188"/>
    <w:rsid w:val="318320A8"/>
    <w:rsid w:val="31A40879"/>
    <w:rsid w:val="31AB7AB8"/>
    <w:rsid w:val="31C1309B"/>
    <w:rsid w:val="31CD7106"/>
    <w:rsid w:val="31F57EDC"/>
    <w:rsid w:val="320C1BA8"/>
    <w:rsid w:val="323E6AE2"/>
    <w:rsid w:val="32821075"/>
    <w:rsid w:val="329676E9"/>
    <w:rsid w:val="32AA5A6C"/>
    <w:rsid w:val="32B56792"/>
    <w:rsid w:val="32BC30EA"/>
    <w:rsid w:val="32C51192"/>
    <w:rsid w:val="32CD43F3"/>
    <w:rsid w:val="32DF51E8"/>
    <w:rsid w:val="32ED4A76"/>
    <w:rsid w:val="32EE7C35"/>
    <w:rsid w:val="330E11CE"/>
    <w:rsid w:val="332848FF"/>
    <w:rsid w:val="334932BF"/>
    <w:rsid w:val="33676293"/>
    <w:rsid w:val="339E01F6"/>
    <w:rsid w:val="339F1778"/>
    <w:rsid w:val="33B33591"/>
    <w:rsid w:val="33C40DAF"/>
    <w:rsid w:val="33CB50F6"/>
    <w:rsid w:val="33EA5773"/>
    <w:rsid w:val="34156596"/>
    <w:rsid w:val="341579FF"/>
    <w:rsid w:val="34261ABC"/>
    <w:rsid w:val="34356D52"/>
    <w:rsid w:val="343B1E3D"/>
    <w:rsid w:val="34601EF9"/>
    <w:rsid w:val="347B2C27"/>
    <w:rsid w:val="3480762C"/>
    <w:rsid w:val="34A1323D"/>
    <w:rsid w:val="34B563E2"/>
    <w:rsid w:val="34BA47F2"/>
    <w:rsid w:val="34C71782"/>
    <w:rsid w:val="34CA2810"/>
    <w:rsid w:val="34CB7EBB"/>
    <w:rsid w:val="34F73875"/>
    <w:rsid w:val="35033E04"/>
    <w:rsid w:val="350A1874"/>
    <w:rsid w:val="350A2FE5"/>
    <w:rsid w:val="350C4714"/>
    <w:rsid w:val="35170314"/>
    <w:rsid w:val="351A087B"/>
    <w:rsid w:val="35270B41"/>
    <w:rsid w:val="35274AF8"/>
    <w:rsid w:val="353323D5"/>
    <w:rsid w:val="35552B7F"/>
    <w:rsid w:val="357915CD"/>
    <w:rsid w:val="35925C72"/>
    <w:rsid w:val="35973F2D"/>
    <w:rsid w:val="35C26DEE"/>
    <w:rsid w:val="360F267E"/>
    <w:rsid w:val="3617681A"/>
    <w:rsid w:val="365A50BB"/>
    <w:rsid w:val="366A7A1A"/>
    <w:rsid w:val="366E68DA"/>
    <w:rsid w:val="36881F0D"/>
    <w:rsid w:val="36C41867"/>
    <w:rsid w:val="36CB7728"/>
    <w:rsid w:val="36CC24F7"/>
    <w:rsid w:val="36DC1879"/>
    <w:rsid w:val="36F87756"/>
    <w:rsid w:val="370E4C3C"/>
    <w:rsid w:val="372D5DB7"/>
    <w:rsid w:val="373C3CC0"/>
    <w:rsid w:val="375436D4"/>
    <w:rsid w:val="37545502"/>
    <w:rsid w:val="37855348"/>
    <w:rsid w:val="378927E1"/>
    <w:rsid w:val="37953F72"/>
    <w:rsid w:val="37961987"/>
    <w:rsid w:val="37D4606B"/>
    <w:rsid w:val="37FA4F3B"/>
    <w:rsid w:val="3815337F"/>
    <w:rsid w:val="381F5E35"/>
    <w:rsid w:val="383813C8"/>
    <w:rsid w:val="38462C64"/>
    <w:rsid w:val="385244BD"/>
    <w:rsid w:val="38623892"/>
    <w:rsid w:val="38650C3E"/>
    <w:rsid w:val="388809BB"/>
    <w:rsid w:val="388A07DC"/>
    <w:rsid w:val="38B5367F"/>
    <w:rsid w:val="38C1223C"/>
    <w:rsid w:val="38C34D80"/>
    <w:rsid w:val="38D23B1E"/>
    <w:rsid w:val="38DF4349"/>
    <w:rsid w:val="38E431AE"/>
    <w:rsid w:val="38E96309"/>
    <w:rsid w:val="38F57B5C"/>
    <w:rsid w:val="38FD2469"/>
    <w:rsid w:val="39173D9A"/>
    <w:rsid w:val="391908C8"/>
    <w:rsid w:val="39334744"/>
    <w:rsid w:val="393F256E"/>
    <w:rsid w:val="3948026B"/>
    <w:rsid w:val="39547D18"/>
    <w:rsid w:val="3956604D"/>
    <w:rsid w:val="39641092"/>
    <w:rsid w:val="397D2788"/>
    <w:rsid w:val="39A1679C"/>
    <w:rsid w:val="39F12A70"/>
    <w:rsid w:val="39FE5625"/>
    <w:rsid w:val="3A132F16"/>
    <w:rsid w:val="3A1B3237"/>
    <w:rsid w:val="3A473471"/>
    <w:rsid w:val="3A852CE4"/>
    <w:rsid w:val="3A8F4331"/>
    <w:rsid w:val="3A93517E"/>
    <w:rsid w:val="3AA20C1F"/>
    <w:rsid w:val="3AEF12C8"/>
    <w:rsid w:val="3B2D2BEE"/>
    <w:rsid w:val="3B42434C"/>
    <w:rsid w:val="3B474F3F"/>
    <w:rsid w:val="3B8E4A09"/>
    <w:rsid w:val="3BA24AAB"/>
    <w:rsid w:val="3BAC6896"/>
    <w:rsid w:val="3BCA17D2"/>
    <w:rsid w:val="3BD07133"/>
    <w:rsid w:val="3BDE0482"/>
    <w:rsid w:val="3BE55A8F"/>
    <w:rsid w:val="3BF44C1A"/>
    <w:rsid w:val="3C030505"/>
    <w:rsid w:val="3C0556F7"/>
    <w:rsid w:val="3C0B4BF1"/>
    <w:rsid w:val="3C0F07BF"/>
    <w:rsid w:val="3C197648"/>
    <w:rsid w:val="3C1D2C62"/>
    <w:rsid w:val="3C34574B"/>
    <w:rsid w:val="3C3B492E"/>
    <w:rsid w:val="3C5A2D1C"/>
    <w:rsid w:val="3C7941AB"/>
    <w:rsid w:val="3C845F7F"/>
    <w:rsid w:val="3CAD36F9"/>
    <w:rsid w:val="3CAE366A"/>
    <w:rsid w:val="3CB37024"/>
    <w:rsid w:val="3CE47750"/>
    <w:rsid w:val="3CF159F1"/>
    <w:rsid w:val="3D057F7D"/>
    <w:rsid w:val="3D0976C4"/>
    <w:rsid w:val="3D4752E9"/>
    <w:rsid w:val="3D7E34D1"/>
    <w:rsid w:val="3D86314C"/>
    <w:rsid w:val="3D8C258A"/>
    <w:rsid w:val="3DA7157D"/>
    <w:rsid w:val="3DB10F40"/>
    <w:rsid w:val="3DC75D75"/>
    <w:rsid w:val="3DC90B35"/>
    <w:rsid w:val="3DDB534F"/>
    <w:rsid w:val="3DEC3000"/>
    <w:rsid w:val="3DED1264"/>
    <w:rsid w:val="3DEE70ED"/>
    <w:rsid w:val="3E0347A6"/>
    <w:rsid w:val="3E301932"/>
    <w:rsid w:val="3E37139E"/>
    <w:rsid w:val="3E386E20"/>
    <w:rsid w:val="3E3E18DD"/>
    <w:rsid w:val="3E403714"/>
    <w:rsid w:val="3E5C5F16"/>
    <w:rsid w:val="3E7811DF"/>
    <w:rsid w:val="3E7E6A1E"/>
    <w:rsid w:val="3EA67528"/>
    <w:rsid w:val="3EBC691E"/>
    <w:rsid w:val="3EC81074"/>
    <w:rsid w:val="3ECE2706"/>
    <w:rsid w:val="3EF21A56"/>
    <w:rsid w:val="3F087EB3"/>
    <w:rsid w:val="3F3527DB"/>
    <w:rsid w:val="3F610CAF"/>
    <w:rsid w:val="3F8218BD"/>
    <w:rsid w:val="3F92191C"/>
    <w:rsid w:val="3FBA3CFE"/>
    <w:rsid w:val="3FCD2F32"/>
    <w:rsid w:val="40130954"/>
    <w:rsid w:val="402F14D9"/>
    <w:rsid w:val="4042437C"/>
    <w:rsid w:val="40437225"/>
    <w:rsid w:val="40641201"/>
    <w:rsid w:val="40666255"/>
    <w:rsid w:val="40852B71"/>
    <w:rsid w:val="40A4504A"/>
    <w:rsid w:val="40A56A55"/>
    <w:rsid w:val="40D04F96"/>
    <w:rsid w:val="40D25774"/>
    <w:rsid w:val="40F71D68"/>
    <w:rsid w:val="41232AC2"/>
    <w:rsid w:val="412F650A"/>
    <w:rsid w:val="4154383A"/>
    <w:rsid w:val="415826D8"/>
    <w:rsid w:val="416A77B2"/>
    <w:rsid w:val="417B2704"/>
    <w:rsid w:val="417F28BC"/>
    <w:rsid w:val="41BD4938"/>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297F3D"/>
    <w:rsid w:val="434C069A"/>
    <w:rsid w:val="43707565"/>
    <w:rsid w:val="43814E59"/>
    <w:rsid w:val="439C6460"/>
    <w:rsid w:val="43BB070A"/>
    <w:rsid w:val="43BF2F1D"/>
    <w:rsid w:val="43CC24F9"/>
    <w:rsid w:val="43D60296"/>
    <w:rsid w:val="43DA723D"/>
    <w:rsid w:val="43EA6CA9"/>
    <w:rsid w:val="43FB05F8"/>
    <w:rsid w:val="4412373D"/>
    <w:rsid w:val="441C40BA"/>
    <w:rsid w:val="44846EF4"/>
    <w:rsid w:val="448B20BD"/>
    <w:rsid w:val="449667D9"/>
    <w:rsid w:val="44D00889"/>
    <w:rsid w:val="44DB3186"/>
    <w:rsid w:val="44F11AA7"/>
    <w:rsid w:val="453146CD"/>
    <w:rsid w:val="45325C3F"/>
    <w:rsid w:val="45535650"/>
    <w:rsid w:val="455A36D4"/>
    <w:rsid w:val="45642733"/>
    <w:rsid w:val="456854C1"/>
    <w:rsid w:val="456D1461"/>
    <w:rsid w:val="45851C29"/>
    <w:rsid w:val="45880124"/>
    <w:rsid w:val="45A55EC8"/>
    <w:rsid w:val="45FB5915"/>
    <w:rsid w:val="462875A5"/>
    <w:rsid w:val="462E6C0B"/>
    <w:rsid w:val="468E2831"/>
    <w:rsid w:val="46A401F3"/>
    <w:rsid w:val="46EB2744"/>
    <w:rsid w:val="470044F7"/>
    <w:rsid w:val="47074A07"/>
    <w:rsid w:val="47077F50"/>
    <w:rsid w:val="4750237F"/>
    <w:rsid w:val="475A0EB2"/>
    <w:rsid w:val="475B3E56"/>
    <w:rsid w:val="475E4BEA"/>
    <w:rsid w:val="47766E62"/>
    <w:rsid w:val="479E21BE"/>
    <w:rsid w:val="47A32293"/>
    <w:rsid w:val="47AB5258"/>
    <w:rsid w:val="47CB5980"/>
    <w:rsid w:val="47CF0462"/>
    <w:rsid w:val="47E7569B"/>
    <w:rsid w:val="47F14B7F"/>
    <w:rsid w:val="48145B11"/>
    <w:rsid w:val="48541AB4"/>
    <w:rsid w:val="488739F0"/>
    <w:rsid w:val="489D3FD7"/>
    <w:rsid w:val="48AF30F8"/>
    <w:rsid w:val="48B35E3A"/>
    <w:rsid w:val="48BA78DE"/>
    <w:rsid w:val="48C14D62"/>
    <w:rsid w:val="48C2276C"/>
    <w:rsid w:val="48CA70FD"/>
    <w:rsid w:val="48CB5058"/>
    <w:rsid w:val="48CC2435"/>
    <w:rsid w:val="490D4C4F"/>
    <w:rsid w:val="49134474"/>
    <w:rsid w:val="494065BB"/>
    <w:rsid w:val="494824A6"/>
    <w:rsid w:val="496F6854"/>
    <w:rsid w:val="499814CB"/>
    <w:rsid w:val="499C42E2"/>
    <w:rsid w:val="49C11DC8"/>
    <w:rsid w:val="49FA026B"/>
    <w:rsid w:val="49FA3470"/>
    <w:rsid w:val="4A3F23A4"/>
    <w:rsid w:val="4A596B7C"/>
    <w:rsid w:val="4A5E3A23"/>
    <w:rsid w:val="4A7E5677"/>
    <w:rsid w:val="4A8C19A6"/>
    <w:rsid w:val="4A92373A"/>
    <w:rsid w:val="4A9471BB"/>
    <w:rsid w:val="4AA043AA"/>
    <w:rsid w:val="4ABA51D3"/>
    <w:rsid w:val="4ABD1A49"/>
    <w:rsid w:val="4AD01B33"/>
    <w:rsid w:val="4AD16E3D"/>
    <w:rsid w:val="4AF931B1"/>
    <w:rsid w:val="4AFC3933"/>
    <w:rsid w:val="4B17556D"/>
    <w:rsid w:val="4B2A579B"/>
    <w:rsid w:val="4B46248B"/>
    <w:rsid w:val="4B804DBA"/>
    <w:rsid w:val="4B8D6483"/>
    <w:rsid w:val="4B994F91"/>
    <w:rsid w:val="4BBD33CE"/>
    <w:rsid w:val="4BC75233"/>
    <w:rsid w:val="4BD77678"/>
    <w:rsid w:val="4C5B7BDE"/>
    <w:rsid w:val="4C6355B0"/>
    <w:rsid w:val="4CAA6DEC"/>
    <w:rsid w:val="4CBB5870"/>
    <w:rsid w:val="4CC24C50"/>
    <w:rsid w:val="4CCE0DB7"/>
    <w:rsid w:val="4D0E12D1"/>
    <w:rsid w:val="4D291727"/>
    <w:rsid w:val="4D2A6786"/>
    <w:rsid w:val="4D365321"/>
    <w:rsid w:val="4D3913B2"/>
    <w:rsid w:val="4D681C3A"/>
    <w:rsid w:val="4D6E540A"/>
    <w:rsid w:val="4D976B7C"/>
    <w:rsid w:val="4DA27A1C"/>
    <w:rsid w:val="4DAA76F7"/>
    <w:rsid w:val="4DBE1C1A"/>
    <w:rsid w:val="4DDA2D1F"/>
    <w:rsid w:val="4DDD7078"/>
    <w:rsid w:val="4DE652ED"/>
    <w:rsid w:val="4DEF06D0"/>
    <w:rsid w:val="4DFF0486"/>
    <w:rsid w:val="4DFF3300"/>
    <w:rsid w:val="4E0C0B2F"/>
    <w:rsid w:val="4E1405C7"/>
    <w:rsid w:val="4E174533"/>
    <w:rsid w:val="4E1D0257"/>
    <w:rsid w:val="4EA53DCB"/>
    <w:rsid w:val="4EC877D1"/>
    <w:rsid w:val="4ED72506"/>
    <w:rsid w:val="4EF16D24"/>
    <w:rsid w:val="4F203DE0"/>
    <w:rsid w:val="4F72431F"/>
    <w:rsid w:val="4FA90FFB"/>
    <w:rsid w:val="4FBE780A"/>
    <w:rsid w:val="4FF442B8"/>
    <w:rsid w:val="4FF74036"/>
    <w:rsid w:val="50111272"/>
    <w:rsid w:val="50155B19"/>
    <w:rsid w:val="5023371B"/>
    <w:rsid w:val="503A7D50"/>
    <w:rsid w:val="505173DF"/>
    <w:rsid w:val="50573EE0"/>
    <w:rsid w:val="50687EE1"/>
    <w:rsid w:val="507D4863"/>
    <w:rsid w:val="50825ABD"/>
    <w:rsid w:val="50847E24"/>
    <w:rsid w:val="508B2042"/>
    <w:rsid w:val="5099044C"/>
    <w:rsid w:val="50A117D4"/>
    <w:rsid w:val="50DC48AF"/>
    <w:rsid w:val="50F1625A"/>
    <w:rsid w:val="5124215A"/>
    <w:rsid w:val="512A721C"/>
    <w:rsid w:val="51320B4E"/>
    <w:rsid w:val="513F47ED"/>
    <w:rsid w:val="51564B62"/>
    <w:rsid w:val="517806BF"/>
    <w:rsid w:val="51861412"/>
    <w:rsid w:val="51884FB5"/>
    <w:rsid w:val="519B7926"/>
    <w:rsid w:val="51B15013"/>
    <w:rsid w:val="51E62428"/>
    <w:rsid w:val="51EC5B49"/>
    <w:rsid w:val="51F04FD8"/>
    <w:rsid w:val="52177C0F"/>
    <w:rsid w:val="5222697F"/>
    <w:rsid w:val="5253705D"/>
    <w:rsid w:val="52641C31"/>
    <w:rsid w:val="527375B5"/>
    <w:rsid w:val="52BD5372"/>
    <w:rsid w:val="52C066E1"/>
    <w:rsid w:val="52D93B7C"/>
    <w:rsid w:val="52DC028C"/>
    <w:rsid w:val="52E0721B"/>
    <w:rsid w:val="52E51C8D"/>
    <w:rsid w:val="52E7467F"/>
    <w:rsid w:val="52F5153E"/>
    <w:rsid w:val="530379C0"/>
    <w:rsid w:val="5318224A"/>
    <w:rsid w:val="53211D72"/>
    <w:rsid w:val="53254D94"/>
    <w:rsid w:val="5334399F"/>
    <w:rsid w:val="533A3138"/>
    <w:rsid w:val="53436D6F"/>
    <w:rsid w:val="537D1372"/>
    <w:rsid w:val="538A397E"/>
    <w:rsid w:val="53AB4EBB"/>
    <w:rsid w:val="53BB45BD"/>
    <w:rsid w:val="53D8574B"/>
    <w:rsid w:val="53D9798A"/>
    <w:rsid w:val="53E93774"/>
    <w:rsid w:val="53FE4378"/>
    <w:rsid w:val="53FF22C9"/>
    <w:rsid w:val="541146DE"/>
    <w:rsid w:val="54124691"/>
    <w:rsid w:val="54227209"/>
    <w:rsid w:val="542F6611"/>
    <w:rsid w:val="5443778A"/>
    <w:rsid w:val="544E4D2A"/>
    <w:rsid w:val="54747F77"/>
    <w:rsid w:val="54A52B04"/>
    <w:rsid w:val="54B86D99"/>
    <w:rsid w:val="54BD3E01"/>
    <w:rsid w:val="54CC5FEC"/>
    <w:rsid w:val="54E61D47"/>
    <w:rsid w:val="55061C05"/>
    <w:rsid w:val="550D4C7E"/>
    <w:rsid w:val="5534034E"/>
    <w:rsid w:val="55361973"/>
    <w:rsid w:val="55826059"/>
    <w:rsid w:val="559C4EB4"/>
    <w:rsid w:val="55B577AC"/>
    <w:rsid w:val="55B840E3"/>
    <w:rsid w:val="55DB4169"/>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38023E"/>
    <w:rsid w:val="573B17CB"/>
    <w:rsid w:val="573D4E87"/>
    <w:rsid w:val="577A4C43"/>
    <w:rsid w:val="5781514F"/>
    <w:rsid w:val="578D15B1"/>
    <w:rsid w:val="57A25E51"/>
    <w:rsid w:val="57A80A97"/>
    <w:rsid w:val="57AB290B"/>
    <w:rsid w:val="57C16AE7"/>
    <w:rsid w:val="57E45843"/>
    <w:rsid w:val="57F22874"/>
    <w:rsid w:val="57F77A99"/>
    <w:rsid w:val="58036FF1"/>
    <w:rsid w:val="580E26D8"/>
    <w:rsid w:val="581F31B7"/>
    <w:rsid w:val="58367EC4"/>
    <w:rsid w:val="5847048E"/>
    <w:rsid w:val="58565193"/>
    <w:rsid w:val="585B2F03"/>
    <w:rsid w:val="58803767"/>
    <w:rsid w:val="58807951"/>
    <w:rsid w:val="58C53BF9"/>
    <w:rsid w:val="58DF4006"/>
    <w:rsid w:val="591724CF"/>
    <w:rsid w:val="591D14AE"/>
    <w:rsid w:val="591F64C4"/>
    <w:rsid w:val="59272B65"/>
    <w:rsid w:val="59284BD5"/>
    <w:rsid w:val="59324F49"/>
    <w:rsid w:val="593928F1"/>
    <w:rsid w:val="596E2614"/>
    <w:rsid w:val="59847F15"/>
    <w:rsid w:val="5987225B"/>
    <w:rsid w:val="59890768"/>
    <w:rsid w:val="59AE5E4D"/>
    <w:rsid w:val="59B30F36"/>
    <w:rsid w:val="59E35308"/>
    <w:rsid w:val="5A151319"/>
    <w:rsid w:val="5A567EF5"/>
    <w:rsid w:val="5A5A17E2"/>
    <w:rsid w:val="5A7E4921"/>
    <w:rsid w:val="5A8A3DB1"/>
    <w:rsid w:val="5A972372"/>
    <w:rsid w:val="5AA9184E"/>
    <w:rsid w:val="5AC72C61"/>
    <w:rsid w:val="5AD433FA"/>
    <w:rsid w:val="5AD9352C"/>
    <w:rsid w:val="5ADC5520"/>
    <w:rsid w:val="5AE31628"/>
    <w:rsid w:val="5AE80B9C"/>
    <w:rsid w:val="5AF77E33"/>
    <w:rsid w:val="5B0C3AF9"/>
    <w:rsid w:val="5B1B7F7F"/>
    <w:rsid w:val="5B3033C9"/>
    <w:rsid w:val="5B747B40"/>
    <w:rsid w:val="5B9135E6"/>
    <w:rsid w:val="5B976158"/>
    <w:rsid w:val="5BA3302A"/>
    <w:rsid w:val="5BC85BF2"/>
    <w:rsid w:val="5BD15CD7"/>
    <w:rsid w:val="5BD62506"/>
    <w:rsid w:val="5BE272F4"/>
    <w:rsid w:val="5C066391"/>
    <w:rsid w:val="5C281CBF"/>
    <w:rsid w:val="5C375F97"/>
    <w:rsid w:val="5C3F2313"/>
    <w:rsid w:val="5C7F704A"/>
    <w:rsid w:val="5C992DE7"/>
    <w:rsid w:val="5CD003EE"/>
    <w:rsid w:val="5CD502ED"/>
    <w:rsid w:val="5CDB0255"/>
    <w:rsid w:val="5CDD2DC0"/>
    <w:rsid w:val="5CED0783"/>
    <w:rsid w:val="5CF750B0"/>
    <w:rsid w:val="5D0040C4"/>
    <w:rsid w:val="5D1B5705"/>
    <w:rsid w:val="5D3868D0"/>
    <w:rsid w:val="5D3D5F84"/>
    <w:rsid w:val="5D3E03A7"/>
    <w:rsid w:val="5D464C29"/>
    <w:rsid w:val="5D5C0714"/>
    <w:rsid w:val="5D72396D"/>
    <w:rsid w:val="5D771884"/>
    <w:rsid w:val="5D82078A"/>
    <w:rsid w:val="5D9406D1"/>
    <w:rsid w:val="5D96394F"/>
    <w:rsid w:val="5DC221B6"/>
    <w:rsid w:val="5DCC1CA1"/>
    <w:rsid w:val="5DF6043F"/>
    <w:rsid w:val="5DFE13F7"/>
    <w:rsid w:val="5E0A56D8"/>
    <w:rsid w:val="5E1E33A9"/>
    <w:rsid w:val="5E230800"/>
    <w:rsid w:val="5E271CE1"/>
    <w:rsid w:val="5E3B3CA9"/>
    <w:rsid w:val="5E3F7DAD"/>
    <w:rsid w:val="5E453DDA"/>
    <w:rsid w:val="5E53162C"/>
    <w:rsid w:val="5E8377B9"/>
    <w:rsid w:val="5E9C1ACB"/>
    <w:rsid w:val="5EC56BF4"/>
    <w:rsid w:val="5EC93112"/>
    <w:rsid w:val="5ECA75B8"/>
    <w:rsid w:val="5F103D27"/>
    <w:rsid w:val="5F88394B"/>
    <w:rsid w:val="5F8A6E4E"/>
    <w:rsid w:val="5F924DC1"/>
    <w:rsid w:val="5FA227CC"/>
    <w:rsid w:val="5FB95257"/>
    <w:rsid w:val="5FC664C8"/>
    <w:rsid w:val="5FC93F13"/>
    <w:rsid w:val="5FD93159"/>
    <w:rsid w:val="5FE837F5"/>
    <w:rsid w:val="5FF6617D"/>
    <w:rsid w:val="5FFE2592"/>
    <w:rsid w:val="603F0023"/>
    <w:rsid w:val="604134CD"/>
    <w:rsid w:val="604C0C43"/>
    <w:rsid w:val="605D42EA"/>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32623AE"/>
    <w:rsid w:val="6334467B"/>
    <w:rsid w:val="634B6A33"/>
    <w:rsid w:val="63537050"/>
    <w:rsid w:val="6366073D"/>
    <w:rsid w:val="637451BA"/>
    <w:rsid w:val="63856835"/>
    <w:rsid w:val="638C7095"/>
    <w:rsid w:val="63B1118B"/>
    <w:rsid w:val="64481CC9"/>
    <w:rsid w:val="64530775"/>
    <w:rsid w:val="645A63E0"/>
    <w:rsid w:val="648264B3"/>
    <w:rsid w:val="649C0C41"/>
    <w:rsid w:val="64B74F47"/>
    <w:rsid w:val="64BB1397"/>
    <w:rsid w:val="64CA33E1"/>
    <w:rsid w:val="64D360F3"/>
    <w:rsid w:val="64EB5CA0"/>
    <w:rsid w:val="64F91C54"/>
    <w:rsid w:val="65031CD1"/>
    <w:rsid w:val="650352E9"/>
    <w:rsid w:val="65053E1E"/>
    <w:rsid w:val="65054FBD"/>
    <w:rsid w:val="650B73ED"/>
    <w:rsid w:val="65420171"/>
    <w:rsid w:val="65526949"/>
    <w:rsid w:val="6569517A"/>
    <w:rsid w:val="657C30CF"/>
    <w:rsid w:val="658931EB"/>
    <w:rsid w:val="65BD50D4"/>
    <w:rsid w:val="65D373B2"/>
    <w:rsid w:val="65D5075D"/>
    <w:rsid w:val="65DD5452"/>
    <w:rsid w:val="65FC49E9"/>
    <w:rsid w:val="661B69F5"/>
    <w:rsid w:val="66240CDA"/>
    <w:rsid w:val="662A0A38"/>
    <w:rsid w:val="66486107"/>
    <w:rsid w:val="66494234"/>
    <w:rsid w:val="665011DF"/>
    <w:rsid w:val="666E2F01"/>
    <w:rsid w:val="668318A7"/>
    <w:rsid w:val="6684029B"/>
    <w:rsid w:val="668C16E3"/>
    <w:rsid w:val="669A7F65"/>
    <w:rsid w:val="66A35A24"/>
    <w:rsid w:val="66A65502"/>
    <w:rsid w:val="66B35A7A"/>
    <w:rsid w:val="66D76328"/>
    <w:rsid w:val="66DA3D3C"/>
    <w:rsid w:val="66DC180B"/>
    <w:rsid w:val="66E50D0E"/>
    <w:rsid w:val="66EC2A81"/>
    <w:rsid w:val="67247A5C"/>
    <w:rsid w:val="672B1A53"/>
    <w:rsid w:val="67427C8E"/>
    <w:rsid w:val="67574B55"/>
    <w:rsid w:val="67917662"/>
    <w:rsid w:val="67C30AB2"/>
    <w:rsid w:val="680C0D40"/>
    <w:rsid w:val="6817653A"/>
    <w:rsid w:val="682A4B88"/>
    <w:rsid w:val="682F10B1"/>
    <w:rsid w:val="685A1EE9"/>
    <w:rsid w:val="68946DA9"/>
    <w:rsid w:val="689B722B"/>
    <w:rsid w:val="68A42409"/>
    <w:rsid w:val="68A62796"/>
    <w:rsid w:val="68C95904"/>
    <w:rsid w:val="68E77426"/>
    <w:rsid w:val="690D5ADF"/>
    <w:rsid w:val="691C697F"/>
    <w:rsid w:val="692D497F"/>
    <w:rsid w:val="693A0334"/>
    <w:rsid w:val="69563B27"/>
    <w:rsid w:val="69567D99"/>
    <w:rsid w:val="69674BBF"/>
    <w:rsid w:val="69836008"/>
    <w:rsid w:val="69841C93"/>
    <w:rsid w:val="69892653"/>
    <w:rsid w:val="69B7412B"/>
    <w:rsid w:val="69BD5D28"/>
    <w:rsid w:val="69C27024"/>
    <w:rsid w:val="69CC7479"/>
    <w:rsid w:val="69E43C45"/>
    <w:rsid w:val="69F41164"/>
    <w:rsid w:val="69F5715D"/>
    <w:rsid w:val="6A270136"/>
    <w:rsid w:val="6A346DB0"/>
    <w:rsid w:val="6A5128E7"/>
    <w:rsid w:val="6A555782"/>
    <w:rsid w:val="6A617017"/>
    <w:rsid w:val="6A62085F"/>
    <w:rsid w:val="6A6D17E9"/>
    <w:rsid w:val="6A7F68EE"/>
    <w:rsid w:val="6A897109"/>
    <w:rsid w:val="6A970FBC"/>
    <w:rsid w:val="6A9F20FF"/>
    <w:rsid w:val="6AAD7CD0"/>
    <w:rsid w:val="6AC04C83"/>
    <w:rsid w:val="6AC255E7"/>
    <w:rsid w:val="6AD63407"/>
    <w:rsid w:val="6AE9375B"/>
    <w:rsid w:val="6AEF0C5E"/>
    <w:rsid w:val="6B1509C2"/>
    <w:rsid w:val="6B31046B"/>
    <w:rsid w:val="6B3A79C8"/>
    <w:rsid w:val="6B400911"/>
    <w:rsid w:val="6B41632D"/>
    <w:rsid w:val="6B4C4CA6"/>
    <w:rsid w:val="6B4F2CA1"/>
    <w:rsid w:val="6BA0669E"/>
    <w:rsid w:val="6BC16A63"/>
    <w:rsid w:val="6BCB6198"/>
    <w:rsid w:val="6BE31CE9"/>
    <w:rsid w:val="6BF63C41"/>
    <w:rsid w:val="6BF77DC1"/>
    <w:rsid w:val="6C160BB0"/>
    <w:rsid w:val="6C1908AC"/>
    <w:rsid w:val="6C2D5854"/>
    <w:rsid w:val="6C696408"/>
    <w:rsid w:val="6C6D2D0D"/>
    <w:rsid w:val="6C7453DE"/>
    <w:rsid w:val="6C855301"/>
    <w:rsid w:val="6CA026F1"/>
    <w:rsid w:val="6CBC13F4"/>
    <w:rsid w:val="6CD25BDE"/>
    <w:rsid w:val="6CDB760C"/>
    <w:rsid w:val="6D014DE6"/>
    <w:rsid w:val="6D016666"/>
    <w:rsid w:val="6D1F041D"/>
    <w:rsid w:val="6D4C79DE"/>
    <w:rsid w:val="6D8650A8"/>
    <w:rsid w:val="6D877959"/>
    <w:rsid w:val="6DA97C2D"/>
    <w:rsid w:val="6DB036E0"/>
    <w:rsid w:val="6DF339FD"/>
    <w:rsid w:val="6DF767A3"/>
    <w:rsid w:val="6E000787"/>
    <w:rsid w:val="6E091096"/>
    <w:rsid w:val="6E4352D1"/>
    <w:rsid w:val="6E68594D"/>
    <w:rsid w:val="6E737441"/>
    <w:rsid w:val="6EBC030F"/>
    <w:rsid w:val="6EBC04AD"/>
    <w:rsid w:val="6EE7690C"/>
    <w:rsid w:val="6F2F55F5"/>
    <w:rsid w:val="6F64004E"/>
    <w:rsid w:val="6F6D549F"/>
    <w:rsid w:val="6F833ED3"/>
    <w:rsid w:val="6FB27F32"/>
    <w:rsid w:val="6FE31E38"/>
    <w:rsid w:val="6FF806A1"/>
    <w:rsid w:val="700B69B6"/>
    <w:rsid w:val="7016717C"/>
    <w:rsid w:val="701F46BD"/>
    <w:rsid w:val="702C2253"/>
    <w:rsid w:val="704F6C8A"/>
    <w:rsid w:val="70512CBB"/>
    <w:rsid w:val="706F7AF1"/>
    <w:rsid w:val="7073649E"/>
    <w:rsid w:val="70997EB1"/>
    <w:rsid w:val="70B7737C"/>
    <w:rsid w:val="70C61C53"/>
    <w:rsid w:val="70D06298"/>
    <w:rsid w:val="70D154FC"/>
    <w:rsid w:val="70D37054"/>
    <w:rsid w:val="70F03E32"/>
    <w:rsid w:val="70F41DF3"/>
    <w:rsid w:val="70FD6B31"/>
    <w:rsid w:val="71263532"/>
    <w:rsid w:val="71436850"/>
    <w:rsid w:val="71C071E9"/>
    <w:rsid w:val="71DF5A6C"/>
    <w:rsid w:val="71EE6E25"/>
    <w:rsid w:val="71FC599A"/>
    <w:rsid w:val="72085F0E"/>
    <w:rsid w:val="723C7C02"/>
    <w:rsid w:val="7248108B"/>
    <w:rsid w:val="724A05E8"/>
    <w:rsid w:val="724D54DA"/>
    <w:rsid w:val="72573420"/>
    <w:rsid w:val="726D2B99"/>
    <w:rsid w:val="72811853"/>
    <w:rsid w:val="729C3ADB"/>
    <w:rsid w:val="729C5E28"/>
    <w:rsid w:val="72BC0523"/>
    <w:rsid w:val="72BD5E94"/>
    <w:rsid w:val="72D37019"/>
    <w:rsid w:val="73112B0E"/>
    <w:rsid w:val="73122F1C"/>
    <w:rsid w:val="733A1E58"/>
    <w:rsid w:val="733F0605"/>
    <w:rsid w:val="7342058C"/>
    <w:rsid w:val="73580214"/>
    <w:rsid w:val="73735CE2"/>
    <w:rsid w:val="738730CC"/>
    <w:rsid w:val="738B56B3"/>
    <w:rsid w:val="738C1DEC"/>
    <w:rsid w:val="73905898"/>
    <w:rsid w:val="73C05842"/>
    <w:rsid w:val="73CD5085"/>
    <w:rsid w:val="73D253C5"/>
    <w:rsid w:val="73D9728E"/>
    <w:rsid w:val="73FD0B65"/>
    <w:rsid w:val="73FE6354"/>
    <w:rsid w:val="74045F5B"/>
    <w:rsid w:val="741065A6"/>
    <w:rsid w:val="74261C2A"/>
    <w:rsid w:val="743E4FDA"/>
    <w:rsid w:val="74454306"/>
    <w:rsid w:val="745D14B7"/>
    <w:rsid w:val="74824798"/>
    <w:rsid w:val="74AE7EC3"/>
    <w:rsid w:val="74BE1A94"/>
    <w:rsid w:val="7502185A"/>
    <w:rsid w:val="75042CB0"/>
    <w:rsid w:val="751F5A9C"/>
    <w:rsid w:val="75325F01"/>
    <w:rsid w:val="7553092D"/>
    <w:rsid w:val="755B7EA8"/>
    <w:rsid w:val="7595642F"/>
    <w:rsid w:val="75C07742"/>
    <w:rsid w:val="75CD5B0E"/>
    <w:rsid w:val="75F730E2"/>
    <w:rsid w:val="76075D1D"/>
    <w:rsid w:val="762B6B2F"/>
    <w:rsid w:val="763F7F9F"/>
    <w:rsid w:val="76495049"/>
    <w:rsid w:val="76680E2B"/>
    <w:rsid w:val="767239E5"/>
    <w:rsid w:val="76937039"/>
    <w:rsid w:val="7697416F"/>
    <w:rsid w:val="769F52A1"/>
    <w:rsid w:val="76AA20E5"/>
    <w:rsid w:val="76B37D2C"/>
    <w:rsid w:val="76EE55AC"/>
    <w:rsid w:val="76F220C7"/>
    <w:rsid w:val="772671D2"/>
    <w:rsid w:val="77405661"/>
    <w:rsid w:val="77440E21"/>
    <w:rsid w:val="77746DB1"/>
    <w:rsid w:val="779F79D2"/>
    <w:rsid w:val="77AE4C12"/>
    <w:rsid w:val="77AE557D"/>
    <w:rsid w:val="780139E8"/>
    <w:rsid w:val="78121F2E"/>
    <w:rsid w:val="78344EE6"/>
    <w:rsid w:val="783A61D4"/>
    <w:rsid w:val="7844255D"/>
    <w:rsid w:val="78444A87"/>
    <w:rsid w:val="784721A0"/>
    <w:rsid w:val="785E0E06"/>
    <w:rsid w:val="78696411"/>
    <w:rsid w:val="7883255F"/>
    <w:rsid w:val="7885742D"/>
    <w:rsid w:val="78866106"/>
    <w:rsid w:val="78915E65"/>
    <w:rsid w:val="78972FCD"/>
    <w:rsid w:val="78AD5C51"/>
    <w:rsid w:val="78B54A54"/>
    <w:rsid w:val="78C920C8"/>
    <w:rsid w:val="78CB24D8"/>
    <w:rsid w:val="78CB4BD8"/>
    <w:rsid w:val="78D90277"/>
    <w:rsid w:val="78E215F4"/>
    <w:rsid w:val="78F66B43"/>
    <w:rsid w:val="7907149F"/>
    <w:rsid w:val="792E5ADB"/>
    <w:rsid w:val="792E5ECF"/>
    <w:rsid w:val="793A736F"/>
    <w:rsid w:val="79484259"/>
    <w:rsid w:val="795A6E1D"/>
    <w:rsid w:val="79630533"/>
    <w:rsid w:val="7972680A"/>
    <w:rsid w:val="799F4D83"/>
    <w:rsid w:val="79B35723"/>
    <w:rsid w:val="79BF0825"/>
    <w:rsid w:val="7A030083"/>
    <w:rsid w:val="7A3352C5"/>
    <w:rsid w:val="7A3D27CB"/>
    <w:rsid w:val="7A435623"/>
    <w:rsid w:val="7A5636DB"/>
    <w:rsid w:val="7A5A4664"/>
    <w:rsid w:val="7A840D5E"/>
    <w:rsid w:val="7A981DCF"/>
    <w:rsid w:val="7A990E28"/>
    <w:rsid w:val="7AAD422E"/>
    <w:rsid w:val="7AF00FBF"/>
    <w:rsid w:val="7B036CB8"/>
    <w:rsid w:val="7B0D6371"/>
    <w:rsid w:val="7B425546"/>
    <w:rsid w:val="7B5E2D46"/>
    <w:rsid w:val="7B62387C"/>
    <w:rsid w:val="7B631AB3"/>
    <w:rsid w:val="7B715A61"/>
    <w:rsid w:val="7B7C01F3"/>
    <w:rsid w:val="7B7C4E74"/>
    <w:rsid w:val="7B8E0777"/>
    <w:rsid w:val="7B9A1458"/>
    <w:rsid w:val="7BB0072A"/>
    <w:rsid w:val="7BC71E77"/>
    <w:rsid w:val="7BF662EE"/>
    <w:rsid w:val="7BF7021D"/>
    <w:rsid w:val="7BFF1548"/>
    <w:rsid w:val="7C0F05A7"/>
    <w:rsid w:val="7C16565F"/>
    <w:rsid w:val="7C354AAE"/>
    <w:rsid w:val="7C536936"/>
    <w:rsid w:val="7C585E3C"/>
    <w:rsid w:val="7C650FA9"/>
    <w:rsid w:val="7C816FEB"/>
    <w:rsid w:val="7C907171"/>
    <w:rsid w:val="7CBF0ED4"/>
    <w:rsid w:val="7CE945FD"/>
    <w:rsid w:val="7CF01E50"/>
    <w:rsid w:val="7D254BDC"/>
    <w:rsid w:val="7D2D083F"/>
    <w:rsid w:val="7D497142"/>
    <w:rsid w:val="7D703797"/>
    <w:rsid w:val="7D783084"/>
    <w:rsid w:val="7D7F4BE5"/>
    <w:rsid w:val="7D814D3F"/>
    <w:rsid w:val="7D90280C"/>
    <w:rsid w:val="7D9163DF"/>
    <w:rsid w:val="7DD11077"/>
    <w:rsid w:val="7DE328AD"/>
    <w:rsid w:val="7DF7205D"/>
    <w:rsid w:val="7E316932"/>
    <w:rsid w:val="7E57474F"/>
    <w:rsid w:val="7E597CD7"/>
    <w:rsid w:val="7E5A355A"/>
    <w:rsid w:val="7EB0558F"/>
    <w:rsid w:val="7EB65692"/>
    <w:rsid w:val="7EF62377"/>
    <w:rsid w:val="7EF96EB6"/>
    <w:rsid w:val="7EFF54A2"/>
    <w:rsid w:val="7F0A2079"/>
    <w:rsid w:val="7F1B49D7"/>
    <w:rsid w:val="7F2002CB"/>
    <w:rsid w:val="7F377547"/>
    <w:rsid w:val="7F3D15CE"/>
    <w:rsid w:val="7F4A43D7"/>
    <w:rsid w:val="7F694513"/>
    <w:rsid w:val="7F765689"/>
    <w:rsid w:val="7F9B1A35"/>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link w:val="56"/>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1"/>
    <w:basedOn w:val="1"/>
    <w:next w:val="1"/>
    <w:semiHidden/>
    <w:qFormat/>
    <w:uiPriority w:val="0"/>
    <w:rPr>
      <w:szCs w:val="20"/>
    </w:rPr>
  </w:style>
  <w:style w:type="paragraph" w:styleId="22">
    <w:name w:val="annotation subject"/>
    <w:basedOn w:val="8"/>
    <w:next w:val="8"/>
    <w:semiHidden/>
    <w:qFormat/>
    <w:uiPriority w:val="0"/>
    <w:rPr>
      <w:rFonts w:ascii="Times New Roman" w:eastAsia="宋体"/>
      <w:b/>
      <w:bCs/>
      <w:sz w:val="21"/>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0"/>
    <w:qFormat/>
    <w:uiPriority w:val="39"/>
    <w:rPr>
      <w:sz w:val="24"/>
    </w:rPr>
  </w:style>
  <w:style w:type="character" w:customStyle="1" w:styleId="36">
    <w:name w:val="纯文本 字符"/>
    <w:link w:val="11"/>
    <w:qFormat/>
    <w:uiPriority w:val="0"/>
    <w:rPr>
      <w:rFonts w:ascii="宋体" w:hAnsi="Courier New"/>
      <w:kern w:val="2"/>
      <w:sz w:val="21"/>
    </w:rPr>
  </w:style>
  <w:style w:type="character" w:customStyle="1" w:styleId="37">
    <w:name w:val="页脚 字符"/>
    <w:basedOn w:val="25"/>
    <w:link w:val="15"/>
    <w:qFormat/>
    <w:uiPriority w:val="99"/>
    <w:rPr>
      <w:kern w:val="2"/>
      <w:sz w:val="18"/>
      <w:szCs w:val="18"/>
    </w:rPr>
  </w:style>
  <w:style w:type="character" w:customStyle="1" w:styleId="38">
    <w:name w:val="正文文本缩进 字符"/>
    <w:link w:val="9"/>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5"/>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批注文字 Char1"/>
    <w:basedOn w:val="25"/>
    <w:semiHidden/>
    <w:qFormat/>
    <w:uiPriority w:val="99"/>
    <w:rPr>
      <w:rFonts w:ascii="Times New Roman" w:hAnsi="Times New Roman" w:eastAsia="宋体" w:cs="Times New Roman"/>
      <w:szCs w:val="24"/>
    </w:rPr>
  </w:style>
  <w:style w:type="paragraph" w:styleId="55">
    <w:name w:val="List Paragraph"/>
    <w:basedOn w:val="1"/>
    <w:qFormat/>
    <w:uiPriority w:val="99"/>
    <w:pPr>
      <w:ind w:firstLine="420" w:firstLineChars="200"/>
    </w:pPr>
  </w:style>
  <w:style w:type="character" w:customStyle="1" w:styleId="56">
    <w:name w:val="标题 3 字符"/>
    <w:basedOn w:val="25"/>
    <w:link w:val="6"/>
    <w:qFormat/>
    <w:uiPriority w:val="0"/>
    <w:rPr>
      <w:rFonts w:ascii="宋体"/>
      <w:b/>
      <w:sz w:val="24"/>
    </w:rPr>
  </w:style>
  <w:style w:type="character" w:customStyle="1" w:styleId="57">
    <w:name w:val="font01"/>
    <w:basedOn w:val="2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4646</Words>
  <Characters>26484</Characters>
  <Lines>220</Lines>
  <Paragraphs>62</Paragraphs>
  <TotalTime>9</TotalTime>
  <ScaleCrop>false</ScaleCrop>
  <LinksUpToDate>false</LinksUpToDate>
  <CharactersWithSpaces>31068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2021-06-23T02:13:30Z</dcterms:modified>
  <dc:title>招标文件</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F8F66F7DC38A4CAAAA4EBA8C08393604</vt:lpwstr>
  </property>
</Properties>
</file>