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44"/>
          <w:szCs w:val="44"/>
        </w:rPr>
      </w:pPr>
      <w:r>
        <w:rPr>
          <w:rFonts w:hint="eastAsia" w:ascii="宋体" w:hAnsi="宋体" w:cs="宋体"/>
          <w:b/>
          <w:sz w:val="44"/>
          <w:szCs w:val="44"/>
        </w:rPr>
        <w:t>安庆职业技术学院2021年数字资源采购（中国知网CNKI数据库）项目</w:t>
      </w:r>
    </w:p>
    <w:p>
      <w:pPr>
        <w:spacing w:line="360" w:lineRule="auto"/>
        <w:jc w:val="center"/>
        <w:rPr>
          <w:rFonts w:ascii="宋体" w:hAnsi="宋体" w:cs="宋体"/>
          <w:b/>
          <w:sz w:val="44"/>
          <w:szCs w:val="44"/>
        </w:rPr>
      </w:pP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eastAsia="仿宋"/>
          <w:b/>
          <w:sz w:val="24"/>
          <w:szCs w:val="32"/>
        </w:rPr>
      </w:pPr>
      <w:r>
        <w:rPr>
          <w:rFonts w:hint="eastAsia" w:ascii="仿宋" w:hAnsi="仿宋" w:eastAsia="仿宋"/>
          <w:b/>
          <w:sz w:val="24"/>
        </w:rPr>
        <w:t>项目编号：</w:t>
      </w:r>
      <w:r>
        <w:rPr>
          <w:rFonts w:hint="eastAsia" w:eastAsia="仿宋"/>
          <w:b/>
          <w:sz w:val="24"/>
        </w:rPr>
        <w:t>CG-AZ-2021-027</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二〇二一 年 十一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1、居民身份证上住址属于疫情低风险区域。疫情低风险区域的证明材料包括：2021年</w:t>
      </w:r>
      <w:r>
        <w:rPr>
          <w:rFonts w:hint="eastAsia" w:ascii="仿宋" w:hAnsi="仿宋" w:eastAsia="仿宋" w:cs="仿宋"/>
          <w:bCs/>
          <w:kern w:val="0"/>
          <w:sz w:val="32"/>
          <w:szCs w:val="32"/>
          <w:lang w:val="en-US" w:eastAsia="zh-CN"/>
        </w:rPr>
        <w:t>12</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响应人谈判后现场递交）。</w:t>
      </w:r>
    </w:p>
    <w:p>
      <w:pPr>
        <w:widowControl/>
        <w:spacing w:line="480" w:lineRule="auto"/>
        <w:jc w:val="center"/>
        <w:rPr>
          <w:rFonts w:ascii="黑体" w:hAnsi="黑体" w:eastAsia="黑体" w:cs="宋体"/>
          <w:b/>
          <w:kern w:val="0"/>
          <w:sz w:val="32"/>
          <w:szCs w:val="32"/>
        </w:rPr>
      </w:pPr>
    </w:p>
    <w:p>
      <w:pPr>
        <w:widowControl/>
        <w:spacing w:line="480" w:lineRule="auto"/>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6"/>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7"/>
          <w:rFonts w:hint="eastAsia" w:ascii="宋体" w:hAnsi="宋体" w:cs="Tahoma"/>
          <w:kern w:val="0"/>
        </w:rPr>
        <w:t>第一章</w:t>
      </w:r>
      <w:r>
        <w:rPr>
          <w:rFonts w:asciiTheme="minorHAnsi" w:hAnsiTheme="minorHAnsi" w:eastAsiaTheme="minorEastAsia" w:cstheme="minorBidi"/>
          <w:sz w:val="21"/>
          <w:szCs w:val="22"/>
        </w:rPr>
        <w:tab/>
      </w:r>
      <w:r>
        <w:rPr>
          <w:rStyle w:val="27"/>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7"/>
          <w:rFonts w:hint="eastAsia"/>
        </w:rPr>
        <w:t>第二章</w:t>
      </w:r>
      <w:r>
        <w:rPr>
          <w:rFonts w:asciiTheme="minorHAnsi" w:hAnsiTheme="minorHAnsi" w:eastAsiaTheme="minorEastAsia" w:cstheme="minorBidi"/>
          <w:sz w:val="21"/>
          <w:szCs w:val="22"/>
        </w:rPr>
        <w:tab/>
      </w:r>
      <w:r>
        <w:rPr>
          <w:rStyle w:val="27"/>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7"/>
          <w:rFonts w:hint="eastAsia"/>
        </w:rPr>
        <w:t>第一节</w:t>
      </w:r>
      <w:r>
        <w:rPr>
          <w:rStyle w:val="27"/>
        </w:rPr>
        <w:t xml:space="preserve"> </w:t>
      </w:r>
      <w:r>
        <w:rPr>
          <w:rStyle w:val="27"/>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7"/>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7"/>
          <w:rFonts w:hint="eastAsia"/>
        </w:rPr>
        <w:t>第二节</w:t>
      </w:r>
      <w:r>
        <w:rPr>
          <w:rStyle w:val="27"/>
        </w:rPr>
        <w:t xml:space="preserve">  </w:t>
      </w:r>
      <w:r>
        <w:rPr>
          <w:rStyle w:val="27"/>
          <w:rFonts w:hint="eastAsia"/>
        </w:rPr>
        <w:t>谈判响应人须知</w:t>
      </w:r>
      <w:r>
        <w:tab/>
      </w:r>
      <w:r>
        <w:fldChar w:fldCharType="begin"/>
      </w:r>
      <w:r>
        <w:instrText xml:space="preserve"> PAGEREF _Toc6847633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7"/>
          <w:rFonts w:hint="eastAsia"/>
        </w:rPr>
        <w:t>一、总则</w:t>
      </w:r>
      <w:r>
        <w:tab/>
      </w:r>
      <w:r>
        <w:fldChar w:fldCharType="begin"/>
      </w:r>
      <w:r>
        <w:instrText xml:space="preserve"> PAGEREF _Toc6847634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7"/>
          <w:rFonts w:hint="eastAsia"/>
        </w:rPr>
        <w:t>二、谈判文件</w:t>
      </w:r>
      <w:r>
        <w:tab/>
      </w:r>
      <w:r>
        <w:fldChar w:fldCharType="begin"/>
      </w:r>
      <w:r>
        <w:instrText xml:space="preserve"> PAGEREF _Toc6847635 \h </w:instrText>
      </w:r>
      <w:r>
        <w:fldChar w:fldCharType="separate"/>
      </w:r>
      <w:r>
        <w:t>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7"/>
          <w:rFonts w:hint="eastAsia"/>
        </w:rPr>
        <w:t>三、谈判响应文件的编制</w:t>
      </w:r>
      <w:r>
        <w:tab/>
      </w:r>
      <w:r>
        <w:fldChar w:fldCharType="begin"/>
      </w:r>
      <w:r>
        <w:instrText xml:space="preserve"> PAGEREF _Toc6847636 \h </w:instrText>
      </w:r>
      <w:r>
        <w:fldChar w:fldCharType="separate"/>
      </w:r>
      <w:r>
        <w:t>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7"/>
          <w:rFonts w:hint="eastAsia"/>
        </w:rPr>
        <w:t>四、谈判响应文件的提交</w:t>
      </w:r>
      <w:r>
        <w:tab/>
      </w:r>
      <w:r>
        <w:fldChar w:fldCharType="begin"/>
      </w:r>
      <w:r>
        <w:instrText xml:space="preserve"> PAGEREF _Toc6847637 \h </w:instrText>
      </w:r>
      <w:r>
        <w:fldChar w:fldCharType="separate"/>
      </w:r>
      <w:r>
        <w:t>10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7"/>
          <w:rFonts w:hint="eastAsia"/>
        </w:rPr>
        <w:t>五、谈判程序</w:t>
      </w:r>
      <w:r>
        <w:tab/>
      </w:r>
      <w:r>
        <w:fldChar w:fldCharType="begin"/>
      </w:r>
      <w:r>
        <w:instrText xml:space="preserve"> PAGEREF _Toc6847638 \h </w:instrText>
      </w:r>
      <w:r>
        <w:fldChar w:fldCharType="separate"/>
      </w:r>
      <w:r>
        <w:t>11</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7"/>
          <w:rFonts w:hint="eastAsia"/>
        </w:rPr>
        <w:t>六、谈判</w:t>
      </w:r>
      <w:r>
        <w:tab/>
      </w:r>
      <w:r>
        <w:fldChar w:fldCharType="begin"/>
      </w:r>
      <w:r>
        <w:instrText xml:space="preserve"> PAGEREF _Toc6847639 \h </w:instrText>
      </w:r>
      <w:r>
        <w:fldChar w:fldCharType="separate"/>
      </w:r>
      <w:r>
        <w:t>13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7"/>
          <w:rFonts w:hint="eastAsia" w:hAnsi="宋体"/>
        </w:rPr>
        <w:t>七、合同授予</w:t>
      </w:r>
      <w:r>
        <w:tab/>
      </w:r>
      <w:r>
        <w:fldChar w:fldCharType="begin"/>
      </w:r>
      <w:r>
        <w:instrText xml:space="preserve"> PAGEREF _Toc6847640 \h </w:instrText>
      </w:r>
      <w:r>
        <w:fldChar w:fldCharType="separate"/>
      </w:r>
      <w:r>
        <w:t>15</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7"/>
          <w:rFonts w:hint="eastAsia"/>
        </w:rPr>
        <w:t>第三章</w:t>
      </w:r>
      <w:r>
        <w:rPr>
          <w:rFonts w:asciiTheme="minorHAnsi" w:hAnsiTheme="minorHAnsi" w:eastAsiaTheme="minorEastAsia" w:cstheme="minorBidi"/>
          <w:sz w:val="21"/>
          <w:szCs w:val="22"/>
        </w:rPr>
        <w:tab/>
      </w:r>
      <w:r>
        <w:rPr>
          <w:rStyle w:val="27"/>
          <w:rFonts w:hint="eastAsia"/>
        </w:rPr>
        <w:t>服务需求及技术要求</w:t>
      </w:r>
      <w:r>
        <w:tab/>
      </w:r>
      <w:r>
        <w:fldChar w:fldCharType="begin"/>
      </w:r>
      <w:r>
        <w:instrText xml:space="preserve"> PAGEREF _Toc6847641 \h </w:instrText>
      </w:r>
      <w:r>
        <w:fldChar w:fldCharType="separate"/>
      </w:r>
      <w:r>
        <w:t>17</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7"/>
          <w:rFonts w:hint="eastAsia"/>
        </w:rPr>
        <w:t>第四章</w:t>
      </w:r>
      <w:r>
        <w:rPr>
          <w:rFonts w:asciiTheme="minorHAnsi" w:hAnsiTheme="minorHAnsi" w:eastAsiaTheme="minorEastAsia" w:cstheme="minorBidi"/>
          <w:sz w:val="21"/>
          <w:szCs w:val="22"/>
        </w:rPr>
        <w:tab/>
      </w:r>
      <w:r>
        <w:rPr>
          <w:rStyle w:val="27"/>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7"/>
          <w:rFonts w:hint="eastAsia"/>
        </w:rPr>
        <w:t>第五章</w:t>
      </w:r>
      <w:r>
        <w:rPr>
          <w:rFonts w:asciiTheme="minorHAnsi" w:hAnsiTheme="minorHAnsi" w:eastAsiaTheme="minorEastAsia" w:cstheme="minorBidi"/>
          <w:sz w:val="21"/>
          <w:szCs w:val="22"/>
        </w:rPr>
        <w:tab/>
      </w:r>
      <w:r>
        <w:rPr>
          <w:rStyle w:val="27"/>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7"/>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7"/>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7"/>
          <w:rFonts w:hint="eastAsia"/>
        </w:rPr>
        <w:t>三、</w:t>
      </w:r>
      <w:r>
        <w:rPr>
          <w:rStyle w:val="27"/>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7"/>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7"/>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7"/>
          <w:rFonts w:hint="eastAsia"/>
        </w:rPr>
        <w:t>六、资格证明文件</w:t>
      </w:r>
      <w:r>
        <w:tab/>
      </w:r>
      <w:r>
        <w:fldChar w:fldCharType="begin"/>
      </w:r>
      <w:r>
        <w:instrText xml:space="preserve"> PAGEREF _Toc6847649 \h </w:instrText>
      </w:r>
      <w:r>
        <w:fldChar w:fldCharType="separate"/>
      </w:r>
      <w:r>
        <w:t>28</w:t>
      </w:r>
      <w:r>
        <w:fldChar w:fldCharType="end"/>
      </w:r>
      <w:r>
        <w:fldChar w:fldCharType="end"/>
      </w:r>
    </w:p>
    <w:p>
      <w:pPr>
        <w:pStyle w:val="10"/>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3"/>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3"/>
        <w:numPr>
          <w:ilvl w:val="0"/>
          <w:numId w:val="1"/>
        </w:numPr>
        <w:rPr>
          <w:rFonts w:ascii="宋体" w:hAnsi="宋体" w:cs="Tahoma"/>
          <w:kern w:val="0"/>
          <w:szCs w:val="32"/>
        </w:rPr>
      </w:pPr>
      <w:bookmarkStart w:id="0" w:name="_Toc6847630"/>
      <w:r>
        <w:rPr>
          <w:rFonts w:hint="eastAsia"/>
        </w:rPr>
        <w:t>单一来源邀请书</w:t>
      </w:r>
      <w:bookmarkEnd w:id="0"/>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安庆职业技术学院2021年数字资源采购（中国知网CNKI数据库）项目采用单一来源方式进行采购，由于贵公司[同方知网（北京）技术有限公司]为本项目的唯一供应商，受安庆职业技术学院委托，我方现邀请贵公司参与本项目的采购活动，现将有关事项通知如下：</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中国知网CNKI数据库采购</w:t>
      </w:r>
    </w:p>
    <w:p>
      <w:pPr>
        <w:pStyle w:val="10"/>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2.具有合法有效的营业执照；</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cs="Tahoma"/>
          <w:kern w:val="0"/>
          <w:szCs w:val="21"/>
        </w:rPr>
        <w:t>3.本项目不接受联合体。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420" w:firstLineChars="200"/>
        <w:rPr>
          <w:rFonts w:ascii="宋体" w:hAnsi="宋体" w:cs="Tahoma"/>
          <w:kern w:val="0"/>
          <w:szCs w:val="21"/>
        </w:rPr>
      </w:pPr>
      <w:r>
        <w:rPr>
          <w:rFonts w:hint="eastAsia" w:ascii="宋体" w:hAnsi="宋体" w:cs="Tahoma"/>
          <w:kern w:val="0"/>
          <w:szCs w:val="21"/>
        </w:rPr>
        <w:t>供应商于2021年</w:t>
      </w:r>
      <w:r>
        <w:rPr>
          <w:rFonts w:hint="eastAsia" w:ascii="宋体" w:hAnsi="宋体" w:cs="Tahoma"/>
          <w:kern w:val="0"/>
          <w:szCs w:val="21"/>
          <w:lang w:val="en-US" w:eastAsia="zh-CN"/>
        </w:rPr>
        <w:t>11</w:t>
      </w:r>
      <w:r>
        <w:rPr>
          <w:rFonts w:hint="eastAsia" w:ascii="宋体" w:hAnsi="宋体" w:cs="Tahoma"/>
          <w:kern w:val="0"/>
          <w:szCs w:val="21"/>
        </w:rPr>
        <w:t>月</w:t>
      </w:r>
      <w:r>
        <w:rPr>
          <w:rFonts w:hint="eastAsia" w:ascii="宋体" w:hAnsi="宋体" w:cs="Tahoma"/>
          <w:kern w:val="0"/>
          <w:szCs w:val="21"/>
          <w:lang w:val="en-US" w:eastAsia="zh-CN"/>
        </w:rPr>
        <w:t>29</w:t>
      </w:r>
      <w:r>
        <w:rPr>
          <w:rFonts w:hint="eastAsia" w:ascii="宋体" w:hAnsi="宋体" w:cs="Tahoma"/>
          <w:kern w:val="0"/>
          <w:szCs w:val="21"/>
        </w:rPr>
        <w:t>日17时30分前，将盖公章的获取单一来源谈判文件的函（详见附件）发送至邮箱504476178@qq.com。（超过时间的邮件无效，无法获取文件）。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w:t>
      </w:r>
      <w:r>
        <w:rPr>
          <w:rFonts w:hint="eastAsia" w:ascii="宋体" w:hAnsi="宋体" w:cs="宋体"/>
          <w:szCs w:val="21"/>
          <w:u w:val="none"/>
        </w:rPr>
        <w:t>2021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 xml:space="preserve"> 时</w:t>
      </w:r>
      <w:r>
        <w:rPr>
          <w:rFonts w:hint="eastAsia" w:ascii="宋体" w:hAnsi="宋体" w:cs="宋体"/>
          <w:szCs w:val="21"/>
          <w:lang w:val="en-US" w:eastAsia="zh-CN"/>
        </w:rPr>
        <w:t>30</w:t>
      </w:r>
      <w:r>
        <w:rPr>
          <w:rFonts w:hint="eastAsia" w:ascii="宋体" w:hAnsi="宋体" w:cs="宋体"/>
          <w:szCs w:val="21"/>
        </w:rPr>
        <w:t>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宋体"/>
          <w:szCs w:val="21"/>
          <w:u w:val="none"/>
        </w:rPr>
        <w:t>2021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联系人：余老师         电话：0556-5283045</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联系人：武惠梅         电话：0556-5991152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2021</w:t>
      </w:r>
      <w:r>
        <w:rPr>
          <w:rFonts w:ascii="宋体" w:hAnsi="宋体" w:cs="Tahoma"/>
          <w:kern w:val="0"/>
          <w:szCs w:val="21"/>
        </w:rPr>
        <w:t>年</w:t>
      </w:r>
      <w:r>
        <w:rPr>
          <w:rFonts w:hint="eastAsia" w:ascii="宋体" w:hAnsi="宋体" w:cs="Tahoma"/>
          <w:kern w:val="0"/>
          <w:szCs w:val="21"/>
          <w:lang w:val="en-US" w:eastAsia="zh-CN"/>
        </w:rPr>
        <w:t>11</w:t>
      </w:r>
      <w:r>
        <w:rPr>
          <w:rFonts w:ascii="宋体" w:hAnsi="宋体" w:cs="Tahoma"/>
          <w:kern w:val="0"/>
          <w:szCs w:val="21"/>
        </w:rPr>
        <w:t>月</w:t>
      </w:r>
      <w:r>
        <w:rPr>
          <w:rFonts w:hint="eastAsia" w:ascii="宋体" w:hAnsi="宋体" w:cs="Tahoma"/>
          <w:kern w:val="0"/>
          <w:szCs w:val="21"/>
          <w:lang w:val="en-US" w:eastAsia="zh-CN"/>
        </w:rPr>
        <w:t>17</w:t>
      </w:r>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3"/>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3"/>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我单位要求获取安庆职业技术学院2021年数字资源采购（中国知网CNKI数据库）项目的单一来源谈判文件电子版，该电子版仅做本次投标使用，并承诺不做外用。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请将安庆职业技术学院2021年数字资源采购（中国知网CNKI数据库）项目单一来源谈判文件发至以下邮箱：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3"/>
        <w:numPr>
          <w:ilvl w:val="0"/>
          <w:numId w:val="1"/>
        </w:numPr>
      </w:pPr>
      <w:bookmarkStart w:id="3" w:name="_Toc399143396"/>
      <w:bookmarkStart w:id="4" w:name="_Toc6847631"/>
      <w:r>
        <w:rPr>
          <w:rFonts w:hint="eastAsia"/>
        </w:rPr>
        <w:t>谈判响应人须知</w:t>
      </w:r>
      <w:bookmarkEnd w:id="3"/>
      <w:bookmarkEnd w:id="4"/>
    </w:p>
    <w:p>
      <w:pPr>
        <w:pStyle w:val="62"/>
      </w:pPr>
      <w:bookmarkStart w:id="5" w:name="_Toc6847632"/>
      <w:bookmarkStart w:id="6" w:name="_Toc437588874"/>
      <w:bookmarkStart w:id="7" w:name="_Toc399143397"/>
      <w:r>
        <w:rPr>
          <w:rFonts w:hint="eastAsia"/>
        </w:rPr>
        <w:t>第一节 谈判响应人须知前附表</w:t>
      </w:r>
      <w:bookmarkEnd w:id="5"/>
      <w:bookmarkEnd w:id="6"/>
      <w:bookmarkEnd w:id="7"/>
    </w:p>
    <w:tbl>
      <w:tblPr>
        <w:tblStyle w:val="22"/>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8819303"/>
            <w:bookmarkStart w:id="9" w:name="_Toc399143398"/>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CG-AZ-2021-027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安庆职业技术学院2021年数字资源采购（中国知网CNKI数据库）项目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人民币贰拾万元整（￥200000.00元）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highlight w:val="none"/>
              </w:rPr>
            </w:pPr>
            <w:r>
              <w:rPr>
                <w:rFonts w:hint="eastAsia"/>
                <w:color w:val="auto"/>
                <w:szCs w:val="21"/>
                <w:highlight w:val="none"/>
              </w:rPr>
              <w:t>合同签订后10日内完成调试，免费服务期限为验收合格之日起1年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kern w:val="0"/>
                <w:szCs w:val="21"/>
              </w:rPr>
            </w:pPr>
            <w:r>
              <w:rPr>
                <w:rFonts w:hint="eastAsia" w:ascii="宋体" w:hAnsi="宋体" w:cs="宋体"/>
                <w:color w:val="auto"/>
                <w:kern w:val="0"/>
                <w:szCs w:val="21"/>
              </w:rPr>
              <w:t>1、符合《中华人民共和国政府采购法》第二十二条的规定；</w:t>
            </w:r>
          </w:p>
          <w:p>
            <w:pPr>
              <w:spacing w:line="420" w:lineRule="exact"/>
              <w:rPr>
                <w:rFonts w:ascii="宋体" w:hAnsi="宋体" w:cs="宋体"/>
                <w:color w:val="auto"/>
                <w:kern w:val="0"/>
                <w:szCs w:val="21"/>
              </w:rPr>
            </w:pPr>
            <w:r>
              <w:rPr>
                <w:rFonts w:hint="eastAsia" w:ascii="宋体" w:hAnsi="宋体" w:cs="宋体"/>
                <w:color w:val="auto"/>
                <w:kern w:val="0"/>
                <w:szCs w:val="21"/>
              </w:rPr>
              <w:t>2、具有合法有效的营业执照；</w:t>
            </w:r>
          </w:p>
          <w:p>
            <w:pPr>
              <w:spacing w:line="420" w:lineRule="exact"/>
              <w:rPr>
                <w:color w:val="auto"/>
                <w:szCs w:val="21"/>
              </w:rPr>
            </w:pPr>
            <w:r>
              <w:rPr>
                <w:rFonts w:hint="eastAsia" w:ascii="宋体" w:hAnsi="宋体" w:cs="宋体"/>
                <w:color w:val="auto"/>
                <w:kern w:val="0"/>
                <w:szCs w:val="21"/>
              </w:rPr>
              <w:t>3、不接受联合体谈判。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Cs w:val="21"/>
              </w:rPr>
            </w:pPr>
            <w:r>
              <w:rPr>
                <w:rFonts w:hint="eastAsia"/>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color w:val="auto"/>
                <w:szCs w:val="21"/>
              </w:rPr>
            </w:pPr>
            <w:r>
              <w:rPr>
                <w:rFonts w:hint="eastAsia" w:ascii="宋体" w:hAnsi="宋体"/>
                <w:color w:val="auto"/>
                <w:szCs w:val="21"/>
                <w:u w:val="single"/>
              </w:rPr>
              <w:t>9</w:t>
            </w:r>
            <w:r>
              <w:rPr>
                <w:rFonts w:ascii="宋体" w:hAnsi="宋体"/>
                <w:color w:val="auto"/>
                <w:szCs w:val="21"/>
                <w:u w:val="single"/>
              </w:rPr>
              <w:t>0</w:t>
            </w:r>
            <w:r>
              <w:rPr>
                <w:rFonts w:hint="eastAsia" w:ascii="宋体" w:hAnsi="宋体"/>
                <w:color w:val="auto"/>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color w:val="auto"/>
                <w:spacing w:val="-14"/>
                <w:szCs w:val="21"/>
              </w:rPr>
            </w:pPr>
            <w:r>
              <w:rPr>
                <w:rFonts w:hint="eastAsia" w:ascii="宋体" w:hAnsi="宋体"/>
                <w:bCs/>
                <w:color w:val="auto"/>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cs="宋体"/>
                <w:color w:val="auto"/>
                <w:szCs w:val="21"/>
              </w:rPr>
            </w:pPr>
            <w:r>
              <w:rPr>
                <w:rFonts w:hint="eastAsia" w:ascii="宋体" w:hAnsi="宋体" w:cs="宋体"/>
                <w:color w:val="auto"/>
                <w:szCs w:val="21"/>
              </w:rPr>
              <w:t>1、提交响应文件截止时间：2021年12月3日9时30分</w:t>
            </w:r>
          </w:p>
          <w:p>
            <w:pPr>
              <w:adjustRightInd w:val="0"/>
              <w:snapToGrid w:val="0"/>
              <w:spacing w:line="420" w:lineRule="exact"/>
              <w:rPr>
                <w:rFonts w:hAnsi="宋体"/>
                <w:color w:val="auto"/>
                <w:szCs w:val="21"/>
              </w:rPr>
            </w:pPr>
            <w:r>
              <w:rPr>
                <w:rFonts w:hint="eastAsia" w:hAnsi="宋体"/>
                <w:color w:val="auto"/>
                <w:szCs w:val="21"/>
              </w:rPr>
              <w:t>2、一</w:t>
            </w:r>
            <w:r>
              <w:rPr>
                <w:rFonts w:hAnsi="宋体"/>
                <w:color w:val="auto"/>
                <w:szCs w:val="21"/>
              </w:rPr>
              <w:t>份正本，</w:t>
            </w:r>
            <w:r>
              <w:rPr>
                <w:rFonts w:hint="eastAsia" w:hAnsi="宋体"/>
                <w:color w:val="auto"/>
                <w:szCs w:val="21"/>
              </w:rPr>
              <w:t>二</w:t>
            </w:r>
            <w:r>
              <w:rPr>
                <w:rFonts w:hAnsi="宋体"/>
                <w:color w:val="auto"/>
                <w:szCs w:val="21"/>
              </w:rPr>
              <w:t>份副本</w:t>
            </w:r>
            <w:r>
              <w:rPr>
                <w:rFonts w:hint="eastAsia" w:hAnsi="宋体"/>
                <w:color w:val="auto"/>
                <w:szCs w:val="21"/>
              </w:rPr>
              <w:t>，</w:t>
            </w:r>
            <w:r>
              <w:rPr>
                <w:rFonts w:hint="eastAsia" w:hAnsi="宋体"/>
                <w:color w:val="auto"/>
              </w:rPr>
              <w:t>装在同一密封袋内，</w:t>
            </w:r>
            <w:r>
              <w:rPr>
                <w:rFonts w:hint="eastAsia" w:hAnsi="宋体" w:cs="宋体"/>
                <w:color w:val="auto"/>
              </w:rPr>
              <w:t>密封提交。</w:t>
            </w:r>
          </w:p>
          <w:p>
            <w:pPr>
              <w:pStyle w:val="11"/>
              <w:spacing w:line="420" w:lineRule="exact"/>
              <w:rPr>
                <w:rFonts w:ascii="Times New Roman" w:hAnsi="Times New Roman"/>
                <w:color w:val="auto"/>
              </w:rPr>
            </w:pPr>
            <w:r>
              <w:rPr>
                <w:rFonts w:hint="eastAsia" w:ascii="Times New Roman" w:hAnsi="Times New Roman"/>
                <w:color w:val="auto"/>
              </w:rPr>
              <w:t>3、密封袋上应加盖响应人公章。</w:t>
            </w:r>
          </w:p>
          <w:p>
            <w:pPr>
              <w:pStyle w:val="8"/>
              <w:widowControl/>
              <w:spacing w:line="420" w:lineRule="exact"/>
              <w:jc w:val="both"/>
              <w:rPr>
                <w:rFonts w:ascii="宋体" w:hAnsi="宋体"/>
                <w:color w:val="auto"/>
                <w:szCs w:val="21"/>
              </w:rPr>
            </w:pPr>
            <w:r>
              <w:rPr>
                <w:rFonts w:hint="eastAsia"/>
                <w:color w:val="auto"/>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时间:2021年12月3日9时30分</w:t>
            </w:r>
          </w:p>
          <w:p>
            <w:pPr>
              <w:spacing w:line="420" w:lineRule="exact"/>
              <w:rPr>
                <w:rFonts w:ascii="宋体" w:hAnsi="宋体" w:cs="宋体"/>
                <w:szCs w:val="21"/>
              </w:rPr>
            </w:pPr>
            <w:r>
              <w:rPr>
                <w:rFonts w:hint="eastAsia" w:ascii="宋体" w:hAnsi="宋体" w:cs="宋体"/>
                <w:szCs w:val="21"/>
              </w:rPr>
              <w:t>地点: 安庆市公共资源交易中心</w:t>
            </w:r>
            <w:bookmarkStart w:id="68" w:name="_GoBack"/>
            <w:bookmarkEnd w:id="68"/>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5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olor w:val="auto"/>
                <w:szCs w:val="21"/>
              </w:rPr>
            </w:pPr>
            <w:r>
              <w:rPr>
                <w:rFonts w:hint="eastAsia" w:ascii="宋体" w:hAnsi="宋体" w:cs="宋体"/>
                <w:color w:val="auto"/>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2"/>
      </w:pPr>
      <w:bookmarkStart w:id="10" w:name="_Toc6847633"/>
      <w:r>
        <w:rPr>
          <w:rFonts w:hint="eastAsia"/>
        </w:rPr>
        <w:t xml:space="preserve">第二节  </w:t>
      </w:r>
      <w:bookmarkEnd w:id="8"/>
      <w:bookmarkEnd w:id="9"/>
      <w:r>
        <w:rPr>
          <w:rFonts w:hint="eastAsia"/>
        </w:rPr>
        <w:t>谈判响应人须知</w:t>
      </w:r>
      <w:bookmarkEnd w:id="10"/>
    </w:p>
    <w:p>
      <w:pPr>
        <w:pStyle w:val="5"/>
        <w:ind w:firstLine="472" w:firstLineChars="196"/>
        <w:jc w:val="both"/>
      </w:pPr>
      <w:bookmarkStart w:id="11" w:name="_Toc12467"/>
      <w:bookmarkStart w:id="12" w:name="_Toc6847634"/>
      <w:bookmarkStart w:id="13" w:name="_Toc388283734"/>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5"/>
        <w:ind w:firstLine="472" w:firstLineChars="196"/>
      </w:pPr>
      <w:bookmarkStart w:id="14" w:name="_Toc14586"/>
      <w:bookmarkStart w:id="15" w:name="_Toc388283735"/>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提出并将问题发送至邮箱504476178@qq.com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谈判响应人对竞争性谈判文件如有质疑，应在提交响应文件截止时间2个工作日前向采购单位提出并将问题发送至邮箱504476178@qq.com。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388283736"/>
      <w:bookmarkStart w:id="18" w:name="_Toc1449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5"/>
        <w:ind w:firstLine="472" w:firstLineChars="196"/>
      </w:pPr>
      <w:bookmarkStart w:id="19" w:name="_Toc6847636"/>
      <w:bookmarkStart w:id="20" w:name="_Toc9821"/>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17260"/>
      <w:bookmarkStart w:id="22" w:name="_Toc388283737"/>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1"/>
        <w:spacing w:line="360" w:lineRule="exact"/>
        <w:ind w:firstLine="422" w:firstLineChars="200"/>
        <w:rPr>
          <w:rFonts w:hAnsi="宋体"/>
          <w:b/>
          <w:szCs w:val="21"/>
        </w:rPr>
      </w:pPr>
      <w:r>
        <w:rPr>
          <w:rFonts w:hint="eastAsia" w:hAnsi="宋体"/>
          <w:b/>
          <w:szCs w:val="21"/>
        </w:rPr>
        <w:t>15、谈判响应文件的签署</w:t>
      </w:r>
    </w:p>
    <w:p>
      <w:pPr>
        <w:pStyle w:val="11"/>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1"/>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5"/>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5"/>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1"/>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1"/>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1"/>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1"/>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1"/>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5"/>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1"/>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（1）谈判响应人资格是否符合谈判文件要求；</w:t>
      </w:r>
    </w:p>
    <w:p>
      <w:pPr>
        <w:spacing w:line="360" w:lineRule="auto"/>
        <w:ind w:firstLine="420" w:firstLineChars="200"/>
        <w:rPr>
          <w:rFonts w:ascii="宋体" w:hAnsi="宋体"/>
          <w:szCs w:val="21"/>
        </w:rPr>
      </w:pPr>
      <w:r>
        <w:rPr>
          <w:rFonts w:hint="eastAsia" w:ascii="宋体" w:hAnsi="宋体"/>
          <w:szCs w:val="21"/>
        </w:rPr>
        <w:t>（2）谈判响应文件是否按谈判文件的要求进行编制、签署和标记；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（3）谈判文件要求提交的的各种资格证明文件是否真实、完整、合法、有效；</w:t>
      </w:r>
    </w:p>
    <w:p>
      <w:pPr>
        <w:spacing w:line="360" w:lineRule="auto"/>
        <w:ind w:firstLine="420" w:firstLineChars="200"/>
        <w:rPr>
          <w:rFonts w:ascii="宋体" w:hAnsi="宋体"/>
          <w:szCs w:val="21"/>
        </w:rPr>
      </w:pPr>
      <w:r>
        <w:rPr>
          <w:rFonts w:hint="eastAsia" w:ascii="宋体" w:hAnsi="宋体"/>
          <w:szCs w:val="21"/>
        </w:rPr>
        <w:t>（4）所提供的服务是否有缺少，服务期是否符合谈判文件要求；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（5）采购技术方案是否完整、可行且完全响应或优于谈判文件要求；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（6）谈判响应文件中的技术参数是否完全响应或优于谈判文件要求；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（8）联合体响应没有提交联合体谈判协议书；</w:t>
      </w:r>
    </w:p>
    <w:p>
      <w:pPr>
        <w:spacing w:line="360" w:lineRule="auto"/>
        <w:ind w:firstLine="420" w:firstLineChars="200"/>
        <w:rPr>
          <w:rFonts w:ascii="宋体" w:hAnsi="宋体"/>
          <w:szCs w:val="21"/>
        </w:rPr>
      </w:pPr>
      <w:r>
        <w:rPr>
          <w:rFonts w:hint="eastAsia" w:ascii="宋体" w:hAnsi="宋体"/>
          <w:szCs w:val="21"/>
        </w:rPr>
        <w:t>（9）谈判响应文件是否附有采购人不能接受的条件；</w:t>
      </w:r>
    </w:p>
    <w:p>
      <w:pPr>
        <w:spacing w:line="360" w:lineRule="auto"/>
        <w:ind w:firstLine="420" w:firstLineChars="200"/>
        <w:rPr>
          <w:rFonts w:ascii="宋体" w:hAnsi="宋体"/>
          <w:szCs w:val="21"/>
        </w:rPr>
      </w:pPr>
      <w:r>
        <w:rPr>
          <w:rFonts w:hint="eastAsia" w:ascii="宋体" w:hAnsi="宋体"/>
          <w:szCs w:val="21"/>
        </w:rPr>
        <w:t>（10）谈判响应文件是否存在谈判文件中约定的无效谈判响应文件的其他情形。</w:t>
      </w:r>
    </w:p>
    <w:p>
      <w:pPr>
        <w:widowControl/>
        <w:spacing w:line="500" w:lineRule="exact"/>
        <w:ind w:firstLine="405"/>
        <w:jc w:val="left"/>
        <w:rPr>
          <w:rFonts w:ascii="宋体" w:hAnsi="宋体"/>
          <w:szCs w:val="21"/>
        </w:rPr>
      </w:pPr>
      <w:r>
        <w:rPr>
          <w:rFonts w:hint="eastAsia" w:ascii="宋体" w:hAnsi="宋体"/>
          <w:szCs w:val="21"/>
        </w:rPr>
        <w:t>（11）谈判响应文件是否符合谈判文件的要求。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rPr>
      </w:pPr>
      <w:r>
        <w:rPr>
          <w:rFonts w:hint="eastAsia" w:ascii="宋体"/>
          <w:color w:val="000000" w:themeColor="text1"/>
          <w:szCs w:val="21"/>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rPr>
        <w:t>谈判小组</w:t>
      </w:r>
      <w:r>
        <w:rPr>
          <w:rStyle w:val="27"/>
          <w:rFonts w:hint="eastAsia" w:ascii="宋体"/>
          <w:color w:val="000000" w:themeColor="text1"/>
          <w:szCs w:val="21"/>
          <w:u w:val="none"/>
        </w:rPr>
        <w:t>不得将其推荐为成交候选人。</w:t>
      </w:r>
      <w:r>
        <w:rPr>
          <w:rStyle w:val="27"/>
          <w:rFonts w:hint="eastAsia" w:ascii="宋体"/>
          <w:color w:val="000000" w:themeColor="text1"/>
          <w:szCs w:val="21"/>
          <w:u w:val="none"/>
        </w:rPr>
        <w:fldChar w:fldCharType="end"/>
      </w:r>
    </w:p>
    <w:p>
      <w:pPr>
        <w:spacing w:line="360" w:lineRule="auto"/>
        <w:ind w:firstLine="420" w:firstLineChars="200"/>
        <w:rPr>
          <w:rFonts w:ascii="宋体"/>
          <w:color w:val="000000" w:themeColor="text1"/>
          <w:szCs w:val="21"/>
        </w:rPr>
      </w:pPr>
      <w:r>
        <w:rPr>
          <w:rFonts w:ascii="宋体"/>
          <w:color w:val="000000" w:themeColor="text1"/>
          <w:szCs w:val="21"/>
        </w:rPr>
        <w:t>25.8.1</w:t>
      </w:r>
      <w:r>
        <w:rPr>
          <w:rFonts w:hint="eastAsia" w:ascii="宋体"/>
          <w:color w:val="000000" w:themeColor="text1"/>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rPr>
      </w:pPr>
      <w:r>
        <w:rPr>
          <w:rFonts w:hint="eastAsia" w:ascii="宋体"/>
          <w:color w:val="000000" w:themeColor="text1"/>
          <w:szCs w:val="21"/>
        </w:rPr>
        <w:t>2</w:t>
      </w:r>
      <w:r>
        <w:rPr>
          <w:rFonts w:ascii="宋体"/>
          <w:color w:val="000000" w:themeColor="text1"/>
          <w:szCs w:val="21"/>
        </w:rPr>
        <w:t>5.8.2</w:t>
      </w:r>
      <w:r>
        <w:rPr>
          <w:rFonts w:hint="eastAsia" w:ascii="宋体"/>
          <w:color w:val="000000" w:themeColor="text1"/>
          <w:szCs w:val="21"/>
        </w:rPr>
        <w:t>信用信息查询渠道：中国政府采购网（www.ccgp.gov.cn）、“信用中国”网站（</w:t>
      </w:r>
      <w:r>
        <w:fldChar w:fldCharType="begin"/>
      </w:r>
      <w:r>
        <w:instrText xml:space="preserve"> HYPERLINK "http://www.creditchina.gov.cn" </w:instrText>
      </w:r>
      <w:r>
        <w:fldChar w:fldCharType="separate"/>
      </w:r>
      <w:r>
        <w:rPr>
          <w:rStyle w:val="27"/>
          <w:rFonts w:hint="eastAsia" w:ascii="宋体"/>
          <w:color w:val="000000" w:themeColor="text1"/>
          <w:szCs w:val="21"/>
          <w:u w:val="none"/>
        </w:rPr>
        <w:t>www.creditchina.gov.cn</w:t>
      </w:r>
      <w:r>
        <w:rPr>
          <w:rStyle w:val="27"/>
          <w:rFonts w:hint="eastAsia" w:ascii="宋体"/>
          <w:color w:val="000000" w:themeColor="text1"/>
          <w:szCs w:val="21"/>
          <w:u w:val="none"/>
        </w:rPr>
        <w:fldChar w:fldCharType="end"/>
      </w:r>
      <w:r>
        <w:rPr>
          <w:rFonts w:hint="eastAsia" w:ascii="宋体"/>
          <w:color w:val="000000" w:themeColor="text1"/>
          <w:szCs w:val="21"/>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5798"/>
      <w:bookmarkStart w:id="29" w:name="_Toc18182"/>
      <w:bookmarkStart w:id="30" w:name="_Toc3218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w:pict>
                <v:line id="Line 2" o:spid="_x0000_s2051" o:spt="20" style="position:absolute;left:0pt;margin-left:-5.35pt;margin-top:1.05pt;height:38.85pt;width:143.95pt;z-index:251660288;mso-width-relative:page;mso-height-relative:page;" coordsize="21600,21600">
                  <v:path arrowok="t"/>
                  <v:fill focussize="0,0"/>
                  <v:stroke/>
                  <v:imagedata o:title=""/>
                  <o:lock v:ext="edit"/>
                </v:line>
              </w:pic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30444"/>
      <w:bookmarkStart w:id="32" w:name="_Toc27205"/>
      <w:bookmarkStart w:id="33" w:name="_Toc28927"/>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1"/>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1"/>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5"/>
        <w:rPr>
          <w:rFonts w:hAnsi="Courier New" w:cs="Tahoma"/>
          <w:b w:val="0"/>
          <w:kern w:val="2"/>
          <w:sz w:val="21"/>
        </w:rPr>
      </w:pPr>
      <w:bookmarkStart w:id="35" w:name="_Toc388283740"/>
      <w:bookmarkStart w:id="36" w:name="_Toc8931"/>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417656020"/>
      <w:bookmarkStart w:id="39" w:name="_Toc2221"/>
      <w:bookmarkStart w:id="40" w:name="_Toc413999568"/>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12884"/>
      <w:bookmarkStart w:id="42" w:name="_Toc417655994"/>
      <w:bookmarkStart w:id="43" w:name="_Toc401841853"/>
      <w:bookmarkStart w:id="44" w:name="_Toc40184161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28.2、成交人在收到成交通知书起10个工作日内，与采购人签订合同。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1"/>
        <w:spacing w:line="440" w:lineRule="exact"/>
        <w:ind w:firstLine="420" w:firstLineChars="200"/>
        <w:rPr>
          <w:rFonts w:hAnsi="宋体"/>
          <w:szCs w:val="21"/>
        </w:rPr>
      </w:pPr>
      <w:r>
        <w:rPr>
          <w:rFonts w:hint="eastAsia" w:hAnsi="宋体"/>
          <w:szCs w:val="21"/>
        </w:rPr>
        <w:t>29.3、履约保证金按合同条款约定退还。</w:t>
      </w:r>
    </w:p>
    <w:p>
      <w:pPr>
        <w:pStyle w:val="11"/>
        <w:spacing w:line="440" w:lineRule="exact"/>
        <w:ind w:firstLine="422" w:firstLineChars="200"/>
        <w:rPr>
          <w:rFonts w:hAnsi="宋体"/>
          <w:b/>
          <w:szCs w:val="21"/>
        </w:rPr>
      </w:pPr>
      <w:r>
        <w:rPr>
          <w:rFonts w:hint="eastAsia" w:hAnsi="宋体"/>
          <w:b/>
          <w:szCs w:val="21"/>
        </w:rPr>
        <w:t>30、未尽事宜</w:t>
      </w:r>
    </w:p>
    <w:p>
      <w:pPr>
        <w:pStyle w:val="11"/>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3"/>
        <w:numPr>
          <w:ilvl w:val="0"/>
          <w:numId w:val="4"/>
        </w:numPr>
      </w:pPr>
      <w:bookmarkStart w:id="45" w:name="_Toc6847641"/>
      <w:bookmarkStart w:id="46" w:name="_Toc18076"/>
      <w:r>
        <w:rPr>
          <w:rFonts w:hint="eastAsia"/>
        </w:rPr>
        <w:t>服务需求及技术要求</w:t>
      </w:r>
      <w:bookmarkEnd w:id="45"/>
      <w:bookmarkEnd w:id="46"/>
      <w:bookmarkStart w:id="47" w:name="_Toc4579"/>
      <w:bookmarkStart w:id="48" w:name="_Toc399143413"/>
      <w:bookmarkStart w:id="49" w:name="_Toc398819318"/>
    </w:p>
    <w:p>
      <w:pPr>
        <w:widowControl/>
        <w:numPr>
          <w:ilvl w:val="0"/>
          <w:numId w:val="5"/>
        </w:numPr>
        <w:spacing w:line="440" w:lineRule="exact"/>
        <w:jc w:val="left"/>
        <w:rPr>
          <w:szCs w:val="21"/>
        </w:rPr>
      </w:pPr>
      <w:r>
        <w:rPr>
          <w:rFonts w:hint="eastAsia" w:ascii="宋体" w:hAnsi="宋体" w:cs="宋体"/>
          <w:b/>
          <w:color w:val="000000"/>
          <w:kern w:val="0"/>
          <w:szCs w:val="21"/>
          <w:lang w:bidi="ar"/>
        </w:rPr>
        <w:t xml:space="preserve">采购内容： </w:t>
      </w:r>
    </w:p>
    <w:p>
      <w:pPr>
        <w:widowControl/>
        <w:spacing w:line="440" w:lineRule="exact"/>
        <w:jc w:val="left"/>
        <w:rPr>
          <w:szCs w:val="21"/>
        </w:rPr>
      </w:pPr>
      <w:r>
        <w:rPr>
          <w:rFonts w:hint="eastAsia" w:ascii="宋体" w:hAnsi="宋体" w:cs="宋体"/>
          <w:color w:val="000000"/>
          <w:kern w:val="0"/>
          <w:szCs w:val="21"/>
          <w:lang w:bidi="ar"/>
        </w:rPr>
        <w:t xml:space="preserve">（一）数据库专辑订购内容 </w:t>
      </w:r>
    </w:p>
    <w:p>
      <w:pPr>
        <w:widowControl/>
        <w:spacing w:line="440" w:lineRule="exact"/>
        <w:ind w:firstLine="840" w:firstLineChars="400"/>
        <w:jc w:val="left"/>
        <w:rPr>
          <w:szCs w:val="21"/>
        </w:rPr>
      </w:pPr>
      <w:r>
        <w:rPr>
          <w:rFonts w:hint="eastAsia" w:ascii="宋体" w:hAnsi="宋体" w:cs="宋体"/>
          <w:color w:val="000000"/>
          <w:kern w:val="0"/>
          <w:szCs w:val="21"/>
          <w:lang w:bidi="ar"/>
        </w:rPr>
        <w:t>期刊（B,C,D,F,G,H,I,J）</w:t>
      </w:r>
    </w:p>
    <w:p>
      <w:pPr>
        <w:widowControl/>
        <w:spacing w:line="440" w:lineRule="exact"/>
        <w:ind w:firstLine="840" w:firstLineChars="400"/>
        <w:jc w:val="left"/>
        <w:rPr>
          <w:szCs w:val="21"/>
        </w:rPr>
      </w:pPr>
      <w:r>
        <w:rPr>
          <w:rFonts w:hint="eastAsia" w:ascii="宋体" w:hAnsi="宋体" w:cs="宋体"/>
          <w:color w:val="000000"/>
          <w:kern w:val="0"/>
          <w:szCs w:val="21"/>
          <w:lang w:bidi="ar"/>
        </w:rPr>
        <w:t>博士（B,C,D,F,G,H,I,J）</w:t>
      </w:r>
    </w:p>
    <w:p>
      <w:pPr>
        <w:widowControl/>
        <w:spacing w:line="440" w:lineRule="exact"/>
        <w:ind w:firstLine="840" w:firstLineChars="400"/>
        <w:jc w:val="left"/>
        <w:rPr>
          <w:szCs w:val="21"/>
        </w:rPr>
      </w:pPr>
      <w:r>
        <w:rPr>
          <w:rFonts w:hint="eastAsia" w:ascii="宋体" w:hAnsi="宋体" w:cs="宋体"/>
          <w:color w:val="000000"/>
          <w:kern w:val="0"/>
          <w:szCs w:val="21"/>
          <w:lang w:bidi="ar"/>
        </w:rPr>
        <w:t>硕士（B,C,D,F,G,H,I,J）</w:t>
      </w:r>
    </w:p>
    <w:p>
      <w:pPr>
        <w:widowControl/>
        <w:spacing w:line="440" w:lineRule="exact"/>
        <w:ind w:firstLine="840" w:firstLineChars="400"/>
        <w:jc w:val="left"/>
        <w:rPr>
          <w:szCs w:val="21"/>
        </w:rPr>
      </w:pPr>
      <w:r>
        <w:rPr>
          <w:rFonts w:hint="eastAsia" w:ascii="宋体" w:hAnsi="宋体" w:cs="宋体"/>
          <w:color w:val="000000"/>
          <w:kern w:val="0"/>
          <w:szCs w:val="21"/>
          <w:lang w:bidi="ar"/>
        </w:rPr>
        <w:t>会议（B,C,D,F,G,H,I,J）</w:t>
      </w:r>
    </w:p>
    <w:p>
      <w:pPr>
        <w:widowControl/>
        <w:spacing w:line="440" w:lineRule="exact"/>
        <w:ind w:firstLine="840" w:firstLineChars="400"/>
        <w:jc w:val="left"/>
        <w:rPr>
          <w:rFonts w:ascii="宋体" w:hAnsi="宋体" w:cs="宋体"/>
          <w:color w:val="000000"/>
          <w:kern w:val="0"/>
          <w:szCs w:val="21"/>
          <w:lang w:bidi="ar"/>
        </w:rPr>
      </w:pPr>
      <w:r>
        <w:rPr>
          <w:rFonts w:hint="eastAsia" w:ascii="宋体" w:hAnsi="宋体" w:cs="宋体"/>
          <w:color w:val="000000"/>
          <w:kern w:val="0"/>
          <w:szCs w:val="21"/>
          <w:lang w:bidi="ar"/>
        </w:rPr>
        <w:t>报纸（B,C,D,F,G,H,I,J）</w:t>
      </w:r>
    </w:p>
    <w:p>
      <w:pPr>
        <w:widowControl/>
        <w:spacing w:line="440" w:lineRule="exact"/>
        <w:ind w:firstLine="840" w:firstLineChars="400"/>
        <w:jc w:val="left"/>
        <w:rPr>
          <w:rFonts w:ascii="宋体" w:hAnsi="宋体" w:cs="宋体"/>
          <w:color w:val="000000"/>
          <w:kern w:val="0"/>
          <w:szCs w:val="21"/>
          <w:lang w:bidi="ar"/>
        </w:rPr>
      </w:pPr>
      <w:r>
        <w:rPr>
          <w:rFonts w:hint="eastAsia" w:ascii="宋体" w:hAnsi="宋体" w:cs="宋体"/>
          <w:color w:val="000000"/>
          <w:kern w:val="0"/>
          <w:szCs w:val="21"/>
          <w:lang w:bidi="ar"/>
        </w:rPr>
        <w:t>年鉴（B,C,D,F,G,H,I,J）</w:t>
      </w:r>
    </w:p>
    <w:p>
      <w:pPr>
        <w:widowControl/>
        <w:spacing w:line="440" w:lineRule="exact"/>
        <w:ind w:firstLine="840" w:firstLineChars="400"/>
        <w:jc w:val="left"/>
        <w:rPr>
          <w:rFonts w:ascii="宋体" w:hAnsi="宋体" w:cs="宋体"/>
          <w:color w:val="000000"/>
          <w:kern w:val="0"/>
          <w:szCs w:val="21"/>
          <w:lang w:bidi="ar"/>
        </w:rPr>
      </w:pPr>
      <w:r>
        <w:rPr>
          <w:rFonts w:hint="eastAsia" w:ascii="宋体" w:hAnsi="宋体" w:cs="宋体"/>
          <w:color w:val="000000"/>
          <w:kern w:val="0"/>
          <w:szCs w:val="21"/>
          <w:lang w:bidi="ar"/>
        </w:rPr>
        <w:t>工具书（B,C,D,F,G,H,I,J）</w:t>
      </w:r>
    </w:p>
    <w:p>
      <w:pPr>
        <w:widowControl/>
        <w:spacing w:line="440" w:lineRule="exact"/>
        <w:ind w:firstLine="840" w:firstLineChars="400"/>
        <w:jc w:val="left"/>
        <w:rPr>
          <w:rFonts w:ascii="宋体" w:hAnsi="宋体" w:cs="宋体"/>
          <w:szCs w:val="21"/>
        </w:rPr>
      </w:pPr>
      <w:r>
        <w:rPr>
          <w:rFonts w:hint="eastAsia" w:ascii="宋体" w:hAnsi="宋体" w:cs="宋体"/>
          <w:color w:val="000000"/>
          <w:kern w:val="0"/>
          <w:szCs w:val="21"/>
          <w:lang w:bidi="ar"/>
        </w:rPr>
        <w:t>高等教育期刊库（</w:t>
      </w:r>
      <w:r>
        <w:rPr>
          <w:rFonts w:ascii="宋体" w:hAnsi="宋体" w:cs="宋体"/>
          <w:szCs w:val="21"/>
        </w:rPr>
        <w:t>R01,R02,R03,R04,R05,R06,R07,R08</w:t>
      </w:r>
      <w:r>
        <w:rPr>
          <w:rFonts w:hint="eastAsia" w:ascii="宋体" w:hAnsi="宋体" w:cs="宋体"/>
          <w:szCs w:val="21"/>
        </w:rPr>
        <w:t>）</w:t>
      </w:r>
    </w:p>
    <w:p>
      <w:pPr>
        <w:snapToGrid w:val="0"/>
        <w:spacing w:before="156" w:beforeLines="50" w:line="440" w:lineRule="exact"/>
        <w:ind w:firstLine="420" w:firstLineChars="200"/>
        <w:rPr>
          <w:rFonts w:ascii="宋体" w:hAnsi="宋体"/>
          <w:szCs w:val="21"/>
        </w:rPr>
      </w:pPr>
      <w:r>
        <w:rPr>
          <w:rFonts w:hint="eastAsia" w:ascii="宋体" w:hAnsi="宋体"/>
          <w:szCs w:val="21"/>
        </w:rPr>
        <w:t>使用方式：除工具书库(云租用)外，其余数据库均为托管模式。</w:t>
      </w:r>
    </w:p>
    <w:p>
      <w:pPr>
        <w:snapToGrid w:val="0"/>
        <w:spacing w:line="440" w:lineRule="exact"/>
        <w:ind w:firstLine="420" w:firstLineChars="200"/>
        <w:rPr>
          <w:rFonts w:ascii="宋体" w:hAnsi="宋体"/>
          <w:szCs w:val="21"/>
        </w:rPr>
      </w:pPr>
      <w:r>
        <w:rPr>
          <w:rFonts w:hint="eastAsia" w:ascii="宋体" w:hAnsi="宋体"/>
          <w:szCs w:val="21"/>
        </w:rPr>
        <w:t>另：（1）服务期内提供不低于两次到校培训；</w:t>
      </w:r>
    </w:p>
    <w:p>
      <w:pPr>
        <w:snapToGrid w:val="0"/>
        <w:spacing w:line="440" w:lineRule="exact"/>
        <w:ind w:firstLine="840" w:firstLineChars="400"/>
        <w:rPr>
          <w:szCs w:val="21"/>
        </w:rPr>
      </w:pPr>
      <w:r>
        <w:rPr>
          <w:rFonts w:hint="eastAsia" w:ascii="宋体" w:hAnsi="宋体"/>
          <w:szCs w:val="21"/>
        </w:rPr>
        <w:t>（2）赠送漫游账号50个，个人馆100个；</w:t>
      </w:r>
    </w:p>
    <w:p>
      <w:pPr>
        <w:widowControl/>
        <w:spacing w:line="440" w:lineRule="exact"/>
        <w:jc w:val="left"/>
        <w:rPr>
          <w:rFonts w:ascii="宋体" w:hAnsi="宋体" w:cs="宋体"/>
          <w:color w:val="000000"/>
          <w:kern w:val="0"/>
          <w:szCs w:val="21"/>
          <w:lang w:bidi="ar"/>
        </w:rPr>
      </w:pPr>
      <w:r>
        <w:rPr>
          <w:rFonts w:hint="eastAsia" w:ascii="宋体" w:hAnsi="宋体" w:cs="宋体"/>
          <w:color w:val="000000"/>
          <w:kern w:val="0"/>
          <w:szCs w:val="21"/>
          <w:lang w:bidi="ar"/>
        </w:rPr>
        <w:t>（二）采购内容参数要求</w:t>
      </w:r>
    </w:p>
    <w:p>
      <w:pPr>
        <w:widowControl/>
        <w:numPr>
          <w:ilvl w:val="0"/>
          <w:numId w:val="6"/>
        </w:numPr>
        <w:spacing w:line="440" w:lineRule="exact"/>
        <w:jc w:val="left"/>
        <w:rPr>
          <w:szCs w:val="21"/>
        </w:rPr>
      </w:pPr>
      <w:r>
        <w:rPr>
          <w:rFonts w:hint="eastAsia" w:ascii="宋体" w:hAnsi="宋体" w:cs="宋体"/>
          <w:b/>
          <w:bCs/>
          <w:color w:val="000000"/>
          <w:kern w:val="0"/>
          <w:szCs w:val="21"/>
          <w:lang w:bidi="ar"/>
        </w:rPr>
        <w:t>期刊要求</w:t>
      </w:r>
      <w:r>
        <w:rPr>
          <w:rFonts w:hint="eastAsia" w:ascii="宋体" w:hAnsi="宋体" w:cs="宋体"/>
          <w:color w:val="000000"/>
          <w:kern w:val="0"/>
          <w:szCs w:val="21"/>
          <w:lang w:bidi="ar"/>
        </w:rPr>
        <w:t xml:space="preserve"> </w:t>
      </w:r>
    </w:p>
    <w:p>
      <w:pPr>
        <w:widowControl/>
        <w:numPr>
          <w:ilvl w:val="0"/>
          <w:numId w:val="7"/>
        </w:numPr>
        <w:spacing w:line="440" w:lineRule="exact"/>
        <w:jc w:val="left"/>
        <w:rPr>
          <w:szCs w:val="21"/>
        </w:rPr>
      </w:pPr>
      <w:r>
        <w:rPr>
          <w:rFonts w:hint="eastAsia" w:ascii="宋体" w:hAnsi="宋体" w:cs="宋体"/>
          <w:color w:val="000000"/>
          <w:kern w:val="0"/>
          <w:szCs w:val="21"/>
          <w:lang w:bidi="ar"/>
        </w:rPr>
        <w:t xml:space="preserve">要求期刊文献收录期数完整率不低于99%。 </w:t>
      </w:r>
    </w:p>
    <w:p>
      <w:pPr>
        <w:widowControl/>
        <w:numPr>
          <w:ilvl w:val="0"/>
          <w:numId w:val="7"/>
        </w:numPr>
        <w:spacing w:line="440" w:lineRule="exact"/>
        <w:jc w:val="left"/>
        <w:rPr>
          <w:szCs w:val="21"/>
        </w:rPr>
      </w:pPr>
      <w:r>
        <w:rPr>
          <w:rFonts w:hint="eastAsia" w:ascii="宋体" w:hAnsi="宋体" w:cs="宋体"/>
          <w:color w:val="000000"/>
          <w:kern w:val="0"/>
          <w:szCs w:val="21"/>
          <w:lang w:bidi="ar"/>
        </w:rPr>
        <w:t xml:space="preserve">具备知识联想即文献扩展链接功能，可以从一篇文章的全文直接进入这篇文章的参考文献、被引用文献、相似文献等，智能化的学习了解某个知识或学科的来龙去脉。并且可以链接到博硕论文、会议论文、报纸等其他数据库。 </w:t>
      </w:r>
    </w:p>
    <w:p>
      <w:pPr>
        <w:widowControl/>
        <w:numPr>
          <w:ilvl w:val="0"/>
          <w:numId w:val="7"/>
        </w:numPr>
        <w:spacing w:line="440" w:lineRule="exact"/>
        <w:jc w:val="left"/>
        <w:rPr>
          <w:szCs w:val="21"/>
        </w:rPr>
      </w:pPr>
      <w:r>
        <w:rPr>
          <w:rFonts w:hint="eastAsia" w:ascii="宋体" w:hAnsi="宋体" w:cs="宋体"/>
          <w:color w:val="000000"/>
          <w:kern w:val="0"/>
          <w:szCs w:val="21"/>
          <w:lang w:bidi="ar"/>
        </w:rPr>
        <w:t xml:space="preserve">具备初级、高级检索功能，可自由增加或减少检索项条件。具备同句、同段检索控制功能。 </w:t>
      </w:r>
    </w:p>
    <w:p>
      <w:pPr>
        <w:widowControl/>
        <w:numPr>
          <w:ilvl w:val="0"/>
          <w:numId w:val="7"/>
        </w:numPr>
        <w:spacing w:line="440" w:lineRule="exact"/>
        <w:jc w:val="left"/>
        <w:rPr>
          <w:szCs w:val="21"/>
        </w:rPr>
      </w:pPr>
      <w:r>
        <w:rPr>
          <w:rFonts w:hint="eastAsia" w:ascii="宋体" w:hAnsi="宋体" w:cs="宋体"/>
          <w:color w:val="000000"/>
          <w:kern w:val="0"/>
          <w:szCs w:val="21"/>
          <w:lang w:bidi="ar"/>
        </w:rPr>
        <w:t xml:space="preserve">要求不低于3800种期刊收录可回溯至创刊。累计收录不低于5500余种期刊，文献总量不低于4700万余篇。  </w:t>
      </w:r>
    </w:p>
    <w:p>
      <w:pPr>
        <w:widowControl/>
        <w:numPr>
          <w:ilvl w:val="0"/>
          <w:numId w:val="6"/>
        </w:numPr>
        <w:spacing w:line="440" w:lineRule="exact"/>
        <w:jc w:val="left"/>
        <w:rPr>
          <w:szCs w:val="21"/>
        </w:rPr>
      </w:pPr>
      <w:r>
        <w:rPr>
          <w:rFonts w:hint="eastAsia" w:ascii="宋体" w:hAnsi="宋体" w:cs="宋体"/>
          <w:b/>
          <w:bCs/>
          <w:color w:val="000000"/>
          <w:kern w:val="0"/>
          <w:szCs w:val="21"/>
          <w:lang w:bidi="ar"/>
        </w:rPr>
        <w:t>博士论文库要求</w:t>
      </w:r>
      <w:r>
        <w:rPr>
          <w:rFonts w:hint="eastAsia" w:ascii="宋体" w:hAnsi="宋体" w:cs="宋体"/>
          <w:color w:val="000000"/>
          <w:kern w:val="0"/>
          <w:szCs w:val="21"/>
          <w:lang w:bidi="ar"/>
        </w:rPr>
        <w:t xml:space="preserve"> </w:t>
      </w:r>
    </w:p>
    <w:p>
      <w:pPr>
        <w:widowControl/>
        <w:numPr>
          <w:ilvl w:val="0"/>
          <w:numId w:val="8"/>
        </w:numPr>
        <w:spacing w:line="440" w:lineRule="exact"/>
        <w:jc w:val="left"/>
        <w:rPr>
          <w:szCs w:val="21"/>
        </w:rPr>
      </w:pPr>
      <w:r>
        <w:rPr>
          <w:rFonts w:hint="eastAsia" w:ascii="宋体" w:hAnsi="宋体" w:cs="宋体"/>
          <w:color w:val="000000"/>
          <w:kern w:val="0"/>
          <w:szCs w:val="21"/>
          <w:lang w:bidi="ar"/>
        </w:rPr>
        <w:t xml:space="preserve">要求论文网络出版更新时间平均不迟于论文答辩日期之后2个月。 </w:t>
      </w:r>
    </w:p>
    <w:p>
      <w:pPr>
        <w:widowControl/>
        <w:numPr>
          <w:ilvl w:val="0"/>
          <w:numId w:val="8"/>
        </w:numPr>
        <w:spacing w:line="440" w:lineRule="exact"/>
        <w:jc w:val="left"/>
        <w:rPr>
          <w:szCs w:val="21"/>
        </w:rPr>
      </w:pPr>
      <w:r>
        <w:rPr>
          <w:rFonts w:hint="eastAsia" w:ascii="宋体" w:hAnsi="宋体" w:cs="宋体"/>
          <w:color w:val="000000"/>
          <w:kern w:val="0"/>
          <w:szCs w:val="21"/>
          <w:lang w:bidi="ar"/>
        </w:rPr>
        <w:t xml:space="preserve">要求收录不低于470家博士培养单位（涉及国家保密的单位除外）的博士学位论文，累计收录博士论文不低于35万余篇。 </w:t>
      </w:r>
    </w:p>
    <w:p>
      <w:pPr>
        <w:widowControl/>
        <w:numPr>
          <w:ilvl w:val="0"/>
          <w:numId w:val="8"/>
        </w:numPr>
        <w:spacing w:line="440" w:lineRule="exact"/>
        <w:jc w:val="left"/>
        <w:rPr>
          <w:rFonts w:ascii="宋体" w:hAnsi="宋体" w:cs="宋体"/>
          <w:color w:val="000000"/>
          <w:kern w:val="0"/>
          <w:szCs w:val="21"/>
          <w:lang w:bidi="ar"/>
        </w:rPr>
      </w:pPr>
      <w:r>
        <w:rPr>
          <w:rFonts w:hint="eastAsia" w:ascii="宋体" w:hAnsi="宋体" w:cs="宋体"/>
          <w:color w:val="000000"/>
          <w:kern w:val="0"/>
          <w:szCs w:val="21"/>
          <w:lang w:bidi="ar"/>
        </w:rPr>
        <w:t>要求能够实现与其他数据库包括期刊、会议论文、报纸、工具书、专利、标准、科技成果等数据库整合使用，并相互链接，作为读者学习的助手。</w:t>
      </w:r>
    </w:p>
    <w:p>
      <w:pPr>
        <w:widowControl/>
        <w:numPr>
          <w:ilvl w:val="0"/>
          <w:numId w:val="8"/>
        </w:numPr>
        <w:spacing w:line="440" w:lineRule="exact"/>
        <w:jc w:val="left"/>
        <w:rPr>
          <w:szCs w:val="21"/>
        </w:rPr>
      </w:pPr>
      <w:r>
        <w:rPr>
          <w:rFonts w:hint="eastAsia" w:ascii="宋体" w:hAnsi="宋体" w:cs="宋体"/>
          <w:color w:val="000000"/>
          <w:kern w:val="0"/>
          <w:szCs w:val="21"/>
          <w:lang w:bidi="ar"/>
        </w:rPr>
        <w:t>博士论文要求能够与其它数据库实现跨库检索，多个数据库可以实现一站式检索，动态链接。</w:t>
      </w:r>
    </w:p>
    <w:p>
      <w:pPr>
        <w:widowControl/>
        <w:numPr>
          <w:ilvl w:val="0"/>
          <w:numId w:val="6"/>
        </w:numPr>
        <w:spacing w:line="440" w:lineRule="exact"/>
        <w:jc w:val="left"/>
        <w:rPr>
          <w:szCs w:val="21"/>
        </w:rPr>
      </w:pPr>
      <w:r>
        <w:rPr>
          <w:rFonts w:hint="eastAsia" w:ascii="宋体" w:hAnsi="宋体" w:cs="宋体"/>
          <w:b/>
          <w:bCs/>
          <w:color w:val="000000"/>
          <w:kern w:val="0"/>
          <w:szCs w:val="21"/>
          <w:lang w:bidi="ar"/>
        </w:rPr>
        <w:t>硕士论文库要求</w:t>
      </w:r>
      <w:r>
        <w:rPr>
          <w:rFonts w:hint="eastAsia" w:ascii="宋体" w:hAnsi="宋体" w:cs="宋体"/>
          <w:color w:val="000000"/>
          <w:kern w:val="0"/>
          <w:szCs w:val="21"/>
          <w:lang w:bidi="ar"/>
        </w:rPr>
        <w:t xml:space="preserve"> </w:t>
      </w:r>
    </w:p>
    <w:p>
      <w:pPr>
        <w:widowControl/>
        <w:numPr>
          <w:ilvl w:val="0"/>
          <w:numId w:val="9"/>
        </w:numPr>
        <w:spacing w:line="440" w:lineRule="exact"/>
        <w:jc w:val="left"/>
        <w:rPr>
          <w:szCs w:val="21"/>
        </w:rPr>
      </w:pPr>
      <w:r>
        <w:rPr>
          <w:rFonts w:hint="eastAsia" w:ascii="宋体" w:hAnsi="宋体" w:cs="宋体"/>
          <w:color w:val="000000"/>
          <w:kern w:val="0"/>
          <w:szCs w:val="21"/>
          <w:lang w:bidi="ar"/>
        </w:rPr>
        <w:t xml:space="preserve">论文网络出版更新时间平均不迟于论文答辩日期之后2个月。 </w:t>
      </w:r>
    </w:p>
    <w:p>
      <w:pPr>
        <w:widowControl/>
        <w:numPr>
          <w:ilvl w:val="0"/>
          <w:numId w:val="9"/>
        </w:numPr>
        <w:spacing w:line="440" w:lineRule="exact"/>
        <w:jc w:val="left"/>
        <w:rPr>
          <w:szCs w:val="21"/>
        </w:rPr>
      </w:pPr>
      <w:r>
        <w:rPr>
          <w:rFonts w:hint="eastAsia" w:ascii="宋体" w:hAnsi="宋体" w:cs="宋体"/>
          <w:color w:val="000000"/>
          <w:kern w:val="0"/>
          <w:szCs w:val="21"/>
          <w:lang w:bidi="ar"/>
        </w:rPr>
        <w:t xml:space="preserve">收录不低于700家硕士培养单位（涉及国家保密的单位除外）的硕士学位论文。累计收录硕士论文不低于380万余篇。 </w:t>
      </w:r>
    </w:p>
    <w:p>
      <w:pPr>
        <w:widowControl/>
        <w:numPr>
          <w:ilvl w:val="0"/>
          <w:numId w:val="9"/>
        </w:numPr>
        <w:spacing w:line="440" w:lineRule="exact"/>
        <w:jc w:val="left"/>
        <w:rPr>
          <w:szCs w:val="21"/>
        </w:rPr>
      </w:pPr>
      <w:r>
        <w:rPr>
          <w:rFonts w:hint="eastAsia" w:ascii="宋体" w:hAnsi="宋体" w:cs="宋体"/>
          <w:color w:val="000000"/>
          <w:kern w:val="0"/>
          <w:szCs w:val="21"/>
          <w:lang w:bidi="ar"/>
        </w:rPr>
        <w:t xml:space="preserve">要求能够实现与其他数据库包括期刊、会议论文、报纸、工具书、专利、标准、科技成果等数据库整合使用，并相互链接，作为读者学习的助手。 </w:t>
      </w:r>
    </w:p>
    <w:p>
      <w:pPr>
        <w:widowControl/>
        <w:numPr>
          <w:ilvl w:val="0"/>
          <w:numId w:val="9"/>
        </w:numPr>
        <w:spacing w:line="440" w:lineRule="exact"/>
        <w:jc w:val="left"/>
        <w:rPr>
          <w:szCs w:val="21"/>
        </w:rPr>
      </w:pPr>
      <w:r>
        <w:rPr>
          <w:rFonts w:hint="eastAsia" w:ascii="宋体" w:hAnsi="宋体" w:cs="宋体"/>
          <w:color w:val="000000"/>
          <w:kern w:val="0"/>
          <w:szCs w:val="21"/>
          <w:lang w:bidi="ar"/>
        </w:rPr>
        <w:t xml:space="preserve">硕士论文要求能够与其它数据库实现跨库检索，多个数据库可以实现一站式检索，动态链接。 </w:t>
      </w:r>
    </w:p>
    <w:p>
      <w:pPr>
        <w:widowControl/>
        <w:numPr>
          <w:ilvl w:val="0"/>
          <w:numId w:val="6"/>
        </w:numPr>
        <w:spacing w:line="440" w:lineRule="exact"/>
        <w:jc w:val="left"/>
        <w:rPr>
          <w:szCs w:val="21"/>
        </w:rPr>
      </w:pPr>
      <w:r>
        <w:rPr>
          <w:rFonts w:hint="eastAsia" w:ascii="宋体" w:hAnsi="宋体" w:cs="宋体"/>
          <w:b/>
          <w:bCs/>
          <w:color w:val="000000"/>
          <w:kern w:val="0"/>
          <w:szCs w:val="21"/>
          <w:lang w:bidi="ar"/>
        </w:rPr>
        <w:t>会议论文库要求</w:t>
      </w:r>
      <w:r>
        <w:rPr>
          <w:rFonts w:hint="eastAsia" w:ascii="宋体" w:hAnsi="宋体" w:cs="宋体"/>
          <w:color w:val="000000"/>
          <w:kern w:val="0"/>
          <w:szCs w:val="21"/>
          <w:lang w:bidi="ar"/>
        </w:rPr>
        <w:t xml:space="preserve"> </w:t>
      </w:r>
    </w:p>
    <w:p>
      <w:pPr>
        <w:widowControl/>
        <w:numPr>
          <w:ilvl w:val="0"/>
          <w:numId w:val="10"/>
        </w:numPr>
        <w:spacing w:line="440" w:lineRule="exact"/>
        <w:jc w:val="left"/>
        <w:rPr>
          <w:szCs w:val="21"/>
        </w:rPr>
      </w:pPr>
      <w:r>
        <w:rPr>
          <w:rFonts w:hint="eastAsia" w:ascii="宋体" w:hAnsi="宋体" w:cs="宋体"/>
          <w:color w:val="000000"/>
          <w:kern w:val="0"/>
          <w:szCs w:val="21"/>
          <w:lang w:bidi="ar"/>
        </w:rPr>
        <w:t xml:space="preserve">要求汇集了国内近3万次重要会议主办单位或论文汇编单位书面授权投稿的论文，基本囊括了我国各学科重要会议论文，是我国第一个连续出版重要会议论文的全文数据库。 </w:t>
      </w:r>
    </w:p>
    <w:p>
      <w:pPr>
        <w:widowControl/>
        <w:numPr>
          <w:ilvl w:val="0"/>
          <w:numId w:val="10"/>
        </w:numPr>
        <w:spacing w:line="440" w:lineRule="exact"/>
        <w:jc w:val="left"/>
        <w:rPr>
          <w:szCs w:val="21"/>
        </w:rPr>
      </w:pPr>
      <w:r>
        <w:rPr>
          <w:rFonts w:hint="eastAsia" w:ascii="宋体" w:hAnsi="宋体" w:cs="宋体"/>
          <w:color w:val="000000"/>
          <w:kern w:val="0"/>
          <w:szCs w:val="21"/>
          <w:lang w:bidi="ar"/>
        </w:rPr>
        <w:t xml:space="preserve">要求累计收录论文230万余篇。要求国家一级学会、协会召开的会议产出的论文收全率占95%以上。 </w:t>
      </w:r>
    </w:p>
    <w:p>
      <w:pPr>
        <w:widowControl/>
        <w:numPr>
          <w:ilvl w:val="0"/>
          <w:numId w:val="6"/>
        </w:numPr>
        <w:spacing w:line="440" w:lineRule="exact"/>
        <w:jc w:val="left"/>
        <w:rPr>
          <w:szCs w:val="21"/>
        </w:rPr>
      </w:pPr>
      <w:r>
        <w:rPr>
          <w:rFonts w:hint="eastAsia" w:ascii="宋体" w:hAnsi="宋体" w:cs="宋体"/>
          <w:b/>
          <w:bCs/>
          <w:color w:val="000000"/>
          <w:kern w:val="0"/>
          <w:szCs w:val="21"/>
          <w:lang w:bidi="ar"/>
        </w:rPr>
        <w:t xml:space="preserve">重要报纸库要求 </w:t>
      </w:r>
    </w:p>
    <w:p>
      <w:pPr>
        <w:widowControl/>
        <w:numPr>
          <w:ilvl w:val="0"/>
          <w:numId w:val="11"/>
        </w:numPr>
        <w:spacing w:line="440" w:lineRule="exact"/>
        <w:jc w:val="left"/>
        <w:rPr>
          <w:szCs w:val="21"/>
        </w:rPr>
      </w:pPr>
      <w:r>
        <w:rPr>
          <w:rFonts w:hint="eastAsia" w:ascii="宋体" w:hAnsi="宋体" w:cs="宋体"/>
          <w:color w:val="000000"/>
          <w:kern w:val="0"/>
          <w:szCs w:val="21"/>
          <w:lang w:bidi="ar"/>
        </w:rPr>
        <w:t xml:space="preserve">要求收录各级党报及特色行业报等重要报纸不低于530种；收录了2000年以来的重要新闻和学术文献资料。网络出版平均滞后报纸印刷出版3天。 </w:t>
      </w:r>
    </w:p>
    <w:p>
      <w:pPr>
        <w:widowControl/>
        <w:numPr>
          <w:ilvl w:val="0"/>
          <w:numId w:val="11"/>
        </w:numPr>
        <w:spacing w:line="440" w:lineRule="exact"/>
        <w:jc w:val="left"/>
        <w:rPr>
          <w:szCs w:val="21"/>
        </w:rPr>
      </w:pPr>
      <w:r>
        <w:rPr>
          <w:rFonts w:hint="eastAsia" w:ascii="宋体" w:hAnsi="宋体" w:cs="宋体"/>
          <w:color w:val="000000"/>
          <w:kern w:val="0"/>
          <w:szCs w:val="21"/>
          <w:lang w:bidi="ar"/>
        </w:rPr>
        <w:t>要求收录中央级各类报纸，各省、自治区、直辖市及其他地市级城市党报，以及面向全国公开发行的具有一定影响力的特色重要行业性报纸。</w:t>
      </w:r>
    </w:p>
    <w:p>
      <w:pPr>
        <w:widowControl/>
        <w:numPr>
          <w:ilvl w:val="0"/>
          <w:numId w:val="6"/>
        </w:numPr>
        <w:spacing w:line="440" w:lineRule="exact"/>
        <w:jc w:val="left"/>
        <w:rPr>
          <w:rFonts w:ascii="宋体" w:hAnsi="宋体" w:cs="宋体"/>
          <w:b/>
          <w:bCs/>
          <w:color w:val="000000"/>
          <w:kern w:val="0"/>
          <w:szCs w:val="21"/>
          <w:lang w:bidi="ar"/>
        </w:rPr>
      </w:pPr>
      <w:r>
        <w:rPr>
          <w:rFonts w:hint="eastAsia" w:ascii="宋体" w:hAnsi="宋体" w:cs="宋体"/>
          <w:b/>
          <w:bCs/>
          <w:color w:val="000000"/>
          <w:kern w:val="0"/>
          <w:szCs w:val="21"/>
          <w:lang w:bidi="ar"/>
        </w:rPr>
        <w:t>年鉴库要求</w:t>
      </w:r>
    </w:p>
    <w:p>
      <w:pPr>
        <w:widowControl/>
        <w:numPr>
          <w:ilvl w:val="0"/>
          <w:numId w:val="12"/>
        </w:numPr>
        <w:spacing w:line="440" w:lineRule="exact"/>
        <w:jc w:val="left"/>
        <w:rPr>
          <w:szCs w:val="21"/>
        </w:rPr>
      </w:pPr>
      <w:r>
        <w:rPr>
          <w:rFonts w:hint="eastAsia"/>
          <w:szCs w:val="21"/>
        </w:rPr>
        <w:t>要求累计收录各类年鉴5320种，共计40000册。文献条目数约3770万条。</w:t>
      </w:r>
    </w:p>
    <w:p>
      <w:pPr>
        <w:widowControl/>
        <w:numPr>
          <w:ilvl w:val="0"/>
          <w:numId w:val="12"/>
        </w:numPr>
        <w:spacing w:line="440" w:lineRule="exact"/>
        <w:jc w:val="left"/>
        <w:rPr>
          <w:szCs w:val="21"/>
        </w:rPr>
      </w:pPr>
      <w:r>
        <w:rPr>
          <w:rFonts w:hint="eastAsia"/>
          <w:szCs w:val="21"/>
        </w:rPr>
        <w:t>要求可按行业、地域、专辑、出版社浏览各类年鉴，读者可按目录浏览条目；</w:t>
      </w:r>
    </w:p>
    <w:p>
      <w:pPr>
        <w:widowControl/>
        <w:numPr>
          <w:ilvl w:val="0"/>
          <w:numId w:val="12"/>
        </w:numPr>
        <w:spacing w:line="440" w:lineRule="exact"/>
        <w:jc w:val="left"/>
        <w:rPr>
          <w:szCs w:val="21"/>
        </w:rPr>
      </w:pPr>
      <w:r>
        <w:rPr>
          <w:rFonts w:hint="eastAsia"/>
          <w:szCs w:val="21"/>
        </w:rPr>
        <w:t>要求在检索前可通过三种检索导航模式（行业分类、专辑分类、地域分类），限定检索范围，控制检索区域，精确检索结果。</w:t>
      </w:r>
    </w:p>
    <w:p>
      <w:pPr>
        <w:widowControl/>
        <w:numPr>
          <w:ilvl w:val="0"/>
          <w:numId w:val="12"/>
        </w:numPr>
        <w:spacing w:line="440" w:lineRule="exact"/>
        <w:jc w:val="left"/>
        <w:rPr>
          <w:szCs w:val="21"/>
        </w:rPr>
      </w:pPr>
      <w:r>
        <w:rPr>
          <w:szCs w:val="21"/>
        </w:rPr>
        <w:t xml:space="preserve">可以实现与其他数据库的链接，作为读者学习的助手，随时为读者答疑解惑。 </w:t>
      </w:r>
    </w:p>
    <w:p>
      <w:pPr>
        <w:widowControl/>
        <w:numPr>
          <w:ilvl w:val="0"/>
          <w:numId w:val="6"/>
        </w:numPr>
        <w:spacing w:line="440" w:lineRule="exact"/>
        <w:jc w:val="left"/>
        <w:rPr>
          <w:rFonts w:ascii="宋体" w:hAnsi="宋体" w:cs="宋体"/>
          <w:b/>
          <w:bCs/>
          <w:color w:val="000000"/>
          <w:kern w:val="0"/>
          <w:szCs w:val="21"/>
          <w:lang w:bidi="ar"/>
        </w:rPr>
      </w:pPr>
      <w:r>
        <w:rPr>
          <w:rFonts w:hint="eastAsia" w:ascii="宋体" w:hAnsi="宋体" w:cs="宋体"/>
          <w:b/>
          <w:bCs/>
          <w:color w:val="000000"/>
          <w:kern w:val="0"/>
          <w:szCs w:val="21"/>
          <w:lang w:bidi="ar"/>
        </w:rPr>
        <w:t>工具书总库要求</w:t>
      </w:r>
    </w:p>
    <w:p>
      <w:pPr>
        <w:widowControl/>
        <w:numPr>
          <w:ilvl w:val="0"/>
          <w:numId w:val="13"/>
        </w:numPr>
        <w:spacing w:line="440" w:lineRule="exact"/>
        <w:jc w:val="left"/>
        <w:rPr>
          <w:szCs w:val="21"/>
        </w:rPr>
      </w:pPr>
      <w:r>
        <w:rPr>
          <w:rFonts w:hint="eastAsia"/>
          <w:szCs w:val="21"/>
        </w:rPr>
        <w:t>要求内容涵盖社会科学、自然科学、工程技术等各个方面，以全学科、多领域的“总库”整合模式，构建了完整、系统、规范和有序的知识库。</w:t>
      </w:r>
    </w:p>
    <w:p>
      <w:pPr>
        <w:widowControl/>
        <w:numPr>
          <w:ilvl w:val="0"/>
          <w:numId w:val="13"/>
        </w:numPr>
        <w:spacing w:line="440" w:lineRule="exact"/>
        <w:jc w:val="left"/>
        <w:rPr>
          <w:szCs w:val="21"/>
        </w:rPr>
      </w:pPr>
      <w:r>
        <w:rPr>
          <w:rFonts w:hint="eastAsia"/>
          <w:szCs w:val="21"/>
        </w:rPr>
        <w:t>要求收录资源类型分辞书和资料两个大类，辞书类型包括汉语言词典、英语和小语种词典、专科辞典、百科全书、鉴赏辞典等等，资料类型包括手册指南、图谱、医药图谱、年表、名录、语录、传记、志书、类书、资料集等等。</w:t>
      </w:r>
    </w:p>
    <w:p>
      <w:pPr>
        <w:widowControl/>
        <w:numPr>
          <w:ilvl w:val="0"/>
          <w:numId w:val="13"/>
        </w:numPr>
        <w:spacing w:line="440" w:lineRule="exact"/>
        <w:jc w:val="left"/>
        <w:rPr>
          <w:szCs w:val="21"/>
        </w:rPr>
      </w:pPr>
      <w:r>
        <w:rPr>
          <w:rFonts w:hint="eastAsia"/>
          <w:szCs w:val="21"/>
        </w:rPr>
        <w:t>除了作为检索工具外，工具书库中的各条目要求可与期刊文献、博硕士论文等建立链接关系，即读者在阅读过程中如遇到了生僻字、术语、专名等疑难时，可直接点击鼠标，通过划词链接或屏幕取词的方式进入工具书条目中，扫除学习障碍，也提升原有文献的价值。</w:t>
      </w:r>
    </w:p>
    <w:p>
      <w:pPr>
        <w:widowControl/>
        <w:numPr>
          <w:ilvl w:val="0"/>
          <w:numId w:val="6"/>
        </w:numPr>
        <w:spacing w:line="440" w:lineRule="exact"/>
        <w:jc w:val="left"/>
        <w:rPr>
          <w:rFonts w:ascii="宋体" w:hAnsi="宋体" w:cs="宋体"/>
          <w:b/>
          <w:bCs/>
          <w:color w:val="000000"/>
          <w:kern w:val="0"/>
          <w:szCs w:val="21"/>
          <w:lang w:val="zh-CN" w:bidi="ar"/>
        </w:rPr>
      </w:pPr>
      <w:r>
        <w:rPr>
          <w:rFonts w:hint="eastAsia" w:ascii="宋体" w:hAnsi="宋体" w:cs="宋体"/>
          <w:b/>
          <w:bCs/>
          <w:color w:val="000000"/>
          <w:kern w:val="0"/>
          <w:szCs w:val="21"/>
          <w:lang w:val="zh-CN" w:bidi="ar"/>
        </w:rPr>
        <w:t>中国高等教育期刊文献总库</w:t>
      </w:r>
    </w:p>
    <w:p>
      <w:pPr>
        <w:widowControl/>
        <w:numPr>
          <w:ilvl w:val="0"/>
          <w:numId w:val="14"/>
        </w:numPr>
        <w:spacing w:line="440" w:lineRule="exact"/>
        <w:jc w:val="left"/>
        <w:rPr>
          <w:rFonts w:ascii="宋体" w:hAnsi="宋体" w:cs="宋体"/>
          <w:szCs w:val="21"/>
          <w:lang w:val="zh-CN"/>
        </w:rPr>
      </w:pPr>
      <w:r>
        <w:rPr>
          <w:rFonts w:hint="eastAsia" w:ascii="宋体" w:hAnsi="宋体" w:cs="宋体"/>
          <w:szCs w:val="21"/>
        </w:rPr>
        <w:t>要求</w:t>
      </w:r>
      <w:r>
        <w:rPr>
          <w:rFonts w:hint="eastAsia" w:ascii="宋体" w:hAnsi="宋体" w:cs="宋体"/>
          <w:szCs w:val="21"/>
          <w:lang w:val="zh-CN"/>
        </w:rPr>
        <w:t>全面集成整合我国高等教育、职业教育、教学类期刊文献的全文数据库，为高等院校和职业院校的教育、教学研究、学校管理、教师备课、学生学习等提供相关信息资源，更好地满足高等院校师生对专业知识的查找、学习、交流、评论、保存等各方面的需求。</w:t>
      </w:r>
    </w:p>
    <w:p>
      <w:pPr>
        <w:widowControl/>
        <w:numPr>
          <w:ilvl w:val="0"/>
          <w:numId w:val="14"/>
        </w:numPr>
        <w:spacing w:line="440" w:lineRule="exact"/>
        <w:jc w:val="left"/>
        <w:rPr>
          <w:szCs w:val="21"/>
        </w:rPr>
      </w:pPr>
      <w:r>
        <w:rPr>
          <w:rFonts w:hint="eastAsia" w:ascii="宋体" w:hAnsi="宋体" w:cs="宋体"/>
          <w:szCs w:val="21"/>
          <w:lang w:val="zh-CN"/>
        </w:rPr>
        <w:t>收录1951年至今5</w:t>
      </w:r>
      <w:r>
        <w:rPr>
          <w:rFonts w:hint="eastAsia" w:ascii="宋体" w:hAnsi="宋体" w:cs="宋体"/>
          <w:szCs w:val="21"/>
        </w:rPr>
        <w:t>00余</w:t>
      </w:r>
      <w:r>
        <w:rPr>
          <w:rFonts w:hint="eastAsia" w:ascii="宋体" w:hAnsi="宋体" w:cs="宋体"/>
          <w:szCs w:val="21"/>
          <w:lang w:val="zh-CN"/>
        </w:rPr>
        <w:t>种我国正式出版发行的高等教育教学类期刊以及其他学术期刊中与高等教育教学有关的文献。</w:t>
      </w:r>
    </w:p>
    <w:p>
      <w:pPr>
        <w:widowControl/>
        <w:numPr>
          <w:ilvl w:val="0"/>
          <w:numId w:val="5"/>
        </w:numPr>
        <w:spacing w:line="440" w:lineRule="exact"/>
        <w:jc w:val="left"/>
        <w:rPr>
          <w:rFonts w:ascii="宋体" w:hAnsi="宋体"/>
          <w:b/>
          <w:szCs w:val="21"/>
        </w:rPr>
      </w:pPr>
      <w:r>
        <w:rPr>
          <w:rFonts w:hint="eastAsia" w:ascii="宋体" w:hAnsi="宋体"/>
          <w:b/>
          <w:szCs w:val="21"/>
        </w:rPr>
        <w:t>数字图书馆检索平台及数据库的使用功能</w:t>
      </w:r>
    </w:p>
    <w:p>
      <w:pPr>
        <w:numPr>
          <w:ilvl w:val="0"/>
          <w:numId w:val="15"/>
        </w:numPr>
        <w:snapToGrid w:val="0"/>
        <w:spacing w:line="440" w:lineRule="exact"/>
        <w:rPr>
          <w:rFonts w:ascii="宋体"/>
          <w:b/>
          <w:szCs w:val="21"/>
        </w:rPr>
      </w:pPr>
      <w:r>
        <w:rPr>
          <w:rFonts w:hint="eastAsia" w:ascii="宋体" w:hAnsi="宋体"/>
          <w:b/>
          <w:szCs w:val="21"/>
        </w:rPr>
        <w:t>文献数据库网上远程访问</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）每周</w:t>
      </w:r>
      <w:r>
        <w:rPr>
          <w:rFonts w:ascii="宋体" w:hAnsi="宋体"/>
          <w:szCs w:val="21"/>
        </w:rPr>
        <w:t>7*24</w:t>
      </w:r>
      <w:r>
        <w:rPr>
          <w:rFonts w:hint="eastAsia" w:ascii="宋体" w:hAnsi="宋体"/>
          <w:szCs w:val="21"/>
        </w:rPr>
        <w:t>小时提供服务。</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）在我校校园网</w:t>
      </w:r>
      <w:r>
        <w:rPr>
          <w:rFonts w:ascii="宋体" w:hAnsi="宋体"/>
          <w:szCs w:val="21"/>
        </w:rPr>
        <w:t>IP</w:t>
      </w:r>
      <w:r>
        <w:rPr>
          <w:rFonts w:hint="eastAsia" w:ascii="宋体" w:hAnsi="宋体"/>
          <w:szCs w:val="21"/>
        </w:rPr>
        <w:t>地址范围内使用。并有</w:t>
      </w:r>
      <w:r>
        <w:rPr>
          <w:rFonts w:ascii="宋体" w:hAnsi="宋体"/>
          <w:szCs w:val="21"/>
        </w:rPr>
        <w:t>IP</w:t>
      </w:r>
      <w:r>
        <w:rPr>
          <w:rFonts w:hint="eastAsia" w:ascii="宋体" w:hAnsi="宋体"/>
          <w:szCs w:val="21"/>
        </w:rPr>
        <w:t>地址外使用账号管理功能。</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）数据库文献资源出现的版权问题由网络数据库提供商负责解决。</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）数据库提供商每月按时向我校图书馆通报数据库访问量。</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）具有停订以前所订数据库的永久使用权。</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）提供所订数据库的介质。</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）数据库提供商应免费为用户提供技术培训。</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8</w:t>
      </w:r>
      <w:r>
        <w:rPr>
          <w:rFonts w:hint="eastAsia" w:ascii="宋体" w:hAnsi="宋体"/>
          <w:szCs w:val="21"/>
        </w:rPr>
        <w:t>）当远程访问的数据库服务器出现故障，数据库提供商应在</w:t>
      </w:r>
      <w:r>
        <w:rPr>
          <w:rFonts w:ascii="宋体" w:hAnsi="宋体"/>
          <w:szCs w:val="21"/>
        </w:rPr>
        <w:t>24</w:t>
      </w:r>
      <w:r>
        <w:rPr>
          <w:rFonts w:hint="eastAsia" w:ascii="宋体" w:hAnsi="宋体"/>
          <w:szCs w:val="21"/>
        </w:rPr>
        <w:t>小时内提供别的可访问的服务器。</w:t>
      </w:r>
    </w:p>
    <w:p>
      <w:pPr>
        <w:numPr>
          <w:ilvl w:val="0"/>
          <w:numId w:val="15"/>
        </w:numPr>
        <w:snapToGrid w:val="0"/>
        <w:spacing w:line="440" w:lineRule="exact"/>
        <w:rPr>
          <w:rFonts w:ascii="宋体"/>
          <w:b/>
          <w:szCs w:val="21"/>
        </w:rPr>
      </w:pPr>
      <w:r>
        <w:rPr>
          <w:rFonts w:hint="eastAsia" w:ascii="宋体" w:hAnsi="宋体"/>
          <w:b/>
          <w:szCs w:val="21"/>
        </w:rPr>
        <w:t>文献数据库本地镜像</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）做到每周</w:t>
      </w:r>
      <w:r>
        <w:rPr>
          <w:rFonts w:ascii="宋体" w:hAnsi="宋体"/>
          <w:szCs w:val="21"/>
        </w:rPr>
        <w:t>7*24</w:t>
      </w:r>
      <w:r>
        <w:rPr>
          <w:rFonts w:hint="eastAsia" w:ascii="宋体" w:hAnsi="宋体"/>
          <w:szCs w:val="21"/>
        </w:rPr>
        <w:t>小时服务响应，如果镜像数据出现故障，首先通过电话咨询解决，否则，网络文献数据库提供商技术人员三日内赶到我校，现场进行维护；</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）由于我校硬件出现故障，导致镜像数据不能正常使用的，网络文献数据库提供商应免费在</w:t>
      </w:r>
      <w:r>
        <w:rPr>
          <w:rFonts w:ascii="宋体" w:hAnsi="宋体"/>
          <w:szCs w:val="21"/>
        </w:rPr>
        <w:t>24</w:t>
      </w:r>
      <w:r>
        <w:rPr>
          <w:rFonts w:hint="eastAsia" w:ascii="宋体" w:hAnsi="宋体"/>
          <w:szCs w:val="21"/>
        </w:rPr>
        <w:t>小时内为我校在校园网</w:t>
      </w:r>
      <w:r>
        <w:rPr>
          <w:rFonts w:ascii="宋体" w:hAnsi="宋体"/>
          <w:szCs w:val="21"/>
        </w:rPr>
        <w:t>IP</w:t>
      </w:r>
      <w:r>
        <w:rPr>
          <w:rFonts w:hint="eastAsia" w:ascii="宋体" w:hAnsi="宋体"/>
          <w:szCs w:val="21"/>
        </w:rPr>
        <w:t>地址范围内开通网络访问。</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）如果我校数据出现丢失、损失等情况，在合同有效期内，网络文献数据库提供商应免费提供数据恢复。</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）应免费为用户提供技术培训。</w:t>
      </w:r>
      <w:r>
        <w:rPr>
          <w:rFonts w:ascii="宋体" w:hAnsi="宋体"/>
          <w:szCs w:val="21"/>
        </w:rPr>
        <w:t xml:space="preserve"> </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）数据库文献资源出现的版权问题由网络数据库供应商负责。</w:t>
      </w:r>
    </w:p>
    <w:p>
      <w:pPr>
        <w:snapToGrid w:val="0"/>
        <w:spacing w:line="440" w:lineRule="exact"/>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）具有停订以前所订数据库的永久使用权。</w:t>
      </w:r>
    </w:p>
    <w:p>
      <w:pPr>
        <w:numPr>
          <w:ilvl w:val="0"/>
          <w:numId w:val="15"/>
        </w:numPr>
        <w:snapToGrid w:val="0"/>
        <w:spacing w:line="440" w:lineRule="exact"/>
        <w:rPr>
          <w:rFonts w:ascii="宋体" w:hAnsi="宋体"/>
          <w:b/>
          <w:szCs w:val="21"/>
          <w:shd w:val="clear" w:color="auto" w:fill="FFFFFF"/>
        </w:rPr>
      </w:pPr>
      <w:bookmarkStart w:id="50" w:name="_Hlk53388180"/>
      <w:r>
        <w:rPr>
          <w:rFonts w:hint="eastAsia" w:ascii="宋体" w:hAnsi="宋体"/>
          <w:b/>
          <w:szCs w:val="21"/>
        </w:rPr>
        <w:t>售后服务要求</w:t>
      </w:r>
    </w:p>
    <w:p>
      <w:pPr>
        <w:snapToGrid w:val="0"/>
        <w:spacing w:line="440" w:lineRule="exact"/>
        <w:ind w:firstLine="420" w:firstLineChars="200"/>
        <w:rPr>
          <w:rFonts w:ascii="宋体" w:hAnsi="宋体"/>
          <w:szCs w:val="21"/>
        </w:rPr>
      </w:pPr>
      <w:r>
        <w:rPr>
          <w:rFonts w:hint="eastAsia" w:ascii="宋体" w:hAnsi="宋体"/>
          <w:szCs w:val="21"/>
        </w:rPr>
        <w:t>（1）要求在本省设有常驻办事机构，有专门的技术服务人员。</w:t>
      </w:r>
    </w:p>
    <w:p>
      <w:pPr>
        <w:snapToGrid w:val="0"/>
        <w:spacing w:line="440" w:lineRule="exact"/>
        <w:ind w:firstLine="420" w:firstLineChars="200"/>
        <w:rPr>
          <w:rFonts w:ascii="宋体" w:hAnsi="宋体"/>
          <w:szCs w:val="21"/>
        </w:rPr>
      </w:pPr>
      <w:r>
        <w:rPr>
          <w:rFonts w:hint="eastAsia" w:ascii="宋体" w:hAnsi="宋体"/>
          <w:szCs w:val="21"/>
        </w:rPr>
        <w:t>（2）电话、邮件、网络响应时间:1小时。</w:t>
      </w:r>
    </w:p>
    <w:p>
      <w:pPr>
        <w:snapToGrid w:val="0"/>
        <w:spacing w:line="440" w:lineRule="exact"/>
        <w:ind w:firstLine="420" w:firstLineChars="200"/>
        <w:rPr>
          <w:rFonts w:ascii="宋体" w:hAnsi="宋体"/>
          <w:szCs w:val="21"/>
        </w:rPr>
      </w:pPr>
      <w:r>
        <w:rPr>
          <w:rFonts w:hint="eastAsia" w:ascii="宋体" w:hAnsi="宋体"/>
          <w:szCs w:val="21"/>
        </w:rPr>
        <w:t>（3）每月通过远程对产品运行状况进行一次全面监测，对系统运行管理状况提供管理建议。</w:t>
      </w:r>
    </w:p>
    <w:p>
      <w:pPr>
        <w:snapToGrid w:val="0"/>
        <w:spacing w:line="440" w:lineRule="exact"/>
        <w:ind w:firstLine="420" w:firstLineChars="200"/>
        <w:rPr>
          <w:rFonts w:ascii="宋体" w:hAnsi="宋体"/>
          <w:szCs w:val="21"/>
        </w:rPr>
      </w:pPr>
      <w:r>
        <w:rPr>
          <w:rFonts w:hint="eastAsia" w:ascii="宋体" w:hAnsi="宋体"/>
          <w:szCs w:val="21"/>
        </w:rPr>
        <w:t>（4）提供产品的紧急备份访问服务，保证用户可持续使用产品。</w:t>
      </w:r>
    </w:p>
    <w:bookmarkEnd w:id="50"/>
    <w:p>
      <w:pPr>
        <w:snapToGrid w:val="0"/>
        <w:spacing w:line="440" w:lineRule="exact"/>
        <w:rPr>
          <w:rFonts w:ascii="宋体" w:hAnsi="宋体"/>
          <w:szCs w:val="21"/>
        </w:rPr>
      </w:pPr>
      <w:r>
        <w:rPr>
          <w:rFonts w:hint="eastAsia" w:ascii="宋体" w:hAnsi="宋体"/>
          <w:b/>
          <w:color w:val="auto"/>
          <w:szCs w:val="21"/>
        </w:rPr>
        <w:t>4.验收：</w:t>
      </w:r>
      <w:r>
        <w:rPr>
          <w:rFonts w:hint="eastAsia" w:ascii="宋体" w:hAnsi="宋体"/>
          <w:color w:val="auto"/>
          <w:szCs w:val="21"/>
        </w:rPr>
        <w:t>采购人按招标要求进行</w:t>
      </w:r>
      <w:r>
        <w:rPr>
          <w:rFonts w:hint="eastAsia" w:ascii="宋体" w:hAnsi="宋体"/>
          <w:szCs w:val="21"/>
        </w:rPr>
        <w:t>验收，中标人予以配合。</w:t>
      </w:r>
    </w:p>
    <w:p>
      <w:pPr>
        <w:pStyle w:val="2"/>
      </w:pPr>
    </w:p>
    <w:p>
      <w:pPr>
        <w:rPr>
          <w:sz w:val="24"/>
        </w:rPr>
      </w:pPr>
    </w:p>
    <w:p>
      <w:pPr>
        <w:spacing w:line="360" w:lineRule="auto"/>
        <w:rPr>
          <w:rFonts w:ascii="宋体" w:hAnsi="宋体"/>
          <w:szCs w:val="21"/>
        </w:rPr>
      </w:pPr>
    </w:p>
    <w:p>
      <w:pPr>
        <w:widowControl/>
        <w:jc w:val="left"/>
        <w:rPr>
          <w:rFonts w:ascii="宋体"/>
          <w:kern w:val="0"/>
          <w:sz w:val="24"/>
          <w:szCs w:val="20"/>
        </w:rPr>
      </w:pPr>
      <w:r>
        <w:br w:type="page"/>
      </w:r>
    </w:p>
    <w:bookmarkEnd w:id="47"/>
    <w:p>
      <w:pPr>
        <w:pStyle w:val="3"/>
        <w:numPr>
          <w:ilvl w:val="0"/>
          <w:numId w:val="4"/>
        </w:numPr>
      </w:pPr>
      <w:bookmarkStart w:id="51" w:name="_Toc6847642"/>
      <w:r>
        <w:rPr>
          <w:rFonts w:hint="eastAsia"/>
        </w:rPr>
        <w:t>合同主要条款</w:t>
      </w:r>
      <w:bookmarkEnd w:id="48"/>
      <w:bookmarkEnd w:id="49"/>
      <w:bookmarkEnd w:id="51"/>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3"/>
        <w:numPr>
          <w:ilvl w:val="0"/>
          <w:numId w:val="4"/>
        </w:numPr>
      </w:pPr>
      <w:bookmarkStart w:id="52" w:name="_Toc398819319"/>
      <w:bookmarkStart w:id="53" w:name="_Toc6847643"/>
      <w:bookmarkStart w:id="54" w:name="_Toc399143414"/>
      <w:r>
        <w:rPr>
          <w:rFonts w:hint="eastAsia"/>
        </w:rPr>
        <w:t>谈判响应文件格式</w:t>
      </w:r>
      <w:bookmarkEnd w:id="52"/>
      <w:bookmarkEnd w:id="53"/>
      <w:bookmarkEnd w:id="54"/>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5"/>
        <w:jc w:val="center"/>
      </w:pPr>
      <w:bookmarkStart w:id="55" w:name="_Toc13905"/>
      <w:bookmarkStart w:id="56" w:name="_Toc6847644"/>
      <w:r>
        <w:rPr>
          <w:rFonts w:hint="eastAsia"/>
        </w:rPr>
        <w:t>一、</w:t>
      </w:r>
      <w:bookmarkEnd w:id="55"/>
      <w:r>
        <w:rPr>
          <w:rFonts w:hint="eastAsia"/>
        </w:rPr>
        <w:t>谈判响应函</w:t>
      </w:r>
      <w:bookmarkEnd w:id="56"/>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1"/>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rPr>
        <w:t>安庆职业技术学院2021年数字资源采购（中国知网CNKI数据库）</w:t>
      </w:r>
      <w:r>
        <w:rPr>
          <w:rFonts w:hint="eastAsia" w:hAnsi="宋体"/>
          <w:szCs w:val="21"/>
        </w:rPr>
        <w:t>项目的采购活动。我方授权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1"/>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1"/>
        <w:tabs>
          <w:tab w:val="left" w:pos="5580"/>
        </w:tabs>
        <w:spacing w:line="360" w:lineRule="auto"/>
        <w:ind w:firstLine="420" w:firstLineChars="200"/>
        <w:rPr>
          <w:rFonts w:hint="eastAsia" w:hAnsi="宋体"/>
          <w:szCs w:val="21"/>
          <w:u w:val="single"/>
        </w:rPr>
      </w:pPr>
      <w:r>
        <w:rPr>
          <w:rFonts w:hint="eastAsia" w:hAnsi="宋体"/>
          <w:szCs w:val="21"/>
        </w:rPr>
        <w:t>3、一旦我方成交，我方将严格履行合同约定的责任和义务，保证本项目的服务期为</w:t>
      </w:r>
      <w:r>
        <w:rPr>
          <w:rFonts w:hint="eastAsia" w:hAnsi="宋体"/>
          <w:szCs w:val="21"/>
          <w:u w:val="single"/>
        </w:rPr>
        <w:t>合同签订后</w:t>
      </w:r>
    </w:p>
    <w:p>
      <w:pPr>
        <w:pStyle w:val="11"/>
        <w:tabs>
          <w:tab w:val="left" w:pos="5580"/>
        </w:tabs>
        <w:spacing w:line="360" w:lineRule="auto"/>
        <w:rPr>
          <w:rFonts w:hAnsi="宋体"/>
          <w:szCs w:val="21"/>
        </w:rPr>
      </w:pPr>
      <w:r>
        <w:rPr>
          <w:rFonts w:hint="eastAsia" w:hAnsi="宋体"/>
          <w:szCs w:val="21"/>
          <w:u w:val="single"/>
        </w:rPr>
        <w:t xml:space="preserve">     日内完成调试，免费服务期限为验收合格之日起</w:t>
      </w:r>
      <w:r>
        <w:rPr>
          <w:rFonts w:hint="eastAsia" w:hAnsi="宋体"/>
          <w:szCs w:val="21"/>
          <w:u w:val="single"/>
          <w:lang w:val="en-US" w:eastAsia="zh-CN"/>
        </w:rPr>
        <w:t xml:space="preserve">   </w:t>
      </w:r>
      <w:r>
        <w:rPr>
          <w:rFonts w:hint="eastAsia" w:hAnsi="宋体"/>
          <w:szCs w:val="21"/>
          <w:u w:val="single"/>
        </w:rPr>
        <w:t>年。</w:t>
      </w:r>
    </w:p>
    <w:p>
      <w:pPr>
        <w:pStyle w:val="11"/>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1"/>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1"/>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1"/>
        <w:tabs>
          <w:tab w:val="left" w:pos="5580"/>
        </w:tabs>
        <w:spacing w:line="360" w:lineRule="auto"/>
        <w:ind w:firstLine="417" w:firstLineChars="199"/>
        <w:rPr>
          <w:rFonts w:hAnsi="宋体"/>
          <w:szCs w:val="21"/>
        </w:rPr>
      </w:pPr>
    </w:p>
    <w:p>
      <w:pPr>
        <w:pStyle w:val="11"/>
        <w:tabs>
          <w:tab w:val="left" w:pos="5580"/>
        </w:tabs>
        <w:spacing w:line="360" w:lineRule="auto"/>
        <w:ind w:firstLine="367" w:firstLineChars="175"/>
        <w:rPr>
          <w:rFonts w:hAnsi="宋体"/>
          <w:szCs w:val="21"/>
        </w:rPr>
      </w:pPr>
    </w:p>
    <w:p>
      <w:pPr>
        <w:pStyle w:val="11"/>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1"/>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1"/>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420" w:firstLineChars="200"/>
        <w:rPr>
          <w:rFonts w:hAnsi="宋体"/>
          <w:szCs w:val="21"/>
          <w:u w:val="single"/>
        </w:rPr>
      </w:pPr>
    </w:p>
    <w:p>
      <w:pPr>
        <w:pStyle w:val="11"/>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5"/>
        <w:jc w:val="center"/>
      </w:pPr>
      <w:bookmarkStart w:id="57" w:name="_Toc12161"/>
      <w:bookmarkStart w:id="58" w:name="_Toc6847645"/>
      <w:r>
        <w:rPr>
          <w:rFonts w:hint="eastAsia"/>
        </w:rPr>
        <w:t>二、服务报价表</w:t>
      </w:r>
      <w:bookmarkEnd w:id="57"/>
      <w:r>
        <w:rPr>
          <w:rFonts w:hint="eastAsia"/>
        </w:rPr>
        <w:t>（首轮）</w:t>
      </w:r>
      <w:bookmarkEnd w:id="58"/>
    </w:p>
    <w:p>
      <w:pPr>
        <w:spacing w:line="360" w:lineRule="auto"/>
        <w:rPr>
          <w:rFonts w:ascii="宋体" w:hAnsi="宋体"/>
          <w:szCs w:val="21"/>
        </w:rPr>
      </w:pPr>
      <w:r>
        <w:rPr>
          <w:rFonts w:hint="eastAsia" w:ascii="宋体" w:hAnsi="宋体"/>
          <w:szCs w:val="21"/>
        </w:rPr>
        <w:t xml:space="preserve">项目名称：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pStyle w:val="11"/>
              <w:tabs>
                <w:tab w:val="left" w:pos="5580"/>
              </w:tabs>
              <w:spacing w:line="360" w:lineRule="auto"/>
              <w:rPr>
                <w:rFonts w:hAnsi="宋体"/>
                <w:color w:val="0000FF"/>
                <w:sz w:val="24"/>
              </w:rPr>
            </w:pPr>
            <w:r>
              <w:rPr>
                <w:rFonts w:hint="eastAsia" w:hAnsi="宋体"/>
                <w:szCs w:val="21"/>
                <w:u w:val="none"/>
              </w:rPr>
              <w:t>合同签订后</w:t>
            </w:r>
            <w:r>
              <w:rPr>
                <w:rFonts w:hint="eastAsia" w:hAnsi="宋体"/>
                <w:szCs w:val="21"/>
                <w:u w:val="none"/>
                <w:lang w:val="en-US" w:eastAsia="zh-CN"/>
              </w:rPr>
              <w:t xml:space="preserve">     </w:t>
            </w:r>
            <w:r>
              <w:rPr>
                <w:rFonts w:hint="eastAsia" w:hAnsi="宋体"/>
                <w:szCs w:val="21"/>
                <w:u w:val="none"/>
              </w:rPr>
              <w:t>日内完成调试，免费服务期限为验收合格之日起</w:t>
            </w:r>
            <w:r>
              <w:rPr>
                <w:rFonts w:hint="eastAsia" w:hAnsi="宋体"/>
                <w:szCs w:val="21"/>
                <w:u w:val="none"/>
                <w:lang w:val="en-US" w:eastAsia="zh-CN"/>
              </w:rPr>
              <w:t xml:space="preserve">     </w:t>
            </w:r>
            <w:r>
              <w:rPr>
                <w:rFonts w:hint="eastAsia" w:hAnsi="宋体"/>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5"/>
        <w:jc w:val="center"/>
      </w:pPr>
      <w:bookmarkStart w:id="59" w:name="_Toc28153"/>
      <w:bookmarkStart w:id="60" w:name="_Toc6847646"/>
      <w:r>
        <w:rPr>
          <w:rFonts w:hint="eastAsia"/>
        </w:rPr>
        <w:t>三、</w:t>
      </w:r>
      <w:bookmarkEnd w:id="59"/>
      <w:r>
        <w:rPr>
          <w:rFonts w:hint="eastAsia" w:hAnsi="宋体" w:cs="宋体"/>
          <w:color w:val="000000"/>
        </w:rPr>
        <w:t>服务内容及质量要求响应表</w:t>
      </w:r>
      <w:bookmarkEnd w:id="60"/>
    </w:p>
    <w:p>
      <w:pPr>
        <w:spacing w:line="360" w:lineRule="auto"/>
        <w:rPr>
          <w:rFonts w:ascii="宋体" w:hAnsi="宋体"/>
          <w:b/>
          <w:szCs w:val="21"/>
        </w:rPr>
      </w:pPr>
      <w:r>
        <w:rPr>
          <w:rFonts w:hint="eastAsia" w:ascii="宋体" w:hAnsi="宋体"/>
          <w:szCs w:val="21"/>
        </w:rPr>
        <w:t>项目名称：</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5"/>
        <w:jc w:val="center"/>
        <w:rPr>
          <w:bdr w:val="single" w:color="auto" w:sz="4" w:space="0"/>
        </w:rPr>
      </w:pPr>
      <w:bookmarkStart w:id="61" w:name="_Toc2920"/>
      <w:bookmarkStart w:id="62" w:name="_Toc6847647"/>
      <w:r>
        <w:rPr>
          <w:rFonts w:hint="eastAsia"/>
        </w:rPr>
        <w:t>四、服务方案</w:t>
      </w:r>
      <w:bookmarkEnd w:id="61"/>
      <w:bookmarkEnd w:id="62"/>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5"/>
        <w:jc w:val="center"/>
      </w:pPr>
      <w:bookmarkStart w:id="63" w:name="_Toc6847648"/>
      <w:bookmarkStart w:id="64" w:name="_Toc25547"/>
      <w:r>
        <w:rPr>
          <w:rFonts w:hint="eastAsia"/>
        </w:rPr>
        <w:t>五、诚信谈判响应承诺书</w:t>
      </w:r>
      <w:bookmarkEnd w:id="63"/>
      <w:bookmarkEnd w:id="64"/>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360" w:lineRule="auto"/>
        <w:ind w:firstLine="3614" w:firstLineChars="1500"/>
        <w:rPr>
          <w:rFonts w:ascii="宋体" w:hAnsi="宋体" w:cs="宋体"/>
          <w:szCs w:val="21"/>
        </w:rPr>
      </w:pPr>
      <w:r>
        <w:rPr>
          <w:rFonts w:hint="eastAsia" w:ascii="仿宋" w:hAnsi="仿宋" w:eastAsia="仿宋" w:cs="仿宋"/>
          <w:b/>
          <w:bCs/>
          <w:sz w:val="24"/>
        </w:rPr>
        <w:t xml:space="preserve">法定代表人或委托代理人： </w:t>
      </w:r>
      <w:r>
        <w:rPr>
          <w:rFonts w:hint="eastAsia" w:ascii="宋体" w:hAnsi="宋体" w:cs="宋体"/>
          <w:szCs w:val="21"/>
          <w:u w:val="single"/>
        </w:rPr>
        <w:t xml:space="preserve">          </w:t>
      </w:r>
      <w:r>
        <w:rPr>
          <w:rFonts w:hint="eastAsia" w:ascii="宋体" w:hAnsi="宋体" w:cs="宋体"/>
          <w:szCs w:val="21"/>
        </w:rPr>
        <w:t>（签字或盖章）</w:t>
      </w:r>
    </w:p>
    <w:p>
      <w:pPr>
        <w:spacing w:line="288" w:lineRule="auto"/>
        <w:rPr>
          <w:rFonts w:ascii="仿宋" w:hAnsi="仿宋" w:eastAsia="仿宋" w:cs="仿宋"/>
          <w:b/>
          <w:bCs/>
          <w:sz w:val="24"/>
        </w:rPr>
      </w:pPr>
    </w:p>
    <w:p>
      <w:pPr>
        <w:jc w:val="right"/>
        <w:rPr>
          <w:rFonts w:ascii="仿宋" w:hAnsi="仿宋" w:eastAsia="仿宋" w:cs="仿宋"/>
          <w:b/>
          <w:bCs/>
          <w:sz w:val="24"/>
        </w:rPr>
      </w:pPr>
      <w:r>
        <w:rPr>
          <w:rFonts w:hint="eastAsia" w:ascii="仿宋" w:hAnsi="仿宋" w:eastAsia="仿宋" w:cs="仿宋"/>
          <w:b/>
          <w:bCs/>
          <w:sz w:val="24"/>
        </w:rPr>
        <w:t xml:space="preserve">   日期：_____年____月____日</w:t>
      </w:r>
    </w:p>
    <w:p>
      <w:pPr>
        <w:widowControl/>
        <w:jc w:val="left"/>
        <w:rPr>
          <w:sz w:val="24"/>
          <w:szCs w:val="20"/>
        </w:rPr>
      </w:pPr>
      <w:r>
        <w:rPr>
          <w:sz w:val="24"/>
        </w:rPr>
        <w:br w:type="page"/>
      </w:r>
    </w:p>
    <w:p>
      <w:pPr>
        <w:pStyle w:val="5"/>
        <w:jc w:val="center"/>
        <w:rPr>
          <w:bdr w:val="single" w:color="auto" w:sz="4" w:space="0"/>
        </w:rPr>
      </w:pPr>
      <w:bookmarkStart w:id="65" w:name="_Toc6847649"/>
      <w:bookmarkStart w:id="66" w:name="_Toc22272"/>
      <w:r>
        <w:rPr>
          <w:rFonts w:hint="eastAsia"/>
        </w:rPr>
        <w:t>六、资格证明文件</w:t>
      </w:r>
      <w:bookmarkEnd w:id="65"/>
      <w:bookmarkEnd w:id="66"/>
    </w:p>
    <w:p>
      <w:pPr>
        <w:spacing w:line="360" w:lineRule="auto"/>
        <w:ind w:firstLine="420" w:firstLineChars="200"/>
        <w:rPr>
          <w:rFonts w:ascii="宋体" w:hAnsi="宋体"/>
          <w:szCs w:val="21"/>
        </w:rPr>
      </w:pPr>
      <w:r>
        <w:rPr>
          <w:rFonts w:hint="eastAsia" w:ascii="宋体" w:hAnsi="宋体"/>
          <w:szCs w:val="21"/>
        </w:rPr>
        <w:t>1、营业执照。</w:t>
      </w:r>
    </w:p>
    <w:p>
      <w:pPr>
        <w:spacing w:line="360" w:lineRule="auto"/>
        <w:ind w:firstLine="420" w:firstLineChars="200"/>
        <w:rPr>
          <w:rFonts w:ascii="宋体" w:hAnsi="宋体"/>
          <w:szCs w:val="21"/>
        </w:rPr>
      </w:pPr>
      <w:r>
        <w:rPr>
          <w:rFonts w:hint="eastAsia" w:ascii="宋体" w:hAnsi="宋体"/>
          <w:szCs w:val="21"/>
        </w:rPr>
        <w:t>2、税务登记证。（如为三证合一的，只需提供三证合一的营业执照）</w:t>
      </w:r>
    </w:p>
    <w:p>
      <w:pPr>
        <w:spacing w:line="360" w:lineRule="auto"/>
        <w:ind w:firstLine="422" w:firstLineChars="200"/>
        <w:rPr>
          <w:rFonts w:ascii="宋体" w:hAnsi="宋体"/>
          <w:szCs w:val="21"/>
        </w:rPr>
      </w:pPr>
      <w:r>
        <w:rPr>
          <w:rFonts w:hint="eastAsia" w:ascii="宋体" w:hAnsi="宋体"/>
          <w:b/>
          <w:bCs/>
          <w:szCs w:val="21"/>
        </w:rPr>
        <w:t>3、缴纳税收和社保资金的证明材料</w:t>
      </w:r>
      <w:r>
        <w:rPr>
          <w:rFonts w:hint="eastAsia" w:ascii="宋体" w:hAnsi="宋体"/>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4、履行合同所必需的设备专业技术能力证明文件。(根据项目需要谈判响应人决定是否填写)</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szCs w:val="21"/>
              </w:rPr>
            </w:pPr>
            <w:r>
              <w:rPr>
                <w:rFonts w:hint="eastAsia" w:ascii="宋体" w:hAnsi="宋体"/>
                <w:szCs w:val="21"/>
              </w:rPr>
              <w:t>序号</w:t>
            </w:r>
          </w:p>
        </w:tc>
        <w:tc>
          <w:tcPr>
            <w:tcW w:w="2265" w:type="dxa"/>
            <w:vAlign w:val="center"/>
          </w:tcPr>
          <w:p>
            <w:pPr>
              <w:spacing w:line="360" w:lineRule="auto"/>
              <w:jc w:val="center"/>
              <w:rPr>
                <w:rFonts w:ascii="宋体" w:hAnsi="宋体"/>
                <w:szCs w:val="21"/>
              </w:rPr>
            </w:pPr>
            <w:r>
              <w:rPr>
                <w:rFonts w:hint="eastAsia" w:ascii="宋体" w:hAnsi="宋体"/>
                <w:szCs w:val="21"/>
              </w:rPr>
              <w:t>设备名称</w:t>
            </w:r>
          </w:p>
        </w:tc>
        <w:tc>
          <w:tcPr>
            <w:tcW w:w="1436" w:type="dxa"/>
            <w:vAlign w:val="center"/>
          </w:tcPr>
          <w:p>
            <w:pPr>
              <w:spacing w:line="360" w:lineRule="auto"/>
              <w:jc w:val="center"/>
              <w:rPr>
                <w:rFonts w:ascii="宋体" w:hAnsi="宋体"/>
                <w:szCs w:val="21"/>
              </w:rPr>
            </w:pPr>
            <w:r>
              <w:rPr>
                <w:rFonts w:hint="eastAsia" w:ascii="宋体" w:hAnsi="宋体"/>
                <w:szCs w:val="21"/>
              </w:rPr>
              <w:t>购入时间</w:t>
            </w:r>
          </w:p>
        </w:tc>
        <w:tc>
          <w:tcPr>
            <w:tcW w:w="923" w:type="dxa"/>
            <w:vAlign w:val="center"/>
          </w:tcPr>
          <w:p>
            <w:pPr>
              <w:spacing w:line="360" w:lineRule="auto"/>
              <w:jc w:val="center"/>
              <w:rPr>
                <w:rFonts w:ascii="宋体" w:hAnsi="宋体"/>
                <w:szCs w:val="21"/>
              </w:rPr>
            </w:pPr>
            <w:r>
              <w:rPr>
                <w:rFonts w:hint="eastAsia" w:ascii="宋体" w:hAnsi="宋体"/>
                <w:szCs w:val="21"/>
              </w:rPr>
              <w:t>价值</w:t>
            </w:r>
          </w:p>
        </w:tc>
        <w:tc>
          <w:tcPr>
            <w:tcW w:w="867" w:type="dxa"/>
            <w:vAlign w:val="center"/>
          </w:tcPr>
          <w:p>
            <w:pPr>
              <w:spacing w:line="360" w:lineRule="auto"/>
              <w:jc w:val="center"/>
              <w:rPr>
                <w:rFonts w:ascii="宋体" w:hAnsi="宋体"/>
                <w:szCs w:val="21"/>
              </w:rPr>
            </w:pPr>
            <w:r>
              <w:rPr>
                <w:rFonts w:hint="eastAsia" w:ascii="宋体" w:hAnsi="宋体"/>
                <w:szCs w:val="21"/>
              </w:rPr>
              <w:t>数量</w:t>
            </w:r>
          </w:p>
        </w:tc>
        <w:tc>
          <w:tcPr>
            <w:tcW w:w="1477" w:type="dxa"/>
            <w:vAlign w:val="center"/>
          </w:tcPr>
          <w:p>
            <w:pPr>
              <w:spacing w:line="360" w:lineRule="auto"/>
              <w:jc w:val="center"/>
              <w:rPr>
                <w:rFonts w:ascii="宋体" w:hAnsi="宋体"/>
                <w:szCs w:val="21"/>
              </w:rPr>
            </w:pPr>
            <w:r>
              <w:rPr>
                <w:rFonts w:hint="eastAsia" w:ascii="宋体" w:hAnsi="宋体"/>
                <w:szCs w:val="21"/>
              </w:rPr>
              <w:t>生产厂家</w:t>
            </w:r>
          </w:p>
        </w:tc>
        <w:tc>
          <w:tcPr>
            <w:tcW w:w="1486"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szCs w:val="21"/>
              </w:rPr>
            </w:pPr>
          </w:p>
        </w:tc>
        <w:tc>
          <w:tcPr>
            <w:tcW w:w="2265" w:type="dxa"/>
            <w:vAlign w:val="center"/>
          </w:tcPr>
          <w:p>
            <w:pPr>
              <w:spacing w:line="360" w:lineRule="auto"/>
              <w:ind w:firstLine="420" w:firstLineChars="200"/>
              <w:rPr>
                <w:rFonts w:ascii="宋体" w:hAnsi="宋体"/>
                <w:szCs w:val="21"/>
              </w:rPr>
            </w:pPr>
          </w:p>
        </w:tc>
        <w:tc>
          <w:tcPr>
            <w:tcW w:w="1436" w:type="dxa"/>
            <w:vAlign w:val="center"/>
          </w:tcPr>
          <w:p>
            <w:pPr>
              <w:spacing w:line="360" w:lineRule="auto"/>
              <w:ind w:firstLine="420" w:firstLineChars="200"/>
              <w:rPr>
                <w:rFonts w:ascii="宋体" w:hAnsi="宋体"/>
                <w:szCs w:val="21"/>
              </w:rPr>
            </w:pPr>
          </w:p>
        </w:tc>
        <w:tc>
          <w:tcPr>
            <w:tcW w:w="923" w:type="dxa"/>
            <w:vAlign w:val="center"/>
          </w:tcPr>
          <w:p>
            <w:pPr>
              <w:spacing w:line="360" w:lineRule="auto"/>
              <w:ind w:firstLine="420" w:firstLineChars="200"/>
              <w:rPr>
                <w:rFonts w:ascii="宋体" w:hAnsi="宋体"/>
                <w:szCs w:val="21"/>
              </w:rPr>
            </w:pPr>
          </w:p>
        </w:tc>
        <w:tc>
          <w:tcPr>
            <w:tcW w:w="867" w:type="dxa"/>
            <w:vAlign w:val="center"/>
          </w:tcPr>
          <w:p>
            <w:pPr>
              <w:spacing w:line="360" w:lineRule="auto"/>
              <w:ind w:firstLine="420" w:firstLineChars="200"/>
              <w:rPr>
                <w:rFonts w:ascii="宋体" w:hAnsi="宋体"/>
                <w:szCs w:val="21"/>
              </w:rPr>
            </w:pPr>
          </w:p>
        </w:tc>
        <w:tc>
          <w:tcPr>
            <w:tcW w:w="1477" w:type="dxa"/>
            <w:vAlign w:val="center"/>
          </w:tcPr>
          <w:p>
            <w:pPr>
              <w:spacing w:line="360" w:lineRule="auto"/>
              <w:ind w:firstLine="420" w:firstLineChars="200"/>
              <w:rPr>
                <w:rFonts w:ascii="宋体" w:hAnsi="宋体"/>
                <w:szCs w:val="21"/>
              </w:rPr>
            </w:pPr>
          </w:p>
        </w:tc>
        <w:tc>
          <w:tcPr>
            <w:tcW w:w="1486" w:type="dxa"/>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.2</w:t>
      </w:r>
      <w:r>
        <w:rPr>
          <w:rFonts w:hint="eastAsia" w:ascii="宋体" w:hAnsi="宋体"/>
          <w:szCs w:val="21"/>
        </w:rPr>
        <w:t>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8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179"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96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949"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3"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9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szCs w:val="21"/>
              </w:rPr>
            </w:pPr>
          </w:p>
        </w:tc>
        <w:tc>
          <w:tcPr>
            <w:tcW w:w="1181"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179"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c>
          <w:tcPr>
            <w:tcW w:w="983" w:type="dxa"/>
          </w:tcPr>
          <w:p>
            <w:pPr>
              <w:spacing w:before="100" w:beforeAutospacing="1" w:after="100" w:afterAutospacing="1" w:line="360" w:lineRule="auto"/>
              <w:ind w:firstLine="420" w:firstLineChars="200"/>
              <w:rPr>
                <w:rFonts w:ascii="宋体" w:hAnsi="宋体"/>
                <w:szCs w:val="21"/>
              </w:rPr>
            </w:pPr>
          </w:p>
        </w:tc>
        <w:tc>
          <w:tcPr>
            <w:tcW w:w="1966" w:type="dxa"/>
          </w:tcPr>
          <w:p>
            <w:pPr>
              <w:spacing w:before="100" w:beforeAutospacing="1" w:after="100" w:afterAutospacing="1" w:line="360" w:lineRule="auto"/>
              <w:ind w:firstLine="420" w:firstLineChars="200"/>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参加政府采购活动前3年内在经营活动中没有重大违法记录的书面声明</w:t>
      </w:r>
      <w:r>
        <w:rPr>
          <w:rFonts w:hint="eastAsia" w:ascii="宋体" w:hAnsi="宋体"/>
          <w:szCs w:val="21"/>
        </w:rPr>
        <w:t>；</w:t>
      </w:r>
    </w:p>
    <w:p>
      <w:pPr>
        <w:spacing w:line="360" w:lineRule="auto"/>
        <w:jc w:val="center"/>
        <w:rPr>
          <w:rFonts w:ascii="宋体" w:hAnsi="宋体"/>
          <w:szCs w:val="21"/>
        </w:rPr>
      </w:pPr>
      <w:r>
        <w:rPr>
          <w:rFonts w:hint="eastAsia" w:ascii="宋体" w:hAnsi="宋体"/>
          <w:szCs w:val="21"/>
        </w:rPr>
        <w:t>声  明</w:t>
      </w:r>
    </w:p>
    <w:p>
      <w:pPr>
        <w:spacing w:line="360" w:lineRule="auto"/>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我单位在参加政府采购活动前3年内在经营活动中没有政府采购法第二十二条第一款第（五）项所称重大违法记录，包括：</w:t>
      </w:r>
    </w:p>
    <w:p>
      <w:pPr>
        <w:spacing w:line="360" w:lineRule="auto"/>
        <w:ind w:firstLine="420" w:firstLineChars="200"/>
        <w:rPr>
          <w:rFonts w:ascii="宋体" w:hAnsi="宋体"/>
          <w:szCs w:val="21"/>
        </w:rPr>
      </w:pPr>
      <w:r>
        <w:rPr>
          <w:rFonts w:hint="eastAsia" w:ascii="宋体" w:hAnsi="宋体"/>
          <w:szCs w:val="21"/>
        </w:rPr>
        <w:t>我单位因违法经营受到刑事处罚或者责令停产停业、吊销许可证或者执照、较大数额罚款等行政处罚。</w:t>
      </w:r>
    </w:p>
    <w:p>
      <w:pPr>
        <w:spacing w:line="360" w:lineRule="auto"/>
        <w:ind w:firstLine="400" w:firstLineChars="200"/>
        <w:rPr>
          <w:rFonts w:ascii="宋体" w:hAnsi="宋体"/>
          <w:szCs w:val="21"/>
        </w:rPr>
      </w:pPr>
      <w:r>
        <w:rPr>
          <w:rFonts w:hint="eastAsia" w:ascii="宋体" w:hAnsi="宋体" w:cs="宋体"/>
          <w:kern w:val="0"/>
          <w:sz w:val="20"/>
          <w:szCs w:val="20"/>
        </w:rPr>
        <w:t>　</w:t>
      </w: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p>
    <w:p>
      <w:pPr>
        <w:spacing w:line="360" w:lineRule="auto"/>
        <w:ind w:firstLine="5040" w:firstLineChars="2400"/>
        <w:rPr>
          <w:rFonts w:ascii="宋体" w:hAnsi="宋体"/>
          <w:szCs w:val="21"/>
        </w:rPr>
      </w:pPr>
      <w:r>
        <w:rPr>
          <w:rFonts w:hint="eastAsia" w:ascii="宋体" w:hAnsi="宋体"/>
          <w:szCs w:val="21"/>
        </w:rPr>
        <w:t xml:space="preserve">谈判响应人名称：（盖章）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pStyle w:val="50"/>
        <w:spacing w:line="360" w:lineRule="auto"/>
        <w:ind w:left="420" w:firstLine="0" w:firstLineChars="0"/>
        <w:rPr>
          <w:rFonts w:ascii="宋体" w:hAnsi="宋体"/>
          <w:szCs w:val="21"/>
        </w:rPr>
      </w:pPr>
      <w:r>
        <w:rPr>
          <w:rFonts w:hint="eastAsia" w:ascii="宋体" w:hAnsi="宋体"/>
          <w:szCs w:val="21"/>
        </w:rPr>
        <w:t>6、不在财政部门依法作出的禁止参加政府采购活动的行政处罚期限内的书面声明；</w:t>
      </w:r>
    </w:p>
    <w:p>
      <w:pPr>
        <w:spacing w:line="360" w:lineRule="auto"/>
        <w:jc w:val="center"/>
        <w:rPr>
          <w:rFonts w:ascii="Arial" w:hAnsi="Arial" w:cs="Arial"/>
          <w:kern w:val="0"/>
          <w:sz w:val="24"/>
          <w:szCs w:val="18"/>
        </w:rPr>
      </w:pPr>
      <w:r>
        <w:rPr>
          <w:rFonts w:hint="eastAsia" w:ascii="Arial" w:hAnsi="Arial" w:cs="Arial"/>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szCs w:val="21"/>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投标人名称（盖章）：                        </w:t>
      </w:r>
    </w:p>
    <w:p>
      <w:pPr>
        <w:spacing w:line="360" w:lineRule="auto"/>
        <w:ind w:firstLine="420" w:firstLineChars="200"/>
        <w:rPr>
          <w:rFonts w:ascii="宋体" w:hAnsi="宋体"/>
          <w:szCs w:val="21"/>
        </w:rPr>
      </w:pPr>
      <w:r>
        <w:rPr>
          <w:rFonts w:hint="eastAsia" w:ascii="宋体" w:hAnsi="宋体"/>
          <w:szCs w:val="21"/>
        </w:rPr>
        <w:t xml:space="preserve">                                            法定代表人或委托代理人：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7、一个完整年度（2019年或2020年）财务会计报表。</w:t>
      </w:r>
    </w:p>
    <w:p>
      <w:pPr>
        <w:spacing w:line="360" w:lineRule="auto"/>
        <w:ind w:firstLine="420" w:firstLineChars="200"/>
        <w:rPr>
          <w:rFonts w:ascii="宋体" w:hAnsi="宋体"/>
          <w:szCs w:val="21"/>
        </w:rPr>
      </w:pPr>
      <w:r>
        <w:rPr>
          <w:rFonts w:hint="eastAsia" w:ascii="Arial" w:hAnsi="Arial" w:cs="Arial"/>
          <w:szCs w:val="21"/>
        </w:rPr>
        <w:t>如谈判响应人为新成立的供应商，请提供上一月度（或季度）财务会计报表。</w:t>
      </w:r>
    </w:p>
    <w:p>
      <w:pPr>
        <w:spacing w:line="360" w:lineRule="auto"/>
        <w:ind w:firstLine="420" w:firstLineChars="200"/>
        <w:rPr>
          <w:rFonts w:ascii="宋体" w:hAnsi="宋体"/>
          <w:szCs w:val="21"/>
        </w:rPr>
      </w:pPr>
      <w:r>
        <w:rPr>
          <w:rFonts w:hint="eastAsia" w:ascii="宋体" w:hAnsi="宋体"/>
          <w:szCs w:val="21"/>
        </w:rPr>
        <w:t>8、谈判文件中要求谈判响应人提供的证明材料。</w:t>
      </w:r>
    </w:p>
    <w:p>
      <w:pPr>
        <w:spacing w:line="360" w:lineRule="auto"/>
        <w:rPr>
          <w:rFonts w:ascii="宋体" w:hAnsi="宋体"/>
          <w:szCs w:val="21"/>
        </w:rPr>
      </w:pPr>
      <w:r>
        <w:rPr>
          <w:rFonts w:hint="eastAsia" w:ascii="宋体" w:hAnsi="宋体"/>
          <w:szCs w:val="21"/>
        </w:rPr>
        <w:t xml:space="preserve">    9、须提供上述资格证明文件复印件或扫描件或影印件。</w:t>
      </w: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360" w:lineRule="auto"/>
        <w:jc w:val="center"/>
        <w:outlineLvl w:val="2"/>
        <w:rPr>
          <w:rFonts w:asciiTheme="minorEastAsia" w:hAnsiTheme="minorEastAsia" w:eastAsiaTheme="minorEastAsia"/>
          <w:b/>
          <w:sz w:val="24"/>
        </w:rPr>
      </w:pPr>
      <w:bookmarkStart w:id="67" w:name="_Toc15954"/>
      <w:r>
        <w:rPr>
          <w:rFonts w:hint="eastAsia" w:asciiTheme="minorEastAsia" w:hAnsiTheme="minorEastAsia" w:eastAsiaTheme="minorEastAsia"/>
          <w:b/>
          <w:sz w:val="24"/>
        </w:rPr>
        <w:t>授权书</w:t>
      </w:r>
      <w:bookmarkEnd w:id="67"/>
    </w:p>
    <w:p>
      <w:pPr>
        <w:pStyle w:val="11"/>
        <w:snapToGrid w:val="0"/>
        <w:spacing w:line="360" w:lineRule="auto"/>
        <w:ind w:firstLine="480" w:firstLineChars="200"/>
        <w:jc w:val="left"/>
        <w:rPr>
          <w:rFonts w:hAnsi="宋体"/>
          <w:sz w:val="24"/>
          <w:szCs w:val="28"/>
        </w:rPr>
      </w:pPr>
    </w:p>
    <w:p>
      <w:pPr>
        <w:pStyle w:val="11"/>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pStyle w:val="11"/>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w:t>
      </w:r>
    </w:p>
    <w:p>
      <w:pPr>
        <w:pStyle w:val="11"/>
        <w:snapToGrid w:val="0"/>
        <w:spacing w:line="360" w:lineRule="auto"/>
        <w:ind w:firstLine="480" w:firstLineChars="200"/>
        <w:jc w:val="left"/>
        <w:rPr>
          <w:rFonts w:hAnsi="宋体"/>
          <w:sz w:val="24"/>
        </w:rPr>
      </w:pPr>
    </w:p>
    <w:p>
      <w:pPr>
        <w:pStyle w:val="11"/>
        <w:snapToGrid w:val="0"/>
        <w:spacing w:line="360" w:lineRule="auto"/>
        <w:ind w:firstLine="480" w:firstLineChars="200"/>
        <w:jc w:val="left"/>
        <w:rPr>
          <w:rFonts w:hAnsi="宋体"/>
          <w:sz w:val="24"/>
          <w:szCs w:val="28"/>
        </w:rPr>
      </w:pPr>
      <w:r>
        <w:rPr>
          <w:rFonts w:hint="eastAsia" w:hAnsi="宋体"/>
          <w:sz w:val="24"/>
          <w:szCs w:val="28"/>
        </w:rPr>
        <w:t>授权代表联系方式：</w:t>
      </w:r>
      <w:r>
        <w:rPr>
          <w:rFonts w:hint="eastAsia" w:hAnsi="宋体"/>
          <w:sz w:val="24"/>
          <w:szCs w:val="28"/>
          <w:u w:val="single"/>
        </w:rPr>
        <w:t xml:space="preserve">          （填写手机号码）</w:t>
      </w:r>
    </w:p>
    <w:p>
      <w:pPr>
        <w:spacing w:line="360" w:lineRule="auto"/>
        <w:ind w:firstLine="360" w:firstLineChars="150"/>
        <w:rPr>
          <w:rFonts w:ascii="宋体" w:hAnsi="宋体"/>
          <w:sz w:val="24"/>
          <w:szCs w:val="28"/>
        </w:rPr>
      </w:pPr>
      <w:r>
        <w:rPr>
          <w:rFonts w:hint="eastAsia" w:ascii="宋体" w:hAnsi="宋体"/>
          <w:sz w:val="24"/>
          <w:szCs w:val="28"/>
        </w:rPr>
        <w:t>特此声明。</w:t>
      </w:r>
    </w:p>
    <w:p>
      <w:pPr>
        <w:spacing w:line="360" w:lineRule="auto"/>
        <w:ind w:firstLine="4800" w:firstLineChars="2000"/>
        <w:rPr>
          <w:rFonts w:ascii="宋体" w:hAnsi="宋体"/>
          <w:bCs/>
          <w:sz w:val="24"/>
          <w:szCs w:val="28"/>
        </w:rPr>
      </w:pPr>
      <w:r>
        <w:rPr>
          <w:rFonts w:hint="eastAsia" w:ascii="宋体" w:hAnsi="宋体"/>
          <w:bCs/>
          <w:sz w:val="24"/>
          <w:szCs w:val="28"/>
        </w:rPr>
        <w:t>供应商签章：</w:t>
      </w:r>
      <w:r>
        <w:rPr>
          <w:rFonts w:hint="eastAsia" w:ascii="宋体" w:hAnsi="宋体"/>
          <w:bCs/>
          <w:sz w:val="24"/>
          <w:szCs w:val="28"/>
          <w:u w:val="single"/>
        </w:rPr>
        <w:t xml:space="preserve">                    </w:t>
      </w:r>
    </w:p>
    <w:p>
      <w:pPr>
        <w:spacing w:line="360" w:lineRule="auto"/>
        <w:ind w:firstLine="5040" w:firstLineChars="2100"/>
        <w:rPr>
          <w:rFonts w:ascii="宋体" w:hAnsi="宋体"/>
          <w:sz w:val="24"/>
          <w:szCs w:val="28"/>
        </w:rPr>
      </w:pPr>
      <w:r>
        <w:rPr>
          <w:rFonts w:hint="eastAsia" w:ascii="宋体" w:hAnsi="宋体"/>
          <w:sz w:val="24"/>
          <w:szCs w:val="28"/>
        </w:rPr>
        <w:t>日    期：</w:t>
      </w:r>
      <w:r>
        <w:rPr>
          <w:rFonts w:hint="eastAsia" w:ascii="宋体" w:hAnsi="宋体"/>
          <w:bCs/>
          <w:sz w:val="24"/>
          <w:szCs w:val="28"/>
          <w:u w:val="single"/>
        </w:rPr>
        <w:t xml:space="preserve">                    </w:t>
      </w:r>
    </w:p>
    <w:p>
      <w:pPr>
        <w:pStyle w:val="11"/>
        <w:snapToGrid w:val="0"/>
        <w:spacing w:line="360" w:lineRule="auto"/>
        <w:jc w:val="left"/>
        <w:rPr>
          <w:rFonts w:hAnsi="宋体"/>
          <w:sz w:val="24"/>
          <w:szCs w:val="28"/>
        </w:rPr>
      </w:pPr>
      <w:r>
        <w:rPr>
          <w:rFonts w:hint="eastAsia" w:hAnsi="宋体"/>
          <w:sz w:val="24"/>
          <w:szCs w:val="28"/>
        </w:rPr>
        <w:t>注：</w:t>
      </w:r>
    </w:p>
    <w:p>
      <w:pPr>
        <w:pStyle w:val="11"/>
        <w:snapToGrid w:val="0"/>
        <w:spacing w:line="360" w:lineRule="auto"/>
        <w:ind w:firstLine="720" w:firstLineChars="300"/>
        <w:jc w:val="left"/>
        <w:rPr>
          <w:rFonts w:hAnsi="宋体"/>
          <w:sz w:val="24"/>
          <w:szCs w:val="28"/>
        </w:rPr>
      </w:pPr>
      <w:r>
        <w:rPr>
          <w:rFonts w:hint="eastAsia" w:hAnsi="宋体"/>
          <w:sz w:val="24"/>
          <w:szCs w:val="28"/>
        </w:rPr>
        <w:t>1.本项目只允许有唯一的供应商授权代表，提供身份证明扫描件；</w:t>
      </w:r>
    </w:p>
    <w:p>
      <w:pPr>
        <w:wordWrap w:val="0"/>
        <w:spacing w:line="360" w:lineRule="auto"/>
        <w:ind w:right="480" w:firstLine="720" w:firstLineChars="300"/>
        <w:rPr>
          <w:rFonts w:ascii="宋体" w:hAnsi="宋体" w:cs="宋体"/>
          <w:szCs w:val="21"/>
        </w:rPr>
      </w:pPr>
      <w:r>
        <w:rPr>
          <w:rFonts w:hint="eastAsia" w:hAnsi="宋体"/>
          <w:sz w:val="24"/>
          <w:szCs w:val="28"/>
        </w:rPr>
        <w:t>2.法定代表人参加谈判的无需提供授权书，提供身份证明扫描件和营业执照复印件。</w:t>
      </w:r>
    </w:p>
    <w:p>
      <w:pPr>
        <w:wordWrap w:val="0"/>
        <w:spacing w:line="720" w:lineRule="auto"/>
        <w:jc w:val="center"/>
      </w:pPr>
    </w:p>
    <w:p>
      <w:pPr>
        <w:widowControl/>
        <w:jc w:val="left"/>
        <w:rPr>
          <w:rFonts w:ascii="宋体" w:hAnsi="宋体"/>
          <w:b/>
          <w:bCs/>
          <w:sz w:val="24"/>
        </w:rPr>
      </w:pPr>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30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4" o:spid="_x0000_s3074" o:spt="202" type="#_x0000_t202" style="position:absolute;left:0pt;margin-left:191.5pt;margin-top:0pt;height:144pt;width:144pt;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rFonts w:hint="eastAsia"/>
        <w:szCs w:val="21"/>
      </w:rPr>
      <w:t>安庆职业技术学院2021年数字资源采购（中国知网CNKI数据库）项目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F3E69"/>
    <w:multiLevelType w:val="singleLevel"/>
    <w:tmpl w:val="99AF3E69"/>
    <w:lvl w:ilvl="0" w:tentative="0">
      <w:start w:val="1"/>
      <w:numFmt w:val="decimal"/>
      <w:lvlText w:val="(%1)"/>
      <w:lvlJc w:val="left"/>
      <w:pPr>
        <w:tabs>
          <w:tab w:val="left" w:pos="420"/>
        </w:tabs>
        <w:ind w:left="0" w:firstLine="0"/>
      </w:pPr>
      <w:rPr>
        <w:rFonts w:hint="default"/>
      </w:rPr>
    </w:lvl>
  </w:abstractNum>
  <w:abstractNum w:abstractNumId="1">
    <w:nsid w:val="C25C9B53"/>
    <w:multiLevelType w:val="singleLevel"/>
    <w:tmpl w:val="C25C9B53"/>
    <w:lvl w:ilvl="0" w:tentative="0">
      <w:start w:val="1"/>
      <w:numFmt w:val="decimal"/>
      <w:lvlText w:val="(%1)"/>
      <w:lvlJc w:val="left"/>
      <w:pPr>
        <w:tabs>
          <w:tab w:val="left" w:pos="420"/>
        </w:tabs>
        <w:ind w:left="0" w:firstLine="0"/>
      </w:pPr>
      <w:rPr>
        <w:rFonts w:hint="default"/>
      </w:rPr>
    </w:lvl>
  </w:abstractNum>
  <w:abstractNum w:abstractNumId="2">
    <w:nsid w:val="CABB3D05"/>
    <w:multiLevelType w:val="singleLevel"/>
    <w:tmpl w:val="CABB3D05"/>
    <w:lvl w:ilvl="0" w:tentative="0">
      <w:start w:val="1"/>
      <w:numFmt w:val="decimal"/>
      <w:lvlText w:val="%1."/>
      <w:lvlJc w:val="left"/>
      <w:pPr>
        <w:ind w:left="425" w:hanging="425"/>
      </w:pPr>
      <w:rPr>
        <w:rFonts w:hint="default"/>
      </w:rPr>
    </w:lvl>
  </w:abstractNum>
  <w:abstractNum w:abstractNumId="3">
    <w:nsid w:val="E09E0B7E"/>
    <w:multiLevelType w:val="singleLevel"/>
    <w:tmpl w:val="E09E0B7E"/>
    <w:lvl w:ilvl="0" w:tentative="0">
      <w:start w:val="1"/>
      <w:numFmt w:val="decimal"/>
      <w:lvlText w:val="(%1)"/>
      <w:lvlJc w:val="left"/>
      <w:pPr>
        <w:tabs>
          <w:tab w:val="left" w:pos="420"/>
        </w:tabs>
        <w:ind w:left="0" w:firstLine="0"/>
      </w:pPr>
      <w:rPr>
        <w:rFonts w:hint="default"/>
      </w:rPr>
    </w:lvl>
  </w:abstractNum>
  <w:abstractNum w:abstractNumId="4">
    <w:nsid w:val="E283ECAF"/>
    <w:multiLevelType w:val="singleLevel"/>
    <w:tmpl w:val="E283ECAF"/>
    <w:lvl w:ilvl="0" w:tentative="0">
      <w:start w:val="1"/>
      <w:numFmt w:val="chineseCounting"/>
      <w:suff w:val="nothing"/>
      <w:lvlText w:val="%1、"/>
      <w:lvlJc w:val="left"/>
      <w:pPr>
        <w:ind w:left="0" w:firstLine="420"/>
      </w:pPr>
      <w:rPr>
        <w:rFonts w:hint="eastAsia"/>
      </w:rPr>
    </w:lvl>
  </w:abstractNum>
  <w:abstractNum w:abstractNumId="5">
    <w:nsid w:val="FDEEA7C2"/>
    <w:multiLevelType w:val="singleLevel"/>
    <w:tmpl w:val="FDEEA7C2"/>
    <w:lvl w:ilvl="0" w:tentative="0">
      <w:start w:val="1"/>
      <w:numFmt w:val="decimal"/>
      <w:lvlText w:val="(%1)"/>
      <w:lvlJc w:val="left"/>
      <w:pPr>
        <w:tabs>
          <w:tab w:val="left" w:pos="420"/>
        </w:tabs>
        <w:ind w:left="0" w:firstLine="0"/>
      </w:pPr>
      <w:rPr>
        <w:rFonts w:hint="default"/>
      </w:rPr>
    </w:lvl>
  </w:abstractNum>
  <w:abstractNum w:abstractNumId="6">
    <w:nsid w:val="07C025FA"/>
    <w:multiLevelType w:val="singleLevel"/>
    <w:tmpl w:val="07C025FA"/>
    <w:lvl w:ilvl="0" w:tentative="0">
      <w:start w:val="1"/>
      <w:numFmt w:val="decimal"/>
      <w:lvlText w:val="(%1)"/>
      <w:lvlJc w:val="left"/>
      <w:pPr>
        <w:tabs>
          <w:tab w:val="left" w:pos="420"/>
        </w:tabs>
        <w:ind w:left="0" w:firstLine="0"/>
      </w:pPr>
      <w:rPr>
        <w:rFonts w:hint="default"/>
      </w:rPr>
    </w:lvl>
  </w:abstractNum>
  <w:abstractNum w:abstractNumId="7">
    <w:nsid w:val="0C445C2D"/>
    <w:multiLevelType w:val="singleLevel"/>
    <w:tmpl w:val="0C445C2D"/>
    <w:lvl w:ilvl="0" w:tentative="0">
      <w:start w:val="1"/>
      <w:numFmt w:val="decimal"/>
      <w:lvlText w:val="(%1)"/>
      <w:lvlJc w:val="left"/>
      <w:pPr>
        <w:tabs>
          <w:tab w:val="left" w:pos="420"/>
        </w:tabs>
        <w:ind w:left="0" w:firstLine="0"/>
      </w:pPr>
      <w:rPr>
        <w:rFonts w:hint="default"/>
      </w:rPr>
    </w:lvl>
  </w:abstractNum>
  <w:abstractNum w:abstractNumId="8">
    <w:nsid w:val="4BB5D250"/>
    <w:multiLevelType w:val="singleLevel"/>
    <w:tmpl w:val="4BB5D250"/>
    <w:lvl w:ilvl="0" w:tentative="0">
      <w:start w:val="1"/>
      <w:numFmt w:val="decimal"/>
      <w:lvlText w:val="%1."/>
      <w:lvlJc w:val="left"/>
      <w:pPr>
        <w:ind w:left="425" w:hanging="425"/>
      </w:pPr>
      <w:rPr>
        <w:rFonts w:hint="default"/>
        <w:b/>
        <w:bCs/>
      </w:rPr>
    </w:lvl>
  </w:abstractNum>
  <w:abstractNum w:abstractNumId="9">
    <w:nsid w:val="532F9908"/>
    <w:multiLevelType w:val="singleLevel"/>
    <w:tmpl w:val="532F9908"/>
    <w:lvl w:ilvl="0" w:tentative="0">
      <w:start w:val="1"/>
      <w:numFmt w:val="decimal"/>
      <w:lvlText w:val="(%1)"/>
      <w:lvlJc w:val="left"/>
      <w:pPr>
        <w:tabs>
          <w:tab w:val="left" w:pos="420"/>
        </w:tabs>
        <w:ind w:left="0" w:firstLine="0"/>
      </w:pPr>
      <w:rPr>
        <w:rFonts w:hint="default"/>
      </w:rPr>
    </w:lvl>
  </w:abstractNum>
  <w:abstractNum w:abstractNumId="10">
    <w:nsid w:val="570DA5CB"/>
    <w:multiLevelType w:val="singleLevel"/>
    <w:tmpl w:val="570DA5CB"/>
    <w:lvl w:ilvl="0" w:tentative="0">
      <w:start w:val="3"/>
      <w:numFmt w:val="chineseCounting"/>
      <w:suff w:val="nothing"/>
      <w:lvlText w:val="%1、"/>
      <w:lvlJc w:val="left"/>
    </w:lvl>
  </w:abstractNum>
  <w:abstractNum w:abstractNumId="11">
    <w:nsid w:val="570DB07E"/>
    <w:multiLevelType w:val="singleLevel"/>
    <w:tmpl w:val="570DB07E"/>
    <w:lvl w:ilvl="0" w:tentative="0">
      <w:start w:val="1"/>
      <w:numFmt w:val="decimal"/>
      <w:suff w:val="nothing"/>
      <w:lvlText w:val="（%1）"/>
      <w:lvlJc w:val="left"/>
    </w:lvl>
  </w:abstractNum>
  <w:abstractNum w:abstractNumId="12">
    <w:nsid w:val="68181D5D"/>
    <w:multiLevelType w:val="singleLevel"/>
    <w:tmpl w:val="68181D5D"/>
    <w:lvl w:ilvl="0" w:tentative="0">
      <w:start w:val="1"/>
      <w:numFmt w:val="decimal"/>
      <w:lvlText w:val="(%1)"/>
      <w:lvlJc w:val="left"/>
      <w:pPr>
        <w:tabs>
          <w:tab w:val="left" w:pos="420"/>
        </w:tabs>
        <w:ind w:left="0" w:firstLine="0"/>
      </w:pPr>
      <w:rPr>
        <w:rFonts w:hint="default"/>
      </w:rPr>
    </w:lvl>
  </w:abstractNum>
  <w:abstractNum w:abstractNumId="13">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0"/>
  </w:num>
  <w:num w:numId="3">
    <w:abstractNumId w:val="11"/>
  </w:num>
  <w:num w:numId="4">
    <w:abstractNumId w:val="13"/>
  </w:num>
  <w:num w:numId="5">
    <w:abstractNumId w:val="4"/>
  </w:num>
  <w:num w:numId="6">
    <w:abstractNumId w:val="8"/>
  </w:num>
  <w:num w:numId="7">
    <w:abstractNumId w:val="7"/>
  </w:num>
  <w:num w:numId="8">
    <w:abstractNumId w:val="0"/>
  </w:num>
  <w:num w:numId="9">
    <w:abstractNumId w:val="3"/>
  </w:num>
  <w:num w:numId="10">
    <w:abstractNumId w:val="6"/>
  </w:num>
  <w:num w:numId="11">
    <w:abstractNumId w:val="9"/>
  </w:num>
  <w:num w:numId="12">
    <w:abstractNumId w:val="12"/>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71A5"/>
    <w:rsid w:val="001871E3"/>
    <w:rsid w:val="001906F0"/>
    <w:rsid w:val="00192976"/>
    <w:rsid w:val="001934BF"/>
    <w:rsid w:val="001942C2"/>
    <w:rsid w:val="001955B3"/>
    <w:rsid w:val="001965D2"/>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0C16"/>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37494"/>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BD6"/>
    <w:rsid w:val="006B2593"/>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285A"/>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47CE9"/>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692E"/>
    <w:rsid w:val="00A23D77"/>
    <w:rsid w:val="00A27C03"/>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915AF"/>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27B1"/>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9B7D53"/>
    <w:rsid w:val="01DB7ED5"/>
    <w:rsid w:val="02827DCE"/>
    <w:rsid w:val="028419EC"/>
    <w:rsid w:val="02B96468"/>
    <w:rsid w:val="02C777CB"/>
    <w:rsid w:val="02D54924"/>
    <w:rsid w:val="02F1679D"/>
    <w:rsid w:val="03127E8C"/>
    <w:rsid w:val="03C129C2"/>
    <w:rsid w:val="04042704"/>
    <w:rsid w:val="049D4E9E"/>
    <w:rsid w:val="04A840F7"/>
    <w:rsid w:val="054A55DB"/>
    <w:rsid w:val="05C56ED2"/>
    <w:rsid w:val="062D43AF"/>
    <w:rsid w:val="062E7290"/>
    <w:rsid w:val="066804D2"/>
    <w:rsid w:val="06F7296F"/>
    <w:rsid w:val="078862FE"/>
    <w:rsid w:val="08B60D54"/>
    <w:rsid w:val="08D00067"/>
    <w:rsid w:val="08F03C14"/>
    <w:rsid w:val="09285F12"/>
    <w:rsid w:val="09326139"/>
    <w:rsid w:val="09336B97"/>
    <w:rsid w:val="0A114160"/>
    <w:rsid w:val="0A5525B4"/>
    <w:rsid w:val="0A742CA7"/>
    <w:rsid w:val="0B24469B"/>
    <w:rsid w:val="0B377E69"/>
    <w:rsid w:val="0BB579E9"/>
    <w:rsid w:val="0BC741F5"/>
    <w:rsid w:val="0C133958"/>
    <w:rsid w:val="0C174059"/>
    <w:rsid w:val="0C452D84"/>
    <w:rsid w:val="0C4B003C"/>
    <w:rsid w:val="0C5172A2"/>
    <w:rsid w:val="0C9D11C1"/>
    <w:rsid w:val="0D2361FF"/>
    <w:rsid w:val="0D576A0D"/>
    <w:rsid w:val="0D833572"/>
    <w:rsid w:val="0DA01BCF"/>
    <w:rsid w:val="0DDE4CF9"/>
    <w:rsid w:val="0E8D5316"/>
    <w:rsid w:val="0F146881"/>
    <w:rsid w:val="0F290C66"/>
    <w:rsid w:val="0F8D1DC9"/>
    <w:rsid w:val="10A646FA"/>
    <w:rsid w:val="10BB2FEF"/>
    <w:rsid w:val="10BC7123"/>
    <w:rsid w:val="114C494B"/>
    <w:rsid w:val="11C425F8"/>
    <w:rsid w:val="12233C47"/>
    <w:rsid w:val="123E2FFB"/>
    <w:rsid w:val="12826CA4"/>
    <w:rsid w:val="12B4621E"/>
    <w:rsid w:val="12CD1ABC"/>
    <w:rsid w:val="12DA24B7"/>
    <w:rsid w:val="13141F14"/>
    <w:rsid w:val="1351434F"/>
    <w:rsid w:val="13595BA3"/>
    <w:rsid w:val="13F83012"/>
    <w:rsid w:val="148745E6"/>
    <w:rsid w:val="15306BD1"/>
    <w:rsid w:val="15690030"/>
    <w:rsid w:val="15713DA7"/>
    <w:rsid w:val="15871D72"/>
    <w:rsid w:val="1588048B"/>
    <w:rsid w:val="15AC73D0"/>
    <w:rsid w:val="15D52BEB"/>
    <w:rsid w:val="160D2CDF"/>
    <w:rsid w:val="163C4F8E"/>
    <w:rsid w:val="16C74AA4"/>
    <w:rsid w:val="16D67B68"/>
    <w:rsid w:val="171B54BE"/>
    <w:rsid w:val="175E2CE2"/>
    <w:rsid w:val="17652A9A"/>
    <w:rsid w:val="185241B0"/>
    <w:rsid w:val="185C510E"/>
    <w:rsid w:val="18A436B6"/>
    <w:rsid w:val="18B12BA4"/>
    <w:rsid w:val="18E23ED6"/>
    <w:rsid w:val="191531CD"/>
    <w:rsid w:val="19246D19"/>
    <w:rsid w:val="196B7A85"/>
    <w:rsid w:val="1A1815DD"/>
    <w:rsid w:val="1A1B135F"/>
    <w:rsid w:val="1A287679"/>
    <w:rsid w:val="1A9B0880"/>
    <w:rsid w:val="1AB74A15"/>
    <w:rsid w:val="1ACB460F"/>
    <w:rsid w:val="1B1E4231"/>
    <w:rsid w:val="1B733F75"/>
    <w:rsid w:val="1B80591D"/>
    <w:rsid w:val="1BC577D4"/>
    <w:rsid w:val="1C116426"/>
    <w:rsid w:val="1C20708A"/>
    <w:rsid w:val="1CF80391"/>
    <w:rsid w:val="1DDC7057"/>
    <w:rsid w:val="1E3F65B7"/>
    <w:rsid w:val="1E8151A6"/>
    <w:rsid w:val="1E9A2991"/>
    <w:rsid w:val="1EFB350D"/>
    <w:rsid w:val="1F045465"/>
    <w:rsid w:val="1F111E2B"/>
    <w:rsid w:val="1F263F4E"/>
    <w:rsid w:val="1F8A4FBC"/>
    <w:rsid w:val="1FD60312"/>
    <w:rsid w:val="1FFB5ABD"/>
    <w:rsid w:val="200B2D12"/>
    <w:rsid w:val="201E6206"/>
    <w:rsid w:val="207E5A0B"/>
    <w:rsid w:val="20C20786"/>
    <w:rsid w:val="21355853"/>
    <w:rsid w:val="213B4094"/>
    <w:rsid w:val="215533A8"/>
    <w:rsid w:val="21B7738A"/>
    <w:rsid w:val="21D63B12"/>
    <w:rsid w:val="21F833AB"/>
    <w:rsid w:val="21F85509"/>
    <w:rsid w:val="22C4285A"/>
    <w:rsid w:val="23216806"/>
    <w:rsid w:val="23442EA4"/>
    <w:rsid w:val="238E22CA"/>
    <w:rsid w:val="23FB3C65"/>
    <w:rsid w:val="24214E80"/>
    <w:rsid w:val="247C6E9E"/>
    <w:rsid w:val="24D0099B"/>
    <w:rsid w:val="24FC7DF4"/>
    <w:rsid w:val="24FD433F"/>
    <w:rsid w:val="25365D32"/>
    <w:rsid w:val="25380AE2"/>
    <w:rsid w:val="25C1725E"/>
    <w:rsid w:val="25CF2749"/>
    <w:rsid w:val="26492DAF"/>
    <w:rsid w:val="26652DEC"/>
    <w:rsid w:val="26942C71"/>
    <w:rsid w:val="269D5FE9"/>
    <w:rsid w:val="275A34C6"/>
    <w:rsid w:val="27E47234"/>
    <w:rsid w:val="28595154"/>
    <w:rsid w:val="287926B5"/>
    <w:rsid w:val="28795BCE"/>
    <w:rsid w:val="29101722"/>
    <w:rsid w:val="29774207"/>
    <w:rsid w:val="29C04354"/>
    <w:rsid w:val="29C21F39"/>
    <w:rsid w:val="2A5F3191"/>
    <w:rsid w:val="2AA96A88"/>
    <w:rsid w:val="2ACB0237"/>
    <w:rsid w:val="2AE17E75"/>
    <w:rsid w:val="2B165956"/>
    <w:rsid w:val="2B380C36"/>
    <w:rsid w:val="2B3C72FC"/>
    <w:rsid w:val="2B471FB3"/>
    <w:rsid w:val="2B981EED"/>
    <w:rsid w:val="2BF437BD"/>
    <w:rsid w:val="2C151C5E"/>
    <w:rsid w:val="2C524CFD"/>
    <w:rsid w:val="2CA22DF9"/>
    <w:rsid w:val="2CA64350"/>
    <w:rsid w:val="2CAB58F1"/>
    <w:rsid w:val="2D0839C4"/>
    <w:rsid w:val="2D820DFF"/>
    <w:rsid w:val="2DB22278"/>
    <w:rsid w:val="2E70537D"/>
    <w:rsid w:val="2E8D6EDE"/>
    <w:rsid w:val="2E8E424D"/>
    <w:rsid w:val="2EAB0AAB"/>
    <w:rsid w:val="2EEA58E3"/>
    <w:rsid w:val="2F3050DA"/>
    <w:rsid w:val="2FC108BE"/>
    <w:rsid w:val="2FC66603"/>
    <w:rsid w:val="302C30B9"/>
    <w:rsid w:val="306C318C"/>
    <w:rsid w:val="30874370"/>
    <w:rsid w:val="309B0BC8"/>
    <w:rsid w:val="30C45E54"/>
    <w:rsid w:val="30C65728"/>
    <w:rsid w:val="30FE746D"/>
    <w:rsid w:val="31003359"/>
    <w:rsid w:val="3138340B"/>
    <w:rsid w:val="31697522"/>
    <w:rsid w:val="326F5B78"/>
    <w:rsid w:val="329E33D6"/>
    <w:rsid w:val="32C1314B"/>
    <w:rsid w:val="32CE6C34"/>
    <w:rsid w:val="330469DC"/>
    <w:rsid w:val="33756423"/>
    <w:rsid w:val="33904957"/>
    <w:rsid w:val="33C06FE7"/>
    <w:rsid w:val="341A779C"/>
    <w:rsid w:val="364019FD"/>
    <w:rsid w:val="367C2EBA"/>
    <w:rsid w:val="36FB00F6"/>
    <w:rsid w:val="377720D3"/>
    <w:rsid w:val="37D70D48"/>
    <w:rsid w:val="37F76D25"/>
    <w:rsid w:val="385F091F"/>
    <w:rsid w:val="39B049F1"/>
    <w:rsid w:val="39E44E71"/>
    <w:rsid w:val="39EE7A9E"/>
    <w:rsid w:val="3A0E1EEE"/>
    <w:rsid w:val="3A351B95"/>
    <w:rsid w:val="3B1D688D"/>
    <w:rsid w:val="3B404329"/>
    <w:rsid w:val="3B4D24CB"/>
    <w:rsid w:val="3B4E1CDB"/>
    <w:rsid w:val="3B8629F3"/>
    <w:rsid w:val="3BDE0E41"/>
    <w:rsid w:val="3C3C64D0"/>
    <w:rsid w:val="3C522566"/>
    <w:rsid w:val="3C813741"/>
    <w:rsid w:val="3C986951"/>
    <w:rsid w:val="3CEB4763"/>
    <w:rsid w:val="3D234571"/>
    <w:rsid w:val="3D8A55BA"/>
    <w:rsid w:val="3D917728"/>
    <w:rsid w:val="3DCB40C0"/>
    <w:rsid w:val="3DE9514C"/>
    <w:rsid w:val="3E3C6410"/>
    <w:rsid w:val="3E51795E"/>
    <w:rsid w:val="3F26702D"/>
    <w:rsid w:val="3F81750E"/>
    <w:rsid w:val="3FB25F48"/>
    <w:rsid w:val="3FBE5711"/>
    <w:rsid w:val="3FDA5ECE"/>
    <w:rsid w:val="400C275B"/>
    <w:rsid w:val="40BC5D54"/>
    <w:rsid w:val="42293C97"/>
    <w:rsid w:val="428840CE"/>
    <w:rsid w:val="42C30390"/>
    <w:rsid w:val="43677D46"/>
    <w:rsid w:val="43D67960"/>
    <w:rsid w:val="440D693A"/>
    <w:rsid w:val="44294690"/>
    <w:rsid w:val="44A21D28"/>
    <w:rsid w:val="44D33D95"/>
    <w:rsid w:val="44EB4210"/>
    <w:rsid w:val="45E62B56"/>
    <w:rsid w:val="46501360"/>
    <w:rsid w:val="46D00C57"/>
    <w:rsid w:val="46D324F5"/>
    <w:rsid w:val="46DE70D4"/>
    <w:rsid w:val="47C339C4"/>
    <w:rsid w:val="47E22E96"/>
    <w:rsid w:val="47F70CC8"/>
    <w:rsid w:val="483C068A"/>
    <w:rsid w:val="48426F8F"/>
    <w:rsid w:val="485E7A76"/>
    <w:rsid w:val="48742B93"/>
    <w:rsid w:val="48D82B1B"/>
    <w:rsid w:val="49580B01"/>
    <w:rsid w:val="4A1E617D"/>
    <w:rsid w:val="4A266386"/>
    <w:rsid w:val="4A6302A6"/>
    <w:rsid w:val="4A791606"/>
    <w:rsid w:val="4AB918DA"/>
    <w:rsid w:val="4B187467"/>
    <w:rsid w:val="4B267DE1"/>
    <w:rsid w:val="4B280DE5"/>
    <w:rsid w:val="4B8B15F1"/>
    <w:rsid w:val="4BBA0A17"/>
    <w:rsid w:val="4BD67847"/>
    <w:rsid w:val="4BE07B8E"/>
    <w:rsid w:val="4BF25E27"/>
    <w:rsid w:val="4C3E6663"/>
    <w:rsid w:val="4C425828"/>
    <w:rsid w:val="4C997EA0"/>
    <w:rsid w:val="4CCF19B1"/>
    <w:rsid w:val="4CDB6416"/>
    <w:rsid w:val="4CFA4905"/>
    <w:rsid w:val="4D0D67A2"/>
    <w:rsid w:val="4D1937A1"/>
    <w:rsid w:val="4DDA685F"/>
    <w:rsid w:val="4DE962E2"/>
    <w:rsid w:val="4E564138"/>
    <w:rsid w:val="4E606D65"/>
    <w:rsid w:val="4E7B3B9E"/>
    <w:rsid w:val="4F0C733E"/>
    <w:rsid w:val="4F674193"/>
    <w:rsid w:val="4FB61B61"/>
    <w:rsid w:val="500C727E"/>
    <w:rsid w:val="500D78C9"/>
    <w:rsid w:val="508D7271"/>
    <w:rsid w:val="51826C71"/>
    <w:rsid w:val="51E662D0"/>
    <w:rsid w:val="51E66D8B"/>
    <w:rsid w:val="51E952C3"/>
    <w:rsid w:val="52057B53"/>
    <w:rsid w:val="5248023B"/>
    <w:rsid w:val="527D57D7"/>
    <w:rsid w:val="52B34984"/>
    <w:rsid w:val="533254A4"/>
    <w:rsid w:val="53357AA7"/>
    <w:rsid w:val="534D0FEA"/>
    <w:rsid w:val="5362660D"/>
    <w:rsid w:val="53854834"/>
    <w:rsid w:val="54AC447A"/>
    <w:rsid w:val="54D13CB7"/>
    <w:rsid w:val="54F16E41"/>
    <w:rsid w:val="553B6575"/>
    <w:rsid w:val="557B7E7B"/>
    <w:rsid w:val="55C054A3"/>
    <w:rsid w:val="55CD6A42"/>
    <w:rsid w:val="56521689"/>
    <w:rsid w:val="567638CA"/>
    <w:rsid w:val="569577C7"/>
    <w:rsid w:val="56F1653F"/>
    <w:rsid w:val="570F2D66"/>
    <w:rsid w:val="576D58DB"/>
    <w:rsid w:val="57BD2FDD"/>
    <w:rsid w:val="58650C44"/>
    <w:rsid w:val="58782833"/>
    <w:rsid w:val="58E51AB8"/>
    <w:rsid w:val="59376914"/>
    <w:rsid w:val="59542FD7"/>
    <w:rsid w:val="59AA3E3E"/>
    <w:rsid w:val="59F40CA9"/>
    <w:rsid w:val="5A013458"/>
    <w:rsid w:val="5A0A227A"/>
    <w:rsid w:val="5A18218B"/>
    <w:rsid w:val="5A1E67D6"/>
    <w:rsid w:val="5A6951E1"/>
    <w:rsid w:val="5A9828FD"/>
    <w:rsid w:val="5AE6127A"/>
    <w:rsid w:val="5B0D2C58"/>
    <w:rsid w:val="5BA87F9D"/>
    <w:rsid w:val="5C083CCA"/>
    <w:rsid w:val="5C626E82"/>
    <w:rsid w:val="5CA3458B"/>
    <w:rsid w:val="5CA6618B"/>
    <w:rsid w:val="5D1636D9"/>
    <w:rsid w:val="5D396777"/>
    <w:rsid w:val="5D5529C4"/>
    <w:rsid w:val="5D9321D6"/>
    <w:rsid w:val="5DA25D89"/>
    <w:rsid w:val="5DB36312"/>
    <w:rsid w:val="5DEF2C9A"/>
    <w:rsid w:val="5DFC1634"/>
    <w:rsid w:val="5E673AB2"/>
    <w:rsid w:val="5F0E139A"/>
    <w:rsid w:val="5F4C6E35"/>
    <w:rsid w:val="5F546472"/>
    <w:rsid w:val="5FB7149A"/>
    <w:rsid w:val="5FEF7EDE"/>
    <w:rsid w:val="60082DB8"/>
    <w:rsid w:val="60885CA7"/>
    <w:rsid w:val="609902FF"/>
    <w:rsid w:val="60CB745A"/>
    <w:rsid w:val="610151DC"/>
    <w:rsid w:val="61050ADF"/>
    <w:rsid w:val="61544345"/>
    <w:rsid w:val="61D4389A"/>
    <w:rsid w:val="61E0223F"/>
    <w:rsid w:val="6239194F"/>
    <w:rsid w:val="62601AA6"/>
    <w:rsid w:val="628C37A5"/>
    <w:rsid w:val="62C938F7"/>
    <w:rsid w:val="62CE653B"/>
    <w:rsid w:val="62E420FF"/>
    <w:rsid w:val="63155F18"/>
    <w:rsid w:val="63311173"/>
    <w:rsid w:val="63351E52"/>
    <w:rsid w:val="6347009B"/>
    <w:rsid w:val="64202DC6"/>
    <w:rsid w:val="64E20214"/>
    <w:rsid w:val="64F1206D"/>
    <w:rsid w:val="654D1146"/>
    <w:rsid w:val="659351B4"/>
    <w:rsid w:val="65B15BFA"/>
    <w:rsid w:val="66504998"/>
    <w:rsid w:val="66EF3718"/>
    <w:rsid w:val="670C2BE4"/>
    <w:rsid w:val="671C56DB"/>
    <w:rsid w:val="676E209B"/>
    <w:rsid w:val="679B3CD0"/>
    <w:rsid w:val="67D24F01"/>
    <w:rsid w:val="67EF5014"/>
    <w:rsid w:val="68456E5B"/>
    <w:rsid w:val="686B753A"/>
    <w:rsid w:val="68885BB0"/>
    <w:rsid w:val="688D02FE"/>
    <w:rsid w:val="6902083B"/>
    <w:rsid w:val="69330AC2"/>
    <w:rsid w:val="694F2BF8"/>
    <w:rsid w:val="69823402"/>
    <w:rsid w:val="6A0A597F"/>
    <w:rsid w:val="6A6D78F5"/>
    <w:rsid w:val="6AA11FFE"/>
    <w:rsid w:val="6AD93CCF"/>
    <w:rsid w:val="6AE03C15"/>
    <w:rsid w:val="6B0A3FAC"/>
    <w:rsid w:val="6B59096C"/>
    <w:rsid w:val="6B9F6CC6"/>
    <w:rsid w:val="6BED679D"/>
    <w:rsid w:val="6C281294"/>
    <w:rsid w:val="6C423AF6"/>
    <w:rsid w:val="6C77379F"/>
    <w:rsid w:val="6D2E03F5"/>
    <w:rsid w:val="6D606870"/>
    <w:rsid w:val="6D6D4D1D"/>
    <w:rsid w:val="6D7952F5"/>
    <w:rsid w:val="6DD4077E"/>
    <w:rsid w:val="6E027DAD"/>
    <w:rsid w:val="6E092AB6"/>
    <w:rsid w:val="6E9543B1"/>
    <w:rsid w:val="6EAD34A8"/>
    <w:rsid w:val="6ECE3D35"/>
    <w:rsid w:val="6ED0518A"/>
    <w:rsid w:val="6F881820"/>
    <w:rsid w:val="700456B3"/>
    <w:rsid w:val="7059065A"/>
    <w:rsid w:val="709B7AA3"/>
    <w:rsid w:val="709D579F"/>
    <w:rsid w:val="70A22540"/>
    <w:rsid w:val="70DB6936"/>
    <w:rsid w:val="70E35296"/>
    <w:rsid w:val="7100081C"/>
    <w:rsid w:val="71236857"/>
    <w:rsid w:val="713E5355"/>
    <w:rsid w:val="71927784"/>
    <w:rsid w:val="72CD3791"/>
    <w:rsid w:val="738769C0"/>
    <w:rsid w:val="73FA42D5"/>
    <w:rsid w:val="744011C6"/>
    <w:rsid w:val="747E078C"/>
    <w:rsid w:val="7500013D"/>
    <w:rsid w:val="75090D5F"/>
    <w:rsid w:val="7592164A"/>
    <w:rsid w:val="75937F94"/>
    <w:rsid w:val="75D14AB7"/>
    <w:rsid w:val="77356731"/>
    <w:rsid w:val="774426E0"/>
    <w:rsid w:val="77D77DB8"/>
    <w:rsid w:val="77E12415"/>
    <w:rsid w:val="78131D05"/>
    <w:rsid w:val="7859217F"/>
    <w:rsid w:val="78D742BA"/>
    <w:rsid w:val="78F62B79"/>
    <w:rsid w:val="78F759C0"/>
    <w:rsid w:val="79181E66"/>
    <w:rsid w:val="79274E18"/>
    <w:rsid w:val="792F7A0F"/>
    <w:rsid w:val="793F72D2"/>
    <w:rsid w:val="798D2356"/>
    <w:rsid w:val="79BD44C9"/>
    <w:rsid w:val="7A34668D"/>
    <w:rsid w:val="7AAA11E4"/>
    <w:rsid w:val="7AC36605"/>
    <w:rsid w:val="7C467A1E"/>
    <w:rsid w:val="7C5A1C9F"/>
    <w:rsid w:val="7C6B1C3D"/>
    <w:rsid w:val="7CCB371D"/>
    <w:rsid w:val="7CF624BE"/>
    <w:rsid w:val="7D032E2D"/>
    <w:rsid w:val="7D4940DF"/>
    <w:rsid w:val="7D4C77ED"/>
    <w:rsid w:val="7D4E40A8"/>
    <w:rsid w:val="7D523A71"/>
    <w:rsid w:val="7D846762"/>
    <w:rsid w:val="7E2D1F10"/>
    <w:rsid w:val="7E520D87"/>
    <w:rsid w:val="7E5356EF"/>
    <w:rsid w:val="7E926672"/>
    <w:rsid w:val="7F497EBC"/>
    <w:rsid w:val="7F54174D"/>
    <w:rsid w:val="7F567F7A"/>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100" w:after="100"/>
      <w:jc w:val="center"/>
      <w:outlineLvl w:val="0"/>
    </w:pPr>
    <w:rPr>
      <w:b/>
      <w:bCs/>
      <w:kern w:val="44"/>
      <w:sz w:val="32"/>
      <w:szCs w:val="44"/>
    </w:rPr>
  </w:style>
  <w:style w:type="paragraph" w:styleId="4">
    <w:name w:val="heading 2"/>
    <w:basedOn w:val="1"/>
    <w:next w:val="1"/>
    <w:link w:val="40"/>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43"/>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0"/>
    <w:pPr>
      <w:tabs>
        <w:tab w:val="left" w:pos="567"/>
      </w:tabs>
      <w:spacing w:before="120" w:line="22" w:lineRule="atLeast"/>
    </w:pPr>
    <w:rPr>
      <w:rFonts w:ascii="宋体" w:hAnsi="宋体"/>
      <w:sz w:val="24"/>
    </w:rPr>
  </w:style>
  <w:style w:type="paragraph" w:styleId="6">
    <w:name w:val="Normal Indent"/>
    <w:basedOn w:val="1"/>
    <w:link w:val="3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6"/>
    <w:qFormat/>
    <w:uiPriority w:val="0"/>
    <w:rPr>
      <w:rFonts w:ascii="宋体"/>
      <w:sz w:val="18"/>
      <w:szCs w:val="18"/>
    </w:rPr>
  </w:style>
  <w:style w:type="paragraph" w:styleId="8">
    <w:name w:val="annotation text"/>
    <w:basedOn w:val="1"/>
    <w:link w:val="33"/>
    <w:unhideWhenUsed/>
    <w:qFormat/>
    <w:uiPriority w:val="0"/>
    <w:pPr>
      <w:jc w:val="left"/>
    </w:pPr>
  </w:style>
  <w:style w:type="paragraph" w:styleId="9">
    <w:name w:val="Body Text Indent"/>
    <w:basedOn w:val="1"/>
    <w:link w:val="37"/>
    <w:qFormat/>
    <w:uiPriority w:val="0"/>
    <w:pPr>
      <w:spacing w:after="120"/>
      <w:ind w:left="420" w:leftChars="200"/>
    </w:pPr>
  </w:style>
  <w:style w:type="paragraph" w:styleId="10">
    <w:name w:val="toc 3"/>
    <w:basedOn w:val="1"/>
    <w:next w:val="1"/>
    <w:qFormat/>
    <w:uiPriority w:val="39"/>
    <w:pPr>
      <w:spacing w:line="500" w:lineRule="exact"/>
      <w:ind w:left="400" w:leftChars="400"/>
    </w:pPr>
    <w:rPr>
      <w:sz w:val="24"/>
    </w:rPr>
  </w:style>
  <w:style w:type="paragraph" w:styleId="11">
    <w:name w:val="Plain Text"/>
    <w:basedOn w:val="1"/>
    <w:link w:val="48"/>
    <w:qFormat/>
    <w:uiPriority w:val="0"/>
    <w:rPr>
      <w:rFonts w:ascii="宋体" w:hAnsi="Courier New"/>
      <w:szCs w:val="20"/>
    </w:rPr>
  </w:style>
  <w:style w:type="paragraph" w:styleId="12">
    <w:name w:val="Body Text Indent 2"/>
    <w:basedOn w:val="1"/>
    <w:link w:val="49"/>
    <w:qFormat/>
    <w:uiPriority w:val="0"/>
    <w:pPr>
      <w:spacing w:after="120" w:line="480" w:lineRule="auto"/>
      <w:ind w:left="420" w:leftChars="200"/>
    </w:pPr>
  </w:style>
  <w:style w:type="paragraph" w:styleId="13">
    <w:name w:val="Balloon Text"/>
    <w:basedOn w:val="1"/>
    <w:link w:val="47"/>
    <w:semiHidden/>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right" w:leader="dot" w:pos="9060"/>
      </w:tabs>
      <w:spacing w:line="500" w:lineRule="exact"/>
    </w:pPr>
    <w:rPr>
      <w:sz w:val="24"/>
    </w:rPr>
  </w:style>
  <w:style w:type="paragraph" w:styleId="17">
    <w:name w:val="toc 2"/>
    <w:basedOn w:val="1"/>
    <w:next w:val="1"/>
    <w:qFormat/>
    <w:uiPriority w:val="39"/>
    <w:pPr>
      <w:spacing w:line="500" w:lineRule="exact"/>
      <w:ind w:left="200" w:leftChars="200"/>
    </w:pPr>
    <w:rPr>
      <w:sz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9">
    <w:name w:val="index 1"/>
    <w:basedOn w:val="1"/>
    <w:next w:val="1"/>
    <w:semiHidden/>
    <w:qFormat/>
    <w:uiPriority w:val="0"/>
    <w:rPr>
      <w:szCs w:val="20"/>
    </w:rPr>
  </w:style>
  <w:style w:type="paragraph" w:styleId="20">
    <w:name w:val="annotation subject"/>
    <w:basedOn w:val="8"/>
    <w:next w:val="8"/>
    <w:link w:val="32"/>
    <w:semiHidden/>
    <w:qFormat/>
    <w:uiPriority w:val="0"/>
    <w:rPr>
      <w:b/>
      <w:bCs/>
    </w:rPr>
  </w:style>
  <w:style w:type="paragraph" w:styleId="21">
    <w:name w:val="Body Text First Indent"/>
    <w:basedOn w:val="2"/>
    <w:link w:val="46"/>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0"/>
    <w:rPr>
      <w:sz w:val="21"/>
      <w:szCs w:val="21"/>
    </w:rPr>
  </w:style>
  <w:style w:type="character" w:customStyle="1" w:styleId="29">
    <w:name w:val="文档结构图 Char1"/>
    <w:basedOn w:val="23"/>
    <w:semiHidden/>
    <w:qFormat/>
    <w:uiPriority w:val="99"/>
    <w:rPr>
      <w:rFonts w:ascii="宋体" w:hAnsi="Times New Roman"/>
      <w:kern w:val="2"/>
      <w:sz w:val="18"/>
      <w:szCs w:val="18"/>
    </w:rPr>
  </w:style>
  <w:style w:type="character" w:customStyle="1" w:styleId="30">
    <w:name w:val="标题 1 字符"/>
    <w:basedOn w:val="23"/>
    <w:link w:val="3"/>
    <w:qFormat/>
    <w:uiPriority w:val="0"/>
    <w:rPr>
      <w:rFonts w:ascii="Times New Roman" w:hAnsi="Times New Roman"/>
      <w:b/>
      <w:bCs/>
      <w:kern w:val="44"/>
      <w:sz w:val="32"/>
      <w:szCs w:val="44"/>
    </w:rPr>
  </w:style>
  <w:style w:type="character" w:customStyle="1" w:styleId="31">
    <w:name w:val="正文缩进 字符"/>
    <w:link w:val="6"/>
    <w:qFormat/>
    <w:uiPriority w:val="0"/>
    <w:rPr>
      <w:rFonts w:ascii="宋体"/>
      <w:sz w:val="24"/>
    </w:rPr>
  </w:style>
  <w:style w:type="character" w:customStyle="1" w:styleId="32">
    <w:name w:val="批注主题 字符"/>
    <w:basedOn w:val="33"/>
    <w:link w:val="20"/>
    <w:semiHidden/>
    <w:qFormat/>
    <w:uiPriority w:val="0"/>
    <w:rPr>
      <w:rFonts w:ascii="Times New Roman" w:hAnsi="Times New Roman"/>
      <w:b/>
      <w:bCs/>
      <w:kern w:val="2"/>
      <w:sz w:val="21"/>
      <w:szCs w:val="24"/>
    </w:rPr>
  </w:style>
  <w:style w:type="character" w:customStyle="1" w:styleId="33">
    <w:name w:val="批注文字 字符"/>
    <w:basedOn w:val="23"/>
    <w:link w:val="8"/>
    <w:qFormat/>
    <w:uiPriority w:val="0"/>
    <w:rPr>
      <w:rFonts w:ascii="Times New Roman" w:hAnsi="Times New Roman"/>
      <w:kern w:val="2"/>
      <w:sz w:val="21"/>
      <w:szCs w:val="24"/>
    </w:rPr>
  </w:style>
  <w:style w:type="character" w:customStyle="1" w:styleId="34">
    <w:name w:val="页眉 字符"/>
    <w:basedOn w:val="23"/>
    <w:link w:val="15"/>
    <w:qFormat/>
    <w:uiPriority w:val="0"/>
    <w:rPr>
      <w:rFonts w:ascii="Times New Roman" w:hAnsi="Times New Roman"/>
      <w:kern w:val="2"/>
      <w:sz w:val="18"/>
      <w:szCs w:val="18"/>
    </w:rPr>
  </w:style>
  <w:style w:type="character" w:customStyle="1" w:styleId="35">
    <w:name w:val="apple-converted-space"/>
    <w:qFormat/>
    <w:uiPriority w:val="0"/>
  </w:style>
  <w:style w:type="character" w:customStyle="1" w:styleId="36">
    <w:name w:val="文档结构图 字符"/>
    <w:link w:val="7"/>
    <w:qFormat/>
    <w:uiPriority w:val="0"/>
    <w:rPr>
      <w:rFonts w:ascii="宋体"/>
      <w:kern w:val="2"/>
      <w:sz w:val="18"/>
      <w:szCs w:val="18"/>
    </w:rPr>
  </w:style>
  <w:style w:type="character" w:customStyle="1" w:styleId="37">
    <w:name w:val="正文文本缩进 字符"/>
    <w:basedOn w:val="23"/>
    <w:link w:val="9"/>
    <w:qFormat/>
    <w:uiPriority w:val="0"/>
    <w:rPr>
      <w:rFonts w:ascii="Times New Roman" w:hAnsi="Times New Roman"/>
      <w:kern w:val="2"/>
      <w:sz w:val="21"/>
      <w:szCs w:val="24"/>
    </w:rPr>
  </w:style>
  <w:style w:type="character" w:customStyle="1" w:styleId="38">
    <w:name w:val="正文文本 字符"/>
    <w:basedOn w:val="23"/>
    <w:link w:val="2"/>
    <w:qFormat/>
    <w:uiPriority w:val="0"/>
    <w:rPr>
      <w:rFonts w:ascii="宋体" w:hAnsi="宋体"/>
      <w:kern w:val="2"/>
      <w:sz w:val="24"/>
      <w:szCs w:val="24"/>
    </w:rPr>
  </w:style>
  <w:style w:type="character" w:customStyle="1" w:styleId="39">
    <w:name w:val="页脚 字符"/>
    <w:basedOn w:val="23"/>
    <w:link w:val="14"/>
    <w:qFormat/>
    <w:uiPriority w:val="0"/>
    <w:rPr>
      <w:rFonts w:ascii="Times New Roman" w:hAnsi="Times New Roman"/>
      <w:kern w:val="2"/>
      <w:sz w:val="18"/>
      <w:szCs w:val="18"/>
    </w:rPr>
  </w:style>
  <w:style w:type="character" w:customStyle="1" w:styleId="40">
    <w:name w:val="标题 2 字符"/>
    <w:basedOn w:val="23"/>
    <w:link w:val="4"/>
    <w:qFormat/>
    <w:uiPriority w:val="0"/>
    <w:rPr>
      <w:rFonts w:ascii="Arial" w:hAnsi="Arial"/>
      <w:b/>
      <w:sz w:val="32"/>
    </w:rPr>
  </w:style>
  <w:style w:type="character" w:customStyle="1" w:styleId="41">
    <w:name w:val="样式（正文） Char"/>
    <w:link w:val="42"/>
    <w:qFormat/>
    <w:locked/>
    <w:uiPriority w:val="0"/>
    <w:rPr>
      <w:rFonts w:ascii="宋体" w:hAnsi="宋体"/>
      <w:kern w:val="2"/>
      <w:sz w:val="24"/>
      <w:szCs w:val="22"/>
    </w:rPr>
  </w:style>
  <w:style w:type="paragraph" w:customStyle="1" w:styleId="42">
    <w:name w:val="样式（正文）"/>
    <w:basedOn w:val="1"/>
    <w:link w:val="41"/>
    <w:qFormat/>
    <w:uiPriority w:val="0"/>
    <w:pPr>
      <w:spacing w:line="360" w:lineRule="auto"/>
      <w:ind w:firstLine="200" w:firstLineChars="200"/>
    </w:pPr>
    <w:rPr>
      <w:rFonts w:ascii="宋体" w:hAnsi="宋体"/>
      <w:sz w:val="24"/>
      <w:szCs w:val="22"/>
    </w:rPr>
  </w:style>
  <w:style w:type="character" w:customStyle="1" w:styleId="43">
    <w:name w:val="标题 3 字符"/>
    <w:basedOn w:val="23"/>
    <w:link w:val="5"/>
    <w:qFormat/>
    <w:uiPriority w:val="0"/>
    <w:rPr>
      <w:rFonts w:ascii="宋体" w:hAnsi="Times New Roman"/>
      <w:b/>
      <w:sz w:val="24"/>
    </w:rPr>
  </w:style>
  <w:style w:type="character" w:customStyle="1" w:styleId="44">
    <w:name w:val="纯文本 Char"/>
    <w:basedOn w:val="23"/>
    <w:qFormat/>
    <w:uiPriority w:val="0"/>
    <w:rPr>
      <w:rFonts w:ascii="宋体" w:hAnsi="Courier New" w:cs="Courier New"/>
      <w:kern w:val="2"/>
      <w:sz w:val="21"/>
      <w:szCs w:val="21"/>
    </w:rPr>
  </w:style>
  <w:style w:type="character" w:customStyle="1" w:styleId="45">
    <w:name w:val="纯文本 Char1"/>
    <w:qFormat/>
    <w:uiPriority w:val="0"/>
    <w:rPr>
      <w:rFonts w:ascii="宋体" w:hAnsi="Courier New"/>
      <w:kern w:val="2"/>
      <w:sz w:val="21"/>
    </w:rPr>
  </w:style>
  <w:style w:type="character" w:customStyle="1" w:styleId="46">
    <w:name w:val="正文文本首行缩进 字符"/>
    <w:basedOn w:val="38"/>
    <w:link w:val="21"/>
    <w:semiHidden/>
    <w:qFormat/>
    <w:uiPriority w:val="99"/>
    <w:rPr>
      <w:rFonts w:ascii="宋体" w:hAnsi="宋体"/>
      <w:kern w:val="2"/>
      <w:sz w:val="21"/>
      <w:szCs w:val="24"/>
    </w:rPr>
  </w:style>
  <w:style w:type="character" w:customStyle="1" w:styleId="47">
    <w:name w:val="批注框文本 字符"/>
    <w:basedOn w:val="23"/>
    <w:link w:val="13"/>
    <w:semiHidden/>
    <w:qFormat/>
    <w:uiPriority w:val="0"/>
    <w:rPr>
      <w:rFonts w:ascii="Times New Roman" w:hAnsi="Times New Roman"/>
      <w:kern w:val="2"/>
      <w:sz w:val="18"/>
      <w:szCs w:val="18"/>
    </w:rPr>
  </w:style>
  <w:style w:type="character" w:customStyle="1" w:styleId="48">
    <w:name w:val="纯文本 字符"/>
    <w:basedOn w:val="23"/>
    <w:link w:val="11"/>
    <w:qFormat/>
    <w:uiPriority w:val="0"/>
    <w:rPr>
      <w:rFonts w:hint="eastAsia" w:ascii="宋体" w:hAnsi="Courier New" w:eastAsia="宋体" w:cs="Courier New"/>
      <w:kern w:val="2"/>
      <w:sz w:val="21"/>
      <w:szCs w:val="21"/>
    </w:rPr>
  </w:style>
  <w:style w:type="character" w:customStyle="1" w:styleId="49">
    <w:name w:val="正文文本缩进 2 字符"/>
    <w:basedOn w:val="23"/>
    <w:link w:val="12"/>
    <w:qFormat/>
    <w:uiPriority w:val="0"/>
    <w:rPr>
      <w:rFonts w:ascii="Times New Roman" w:hAnsi="Times New Roman"/>
      <w:kern w:val="2"/>
      <w:sz w:val="21"/>
      <w:szCs w:val="24"/>
    </w:rPr>
  </w:style>
  <w:style w:type="paragraph" w:styleId="50">
    <w:name w:val="List Paragraph"/>
    <w:basedOn w:val="1"/>
    <w:qFormat/>
    <w:uiPriority w:val="99"/>
    <w:pPr>
      <w:ind w:firstLine="420" w:firstLineChars="200"/>
    </w:pPr>
    <w:rPr>
      <w:rFonts w:ascii="Calibri" w:hAnsi="Calibri"/>
      <w:szCs w:val="22"/>
    </w:rPr>
  </w:style>
  <w:style w:type="paragraph" w:customStyle="1" w:styleId="51">
    <w:name w:val="Char1"/>
    <w:basedOn w:val="1"/>
    <w:qFormat/>
    <w:uiPriority w:val="0"/>
    <w:rPr>
      <w:rFonts w:ascii="Tahoma" w:hAnsi="Tahoma"/>
      <w:sz w:val="24"/>
      <w:szCs w:val="20"/>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样式1"/>
    <w:basedOn w:val="5"/>
    <w:qFormat/>
    <w:uiPriority w:val="0"/>
    <w:pPr>
      <w:jc w:val="center"/>
    </w:pPr>
  </w:style>
  <w:style w:type="paragraph" w:customStyle="1" w:styleId="54">
    <w:name w:val="列出段落1"/>
    <w:basedOn w:val="1"/>
    <w:qFormat/>
    <w:uiPriority w:val="0"/>
    <w:pPr>
      <w:spacing w:line="300" w:lineRule="auto"/>
      <w:ind w:firstLine="420" w:firstLineChars="200"/>
    </w:pPr>
    <w:rPr>
      <w:sz w:val="24"/>
    </w:rPr>
  </w:style>
  <w:style w:type="paragraph" w:customStyle="1" w:styleId="55">
    <w:name w:val="Char"/>
    <w:basedOn w:val="1"/>
    <w:next w:val="1"/>
    <w:qFormat/>
    <w:uiPriority w:val="0"/>
    <w:pPr>
      <w:widowControl/>
      <w:spacing w:line="360" w:lineRule="auto"/>
      <w:jc w:val="left"/>
    </w:pPr>
    <w:rPr>
      <w:kern w:val="0"/>
      <w:szCs w:val="20"/>
      <w:lang w:eastAsia="en-US"/>
    </w:rPr>
  </w:style>
  <w:style w:type="paragraph" w:customStyle="1" w:styleId="56">
    <w:name w:val="p0"/>
    <w:basedOn w:val="1"/>
    <w:qFormat/>
    <w:uiPriority w:val="0"/>
    <w:pPr>
      <w:widowControl/>
      <w:snapToGrid w:val="0"/>
      <w:spacing w:after="200"/>
      <w:jc w:val="left"/>
    </w:pPr>
    <w:rPr>
      <w:rFonts w:ascii="Tahoma" w:hAnsi="Tahoma" w:cs="Tahoma"/>
      <w:kern w:val="0"/>
      <w:sz w:val="22"/>
      <w:szCs w:val="22"/>
    </w:rPr>
  </w:style>
  <w:style w:type="paragraph" w:customStyle="1" w:styleId="57">
    <w:name w:val="Char2"/>
    <w:basedOn w:val="1"/>
    <w:qFormat/>
    <w:uiPriority w:val="0"/>
    <w:pPr>
      <w:tabs>
        <w:tab w:val="left" w:pos="432"/>
      </w:tabs>
      <w:spacing w:beforeLines="50" w:afterLines="50"/>
      <w:ind w:left="864" w:hanging="432"/>
    </w:pPr>
    <w:rPr>
      <w:sz w:val="24"/>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样式 标题 2 + 段后: 156 磅"/>
    <w:basedOn w:val="4"/>
    <w:qFormat/>
    <w:uiPriority w:val="0"/>
    <w:pPr>
      <w:spacing w:before="100" w:after="100" w:line="240" w:lineRule="auto"/>
    </w:pPr>
    <w:rPr>
      <w:rFonts w:cs="宋体"/>
      <w:bCs/>
      <w:sz w:val="30"/>
    </w:rPr>
  </w:style>
  <w:style w:type="paragraph" w:customStyle="1" w:styleId="63">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3142</Words>
  <Characters>17911</Characters>
  <Lines>149</Lines>
  <Paragraphs>42</Paragraphs>
  <TotalTime>1</TotalTime>
  <ScaleCrop>false</ScaleCrop>
  <LinksUpToDate>false</LinksUpToDate>
  <CharactersWithSpaces>21011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DROP</cp:lastModifiedBy>
  <cp:lastPrinted>2018-05-11T08:28:00Z</cp:lastPrinted>
  <dcterms:modified xsi:type="dcterms:W3CDTF">2021-11-17T02:08:17Z</dcterms:modified>
  <dc:title>安庆市社会服务管理信息化平台建设</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CBE728F1AAF9454FAC8A902599B316E0</vt:lpwstr>
  </property>
</Properties>
</file>