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highlight w:val="none"/>
        </w:rPr>
      </w:pPr>
      <w:bookmarkStart w:id="168" w:name="_GoBack"/>
      <w:r>
        <w:rPr>
          <w:rFonts w:ascii="宋体" w:hAnsi="宋体"/>
          <w:szCs w:val="21"/>
          <w:highlight w:val="none"/>
        </w:rPr>
        <w:t xml:space="preserve"> </w:t>
      </w:r>
      <w:r>
        <w:rPr>
          <w:rFonts w:ascii="宋体" w:hAnsi="宋体"/>
          <w:sz w:val="44"/>
          <w:szCs w:val="44"/>
          <w:highlight w:val="none"/>
        </w:rPr>
        <w:t xml:space="preserve">      </w:t>
      </w:r>
    </w:p>
    <w:p>
      <w:pPr>
        <w:spacing w:line="480" w:lineRule="exact"/>
        <w:jc w:val="center"/>
        <w:rPr>
          <w:rFonts w:ascii="宋体" w:hAnsi="宋体"/>
          <w:b/>
          <w:sz w:val="44"/>
          <w:szCs w:val="44"/>
          <w:highlight w:val="none"/>
        </w:rPr>
      </w:pPr>
      <w:r>
        <w:rPr>
          <w:rFonts w:hint="eastAsia" w:ascii="宋体" w:hAnsi="宋体"/>
          <w:b/>
          <w:sz w:val="44"/>
          <w:szCs w:val="44"/>
          <w:highlight w:val="none"/>
        </w:rPr>
        <w:t>安庆职业技术学院网络安全等级保护测评项目</w:t>
      </w:r>
    </w:p>
    <w:p>
      <w:pPr>
        <w:spacing w:line="480" w:lineRule="exact"/>
        <w:rPr>
          <w:rFonts w:ascii="仿宋_GB2312" w:hAnsi="宋体" w:eastAsia="仿宋_GB2312"/>
          <w:b/>
          <w:sz w:val="44"/>
          <w:szCs w:val="44"/>
          <w:highlight w:val="none"/>
        </w:rPr>
      </w:pPr>
    </w:p>
    <w:p>
      <w:pPr>
        <w:spacing w:line="480" w:lineRule="exact"/>
        <w:rPr>
          <w:rFonts w:ascii="宋体"/>
          <w:szCs w:val="21"/>
          <w:highlight w:val="none"/>
        </w:rPr>
      </w:pPr>
    </w:p>
    <w:p>
      <w:pPr>
        <w:pStyle w:val="59"/>
        <w:ind w:firstLine="400"/>
        <w:rPr>
          <w:rFonts w:ascii="宋体"/>
          <w:szCs w:val="21"/>
          <w:highlight w:val="none"/>
        </w:rPr>
      </w:pPr>
    </w:p>
    <w:p>
      <w:pPr>
        <w:pStyle w:val="59"/>
        <w:ind w:firstLine="400"/>
        <w:rPr>
          <w:rFonts w:ascii="宋体"/>
          <w:szCs w:val="21"/>
          <w:highlight w:val="none"/>
        </w:rPr>
      </w:pPr>
    </w:p>
    <w:p>
      <w:pPr>
        <w:pStyle w:val="59"/>
        <w:ind w:firstLine="400"/>
        <w:rPr>
          <w:rFonts w:ascii="宋体"/>
          <w:szCs w:val="21"/>
          <w:highlight w:val="none"/>
        </w:rPr>
      </w:pPr>
    </w:p>
    <w:p>
      <w:pPr>
        <w:pStyle w:val="59"/>
        <w:ind w:firstLine="400"/>
        <w:rPr>
          <w:rFonts w:ascii="宋体"/>
          <w:szCs w:val="21"/>
          <w:highlight w:val="none"/>
        </w:rPr>
      </w:pPr>
    </w:p>
    <w:p>
      <w:pPr>
        <w:pStyle w:val="59"/>
        <w:ind w:firstLine="400"/>
        <w:rPr>
          <w:rFonts w:ascii="宋体"/>
          <w:szCs w:val="21"/>
          <w:highlight w:val="none"/>
        </w:rPr>
      </w:pPr>
    </w:p>
    <w:p>
      <w:pPr>
        <w:pStyle w:val="59"/>
        <w:ind w:firstLine="400"/>
        <w:rPr>
          <w:rFonts w:ascii="宋体"/>
          <w:szCs w:val="21"/>
          <w:highlight w:val="none"/>
        </w:rPr>
      </w:pPr>
    </w:p>
    <w:p>
      <w:pPr>
        <w:spacing w:line="760" w:lineRule="exact"/>
        <w:jc w:val="center"/>
        <w:rPr>
          <w:rFonts w:ascii="宋体" w:cs="宋体"/>
          <w:b/>
          <w:bCs/>
          <w:sz w:val="48"/>
          <w:szCs w:val="48"/>
          <w:highlight w:val="none"/>
        </w:rPr>
      </w:pPr>
      <w:r>
        <w:rPr>
          <w:rFonts w:hint="eastAsia" w:ascii="宋体" w:hAnsi="宋体" w:cs="宋体"/>
          <w:b/>
          <w:bCs/>
          <w:sz w:val="72"/>
          <w:szCs w:val="72"/>
          <w:highlight w:val="none"/>
        </w:rPr>
        <w:t>磋</w:t>
      </w:r>
      <w:r>
        <w:rPr>
          <w:rFonts w:ascii="宋体" w:hAnsi="宋体" w:cs="宋体"/>
          <w:b/>
          <w:bCs/>
          <w:sz w:val="72"/>
          <w:szCs w:val="72"/>
          <w:highlight w:val="none"/>
        </w:rPr>
        <w:t xml:space="preserve">  </w:t>
      </w:r>
      <w:r>
        <w:rPr>
          <w:rFonts w:hint="eastAsia" w:ascii="宋体" w:hAnsi="宋体" w:cs="宋体"/>
          <w:b/>
          <w:bCs/>
          <w:sz w:val="72"/>
          <w:szCs w:val="72"/>
          <w:highlight w:val="none"/>
        </w:rPr>
        <w:t>商</w:t>
      </w:r>
      <w:r>
        <w:rPr>
          <w:rFonts w:ascii="宋体" w:hAnsi="宋体" w:cs="宋体"/>
          <w:b/>
          <w:bCs/>
          <w:sz w:val="72"/>
          <w:szCs w:val="72"/>
          <w:highlight w:val="none"/>
        </w:rPr>
        <w:t xml:space="preserve">  </w:t>
      </w:r>
      <w:r>
        <w:rPr>
          <w:rFonts w:hint="eastAsia" w:ascii="宋体" w:hAnsi="宋体" w:cs="宋体"/>
          <w:b/>
          <w:bCs/>
          <w:sz w:val="72"/>
          <w:szCs w:val="72"/>
          <w:highlight w:val="none"/>
        </w:rPr>
        <w:t>文</w:t>
      </w:r>
      <w:r>
        <w:rPr>
          <w:rFonts w:ascii="宋体" w:hAnsi="宋体" w:cs="宋体"/>
          <w:b/>
          <w:bCs/>
          <w:sz w:val="72"/>
          <w:szCs w:val="72"/>
          <w:highlight w:val="none"/>
        </w:rPr>
        <w:t xml:space="preserve">  </w:t>
      </w:r>
      <w:r>
        <w:rPr>
          <w:rFonts w:hint="eastAsia" w:ascii="宋体" w:hAnsi="宋体" w:cs="宋体"/>
          <w:b/>
          <w:bCs/>
          <w:sz w:val="72"/>
          <w:szCs w:val="72"/>
          <w:highlight w:val="none"/>
        </w:rPr>
        <w:t>件</w:t>
      </w:r>
    </w:p>
    <w:p>
      <w:pPr>
        <w:spacing w:line="480" w:lineRule="exact"/>
        <w:jc w:val="center"/>
        <w:rPr>
          <w:rFonts w:ascii="宋体" w:cs="宋体"/>
          <w:b/>
          <w:bCs/>
          <w:sz w:val="48"/>
          <w:szCs w:val="48"/>
          <w:highlight w:val="none"/>
        </w:rPr>
      </w:pPr>
    </w:p>
    <w:p>
      <w:pPr>
        <w:spacing w:line="480" w:lineRule="exact"/>
        <w:jc w:val="center"/>
        <w:rPr>
          <w:rFonts w:ascii="宋体" w:hAnsi="宋体" w:cs="宋体"/>
          <w:b/>
          <w:bCs/>
          <w:sz w:val="28"/>
          <w:szCs w:val="28"/>
          <w:highlight w:val="none"/>
        </w:rPr>
      </w:pPr>
      <w:r>
        <w:rPr>
          <w:rFonts w:hint="eastAsia" w:ascii="宋体" w:hAnsi="宋体" w:cs="宋体"/>
          <w:b/>
          <w:bCs/>
          <w:sz w:val="28"/>
          <w:szCs w:val="28"/>
          <w:highlight w:val="none"/>
        </w:rPr>
        <w:t>项目编号：CG-AZ-2021-026</w:t>
      </w:r>
    </w:p>
    <w:p>
      <w:pPr>
        <w:spacing w:line="480" w:lineRule="exact"/>
        <w:jc w:val="center"/>
        <w:rPr>
          <w:rFonts w:ascii="宋体" w:hAnsi="宋体" w:cs="仿宋_GB2312"/>
          <w:b/>
          <w:bCs/>
          <w:sz w:val="28"/>
          <w:szCs w:val="28"/>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pStyle w:val="59"/>
        <w:ind w:firstLine="400"/>
        <w:rPr>
          <w:rFonts w:ascii="宋体" w:hAnsi="宋体" w:cs="仿宋_GB2312"/>
          <w:szCs w:val="21"/>
          <w:highlight w:val="none"/>
        </w:rPr>
      </w:pPr>
    </w:p>
    <w:p>
      <w:pPr>
        <w:pStyle w:val="59"/>
        <w:ind w:firstLine="400"/>
        <w:rPr>
          <w:rFonts w:ascii="宋体" w:hAnsi="宋体" w:cs="仿宋_GB2312"/>
          <w:szCs w:val="21"/>
          <w:highlight w:val="none"/>
        </w:rPr>
      </w:pPr>
    </w:p>
    <w:p>
      <w:pPr>
        <w:spacing w:line="480" w:lineRule="exact"/>
        <w:rPr>
          <w:rFonts w:ascii="宋体" w:hAnsi="宋体" w:cs="仿宋_GB2312"/>
          <w:szCs w:val="21"/>
          <w:highlight w:val="none"/>
        </w:rPr>
      </w:pPr>
    </w:p>
    <w:p>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rPr>
        <w:t xml:space="preserve">    安庆职业技术学院</w:t>
      </w:r>
      <w:r>
        <w:rPr>
          <w:rFonts w:ascii="宋体" w:hAnsi="宋体" w:cs="仿宋_GB2312"/>
          <w:b/>
          <w:spacing w:val="20"/>
          <w:sz w:val="30"/>
          <w:szCs w:val="30"/>
          <w:highlight w:val="none"/>
          <w:u w:val="single"/>
        </w:rPr>
        <w:t xml:space="preserve">    </w:t>
      </w:r>
      <w:r>
        <w:rPr>
          <w:rFonts w:hint="eastAsia" w:ascii="宋体" w:hAnsi="宋体" w:cs="仿宋_GB2312"/>
          <w:b/>
          <w:spacing w:val="20"/>
          <w:sz w:val="30"/>
          <w:szCs w:val="30"/>
          <w:highlight w:val="none"/>
          <w:u w:val="single"/>
        </w:rPr>
        <w:t xml:space="preserve">    </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spacing w:line="360" w:lineRule="auto"/>
        <w:ind w:firstLine="596" w:firstLineChars="198"/>
        <w:rPr>
          <w:rFonts w:ascii="宋体" w:hAnsi="宋体" w:cs="仿宋_GB2312"/>
          <w:b/>
          <w:sz w:val="18"/>
          <w:szCs w:val="18"/>
          <w:highlight w:val="none"/>
        </w:rPr>
      </w:pPr>
      <w:r>
        <w:rPr>
          <w:rFonts w:hint="eastAsia" w:ascii="宋体" w:hAnsi="宋体" w:cs="仿宋_GB2312"/>
          <w:b/>
          <w:sz w:val="30"/>
          <w:szCs w:val="30"/>
          <w:highlight w:val="none"/>
        </w:rPr>
        <w:t>采购代理机构：</w:t>
      </w:r>
      <w:r>
        <w:rPr>
          <w:rFonts w:ascii="宋体" w:hAnsi="宋体" w:cs="仿宋_GB2312"/>
          <w:b/>
          <w:sz w:val="30"/>
          <w:szCs w:val="30"/>
          <w:highlight w:val="none"/>
          <w:u w:val="single"/>
        </w:rPr>
        <w:t xml:space="preserve">     </w:t>
      </w:r>
      <w:r>
        <w:rPr>
          <w:rFonts w:hint="eastAsia" w:ascii="宋体" w:hAnsi="宋体" w:cs="宋体"/>
          <w:b/>
          <w:sz w:val="30"/>
          <w:szCs w:val="30"/>
          <w:highlight w:val="none"/>
          <w:u w:val="single"/>
        </w:rPr>
        <w:t>安庆市皖宜项目咨询管理有限公司</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u w:val="singl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jc w:val="center"/>
        <w:rPr>
          <w:rFonts w:ascii="宋体" w:hAnsi="宋体" w:cs="仿宋_GB2312"/>
          <w:b/>
          <w:bCs/>
          <w:sz w:val="32"/>
          <w:szCs w:val="32"/>
          <w:highlight w:val="none"/>
        </w:rPr>
      </w:pPr>
      <w:r>
        <w:rPr>
          <w:rFonts w:hint="eastAsia" w:ascii="宋体" w:hAnsi="宋体" w:cs="仿宋_GB2312"/>
          <w:b/>
          <w:bCs/>
          <w:sz w:val="32"/>
          <w:szCs w:val="32"/>
          <w:highlight w:val="none"/>
        </w:rPr>
        <w:t>日期：</w:t>
      </w:r>
      <w:r>
        <w:rPr>
          <w:rFonts w:hint="eastAsia" w:ascii="宋体" w:hAnsi="宋体" w:cs="宋体"/>
          <w:b/>
          <w:bCs/>
          <w:sz w:val="30"/>
          <w:szCs w:val="30"/>
          <w:highlight w:val="none"/>
        </w:rPr>
        <w:t>二〇二一年十一月</w:t>
      </w:r>
    </w:p>
    <w:p>
      <w:pPr>
        <w:spacing w:line="480" w:lineRule="exact"/>
        <w:jc w:val="center"/>
        <w:rPr>
          <w:rFonts w:ascii="宋体" w:hAnsi="宋体" w:cs="仿宋_GB2312"/>
          <w:sz w:val="32"/>
          <w:szCs w:val="32"/>
          <w:highlight w:val="none"/>
        </w:rPr>
      </w:pPr>
    </w:p>
    <w:p>
      <w:pPr>
        <w:spacing w:line="480" w:lineRule="exact"/>
        <w:jc w:val="center"/>
        <w:rPr>
          <w:rFonts w:ascii="宋体" w:hAnsi="宋体" w:cs="仿宋_GB2312"/>
          <w:sz w:val="32"/>
          <w:szCs w:val="32"/>
          <w:highlight w:val="none"/>
        </w:rPr>
      </w:pPr>
    </w:p>
    <w:p>
      <w:pPr>
        <w:spacing w:line="480" w:lineRule="exact"/>
        <w:jc w:val="center"/>
        <w:rPr>
          <w:rFonts w:ascii="宋体" w:hAnsi="宋体" w:cs="仿宋_GB2312"/>
          <w:sz w:val="32"/>
          <w:szCs w:val="32"/>
          <w:highlight w:val="none"/>
        </w:rPr>
      </w:pPr>
    </w:p>
    <w:p>
      <w:pPr>
        <w:spacing w:line="480" w:lineRule="exact"/>
        <w:jc w:val="center"/>
        <w:rPr>
          <w:rFonts w:ascii="宋体" w:hAnsi="宋体" w:cs="仿宋_GB2312"/>
          <w:sz w:val="32"/>
          <w:szCs w:val="32"/>
          <w:highlight w:val="none"/>
        </w:rPr>
      </w:pPr>
    </w:p>
    <w:p>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示</w:t>
      </w:r>
    </w:p>
    <w:p>
      <w:pPr>
        <w:widowControl/>
        <w:spacing w:line="360" w:lineRule="auto"/>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各供应商：</w:t>
      </w:r>
    </w:p>
    <w:p>
      <w:pPr>
        <w:widowControl/>
        <w:spacing w:line="360" w:lineRule="auto"/>
        <w:ind w:firstLine="640" w:firstLineChars="200"/>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鉴于新冠肺炎疫情防控工作需要，要求如下：</w:t>
      </w:r>
      <w:r>
        <w:rPr>
          <w:rFonts w:ascii="仿宋" w:hAnsi="仿宋" w:eastAsia="仿宋" w:cs="仿宋"/>
          <w:bCs/>
          <w:kern w:val="0"/>
          <w:sz w:val="32"/>
          <w:szCs w:val="32"/>
          <w:highlight w:val="none"/>
        </w:rPr>
        <w:t xml:space="preserve"> </w:t>
      </w:r>
    </w:p>
    <w:p>
      <w:pPr>
        <w:widowControl/>
        <w:spacing w:line="360" w:lineRule="auto"/>
        <w:ind w:firstLine="640" w:firstLineChars="200"/>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一、本项目供应商仅能派一名身体健康、无咳嗽、发烧等不良症状的法定代表人或其委托代理人到达开标现场。</w:t>
      </w:r>
      <w:r>
        <w:rPr>
          <w:rFonts w:hint="eastAsia" w:ascii="仿宋" w:hAnsi="仿宋" w:eastAsia="仿宋" w:cs="仿宋"/>
          <w:b/>
          <w:bCs/>
          <w:kern w:val="0"/>
          <w:sz w:val="32"/>
          <w:szCs w:val="32"/>
          <w:highlight w:val="none"/>
        </w:rPr>
        <w:t>法定代表人或其委托代理人须符合以下情形，否则响应文件将不予接收。</w:t>
      </w:r>
    </w:p>
    <w:p>
      <w:pPr>
        <w:spacing w:line="360" w:lineRule="auto"/>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递交响应文件前须提交疫情低风险区域证明；或提交响应文件截止时间七日内核酸检测报告；或出示健康码。</w:t>
      </w:r>
    </w:p>
    <w:p>
      <w:pPr>
        <w:spacing w:line="360" w:lineRule="auto"/>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1、</w:t>
      </w:r>
      <w:r>
        <w:rPr>
          <w:rFonts w:ascii="仿宋" w:hAnsi="仿宋" w:eastAsia="仿宋" w:cs="仿宋"/>
          <w:bCs/>
          <w:kern w:val="0"/>
          <w:sz w:val="32"/>
          <w:szCs w:val="32"/>
          <w:highlight w:val="none"/>
        </w:rPr>
        <w:t>居民身份证上住址属于疫情低风险区域。疫情低风险区域的证明材料包括：</w:t>
      </w:r>
      <w:r>
        <w:rPr>
          <w:rFonts w:hint="eastAsia" w:ascii="仿宋" w:hAnsi="仿宋" w:eastAsia="仿宋" w:cs="仿宋"/>
          <w:bCs/>
          <w:kern w:val="0"/>
          <w:sz w:val="32"/>
          <w:szCs w:val="32"/>
          <w:highlight w:val="none"/>
        </w:rPr>
        <w:t>2021</w:t>
      </w:r>
      <w:r>
        <w:rPr>
          <w:rFonts w:ascii="仿宋" w:hAnsi="仿宋" w:eastAsia="仿宋" w:cs="仿宋"/>
          <w:bCs/>
          <w:kern w:val="0"/>
          <w:sz w:val="32"/>
          <w:szCs w:val="32"/>
          <w:highlight w:val="none"/>
        </w:rPr>
        <w:t>年</w:t>
      </w:r>
      <w:r>
        <w:rPr>
          <w:rFonts w:hint="eastAsia" w:ascii="仿宋" w:hAnsi="仿宋" w:eastAsia="仿宋" w:cs="仿宋"/>
          <w:bCs/>
          <w:kern w:val="0"/>
          <w:sz w:val="32"/>
          <w:szCs w:val="32"/>
          <w:highlight w:val="none"/>
        </w:rPr>
        <w:t>11</w:t>
      </w:r>
      <w:r>
        <w:rPr>
          <w:rFonts w:ascii="仿宋" w:hAnsi="仿宋" w:eastAsia="仿宋" w:cs="仿宋"/>
          <w:bCs/>
          <w:kern w:val="0"/>
          <w:sz w:val="32"/>
          <w:szCs w:val="32"/>
          <w:highlight w:val="none"/>
        </w:rPr>
        <w:t>月</w:t>
      </w:r>
      <w:r>
        <w:rPr>
          <w:rFonts w:hint="eastAsia" w:ascii="仿宋" w:hAnsi="仿宋" w:eastAsia="仿宋" w:cs="仿宋"/>
          <w:bCs/>
          <w:kern w:val="0"/>
          <w:sz w:val="32"/>
          <w:szCs w:val="32"/>
          <w:highlight w:val="none"/>
          <w:lang w:val="en-US" w:eastAsia="zh-CN"/>
        </w:rPr>
        <w:t>23</w:t>
      </w:r>
      <w:r>
        <w:rPr>
          <w:rFonts w:ascii="仿宋" w:hAnsi="仿宋" w:eastAsia="仿宋" w:cs="仿宋"/>
          <w:bCs/>
          <w:kern w:val="0"/>
          <w:sz w:val="32"/>
          <w:szCs w:val="32"/>
          <w:highlight w:val="none"/>
        </w:rPr>
        <w:t>日24</w:t>
      </w:r>
      <w:r>
        <w:rPr>
          <w:rFonts w:ascii="仿宋" w:hAnsi="仿宋" w:eastAsia="仿宋" w:cs="仿宋"/>
          <w:bCs/>
          <w:kern w:val="0"/>
          <w:sz w:val="32"/>
          <w:szCs w:val="32"/>
          <w:highlight w:val="none"/>
        </w:rPr>
        <w:t>时前最新发布的政府行政部门官网截图（或网址链接），或社居委或卫生主管部门等政府部门出具的书面证明材料；</w:t>
      </w:r>
      <w:r>
        <w:rPr>
          <w:rFonts w:ascii="仿宋" w:hAnsi="仿宋" w:eastAsia="仿宋" w:cs="仿宋"/>
          <w:bCs/>
          <w:kern w:val="0"/>
          <w:sz w:val="32"/>
          <w:szCs w:val="32"/>
          <w:highlight w:val="none"/>
        </w:rPr>
        <w:br w:type="textWrapping"/>
      </w:r>
      <w:r>
        <w:rPr>
          <w:rFonts w:ascii="仿宋" w:hAnsi="仿宋" w:eastAsia="仿宋" w:cs="仿宋"/>
          <w:bCs/>
          <w:kern w:val="0"/>
          <w:sz w:val="32"/>
          <w:szCs w:val="32"/>
          <w:highlight w:val="none"/>
        </w:rPr>
        <w:t xml:space="preserve">    </w:t>
      </w:r>
      <w:r>
        <w:rPr>
          <w:rFonts w:hint="eastAsia" w:ascii="仿宋" w:hAnsi="仿宋" w:eastAsia="仿宋" w:cs="仿宋"/>
          <w:bCs/>
          <w:kern w:val="0"/>
          <w:sz w:val="32"/>
          <w:szCs w:val="32"/>
          <w:highlight w:val="none"/>
        </w:rPr>
        <w:t>2、</w:t>
      </w:r>
      <w:r>
        <w:rPr>
          <w:rFonts w:ascii="仿宋" w:hAnsi="仿宋" w:eastAsia="仿宋" w:cs="仿宋"/>
          <w:bCs/>
          <w:kern w:val="0"/>
          <w:sz w:val="32"/>
          <w:szCs w:val="32"/>
          <w:highlight w:val="none"/>
        </w:rPr>
        <w:t>健康码须为“绿码”。</w:t>
      </w:r>
    </w:p>
    <w:p>
      <w:pPr>
        <w:spacing w:line="360" w:lineRule="auto"/>
        <w:ind w:firstLine="640" w:firstLineChars="200"/>
        <w:rPr>
          <w:rFonts w:ascii="仿宋" w:hAnsi="仿宋" w:eastAsia="仿宋" w:cs="仿宋"/>
          <w:b/>
          <w:kern w:val="0"/>
          <w:sz w:val="32"/>
          <w:szCs w:val="32"/>
          <w:highlight w:val="none"/>
        </w:rPr>
      </w:pPr>
      <w:r>
        <w:rPr>
          <w:rFonts w:hint="eastAsia" w:ascii="仿宋" w:hAnsi="仿宋" w:eastAsia="仿宋" w:cs="仿宋"/>
          <w:bCs/>
          <w:kern w:val="0"/>
          <w:sz w:val="32"/>
          <w:szCs w:val="32"/>
          <w:highlight w:val="none"/>
        </w:rPr>
        <w:t>二、鉴于新冠肺炎疫情防控工作需要，本项目将于开标前半小时在安庆市公共资源交易中心</w:t>
      </w:r>
      <w:r>
        <w:rPr>
          <w:rFonts w:hint="eastAsia" w:ascii="仿宋" w:hAnsi="仿宋" w:eastAsia="仿宋" w:cs="仿宋"/>
          <w:b/>
          <w:kern w:val="0"/>
          <w:sz w:val="32"/>
          <w:szCs w:val="32"/>
          <w:highlight w:val="none"/>
        </w:rPr>
        <w:t>（龙山路215号）门口处</w:t>
      </w:r>
      <w:r>
        <w:rPr>
          <w:rFonts w:hint="eastAsia" w:ascii="仿宋" w:hAnsi="仿宋" w:eastAsia="仿宋" w:cs="仿宋"/>
          <w:bCs/>
          <w:kern w:val="0"/>
          <w:sz w:val="32"/>
          <w:szCs w:val="32"/>
          <w:highlight w:val="none"/>
        </w:rPr>
        <w:t>接收响应文件，请供应商在递交响应文件前出示健康码（绿码）（或疫情低风险区域证明或提交响应文件截止时间七日内核酸检测报告）、授权书、</w:t>
      </w:r>
      <w:r>
        <w:rPr>
          <w:rFonts w:hint="eastAsia" w:ascii="仿宋" w:hAnsi="仿宋" w:eastAsia="仿宋" w:cs="仿宋"/>
          <w:bCs/>
          <w:kern w:val="0"/>
          <w:sz w:val="32"/>
          <w:szCs w:val="32"/>
          <w:highlight w:val="none"/>
        </w:rPr>
        <w:t>身份证明</w:t>
      </w:r>
      <w:r>
        <w:rPr>
          <w:rFonts w:hint="eastAsia" w:ascii="仿宋" w:hAnsi="仿宋" w:eastAsia="仿宋" w:cs="仿宋"/>
          <w:bCs/>
          <w:kern w:val="0"/>
          <w:sz w:val="32"/>
          <w:szCs w:val="32"/>
          <w:highlight w:val="none"/>
        </w:rPr>
        <w:t>。响应文件递交成功后可暂时离开现场，如有询标或磋商事宜将电话通知。</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rPr>
        <w:t>最后报价表由各响应人磋商后现场递交）</w:t>
      </w:r>
    </w:p>
    <w:p>
      <w:pPr>
        <w:spacing w:line="480" w:lineRule="exact"/>
        <w:jc w:val="center"/>
        <w:rPr>
          <w:rFonts w:ascii="宋体" w:hAnsi="宋体" w:cs="仿宋_GB2312"/>
          <w:sz w:val="32"/>
          <w:szCs w:val="32"/>
          <w:highlight w:val="none"/>
        </w:rPr>
      </w:pPr>
    </w:p>
    <w:p>
      <w:pPr>
        <w:pStyle w:val="390"/>
        <w:spacing w:before="240" w:after="240"/>
        <w:rPr>
          <w:rFonts w:ascii="宋体" w:hAnsi="宋体"/>
          <w:color w:val="auto"/>
          <w:highlight w:val="none"/>
        </w:rPr>
        <w:sectPr>
          <w:headerReference r:id="rId3" w:type="default"/>
          <w:footerReference r:id="rId4" w:type="default"/>
          <w:footerReference r:id="rId5" w:type="even"/>
          <w:pgSz w:w="11906" w:h="16838"/>
          <w:pgMar w:top="1418" w:right="1418" w:bottom="1418" w:left="1418" w:header="851" w:footer="680" w:gutter="0"/>
          <w:pgNumType w:fmt="koreanDigital" w:start="1"/>
          <w:cols w:space="720" w:num="1"/>
          <w:docGrid w:linePitch="290" w:charSpace="0"/>
        </w:sectPr>
      </w:pPr>
    </w:p>
    <w:p>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1、请依据项目资格要求，自行核对营业执照合法有效。</w:t>
      </w:r>
    </w:p>
    <w:p>
      <w:pPr>
        <w:spacing w:line="480" w:lineRule="auto"/>
        <w:ind w:firstLine="482" w:firstLineChars="200"/>
        <w:rPr>
          <w:rFonts w:ascii="宋体" w:hAnsi="宋体" w:cs="宋体"/>
          <w:b/>
          <w:sz w:val="36"/>
          <w:szCs w:val="36"/>
          <w:highlight w:val="none"/>
          <w:lang w:val="zh-CN"/>
        </w:rPr>
      </w:pPr>
      <w:r>
        <w:rPr>
          <w:rFonts w:hint="eastAsia" w:ascii="宋体" w:hAnsi="宋体" w:cs="宋体"/>
          <w:b/>
          <w:kern w:val="0"/>
          <w:sz w:val="24"/>
          <w:szCs w:val="24"/>
          <w:highlight w:val="none"/>
        </w:rPr>
        <w:t>2、对投标活动中可能发生的质疑、投诉行为，须依法在规定的时间内提出。</w:t>
      </w:r>
    </w:p>
    <w:p>
      <w:pPr>
        <w:widowControl/>
        <w:jc w:val="left"/>
        <w:rPr>
          <w:rFonts w:ascii="宋体" w:hAnsi="宋体" w:cs="宋体"/>
          <w:b/>
          <w:sz w:val="36"/>
          <w:szCs w:val="36"/>
          <w:highlight w:val="none"/>
          <w:lang w:val="zh-CN"/>
        </w:rPr>
      </w:pPr>
      <w:r>
        <w:rPr>
          <w:rFonts w:ascii="宋体" w:hAnsi="宋体" w:cs="宋体"/>
          <w:b/>
          <w:sz w:val="36"/>
          <w:szCs w:val="36"/>
          <w:highlight w:val="none"/>
          <w:lang w:val="zh-CN"/>
        </w:rPr>
        <w:br w:type="page"/>
      </w:r>
    </w:p>
    <w:p>
      <w:pPr>
        <w:spacing w:line="480" w:lineRule="exact"/>
        <w:jc w:val="center"/>
        <w:rPr>
          <w:rFonts w:ascii="宋体" w:hAnsi="宋体" w:cs="宋体"/>
          <w:b/>
          <w:sz w:val="36"/>
          <w:szCs w:val="36"/>
          <w:highlight w:val="none"/>
          <w:lang w:val="zh-CN"/>
        </w:rPr>
      </w:pPr>
      <w:r>
        <w:rPr>
          <w:rFonts w:hint="eastAsia" w:ascii="宋体" w:hAnsi="宋体" w:cs="宋体"/>
          <w:b/>
          <w:sz w:val="36"/>
          <w:szCs w:val="36"/>
          <w:highlight w:val="none"/>
          <w:lang w:val="zh-CN"/>
        </w:rPr>
        <w:t>目</w:t>
      </w:r>
      <w:r>
        <w:rPr>
          <w:rFonts w:ascii="宋体" w:hAnsi="宋体" w:cs="宋体"/>
          <w:b/>
          <w:sz w:val="36"/>
          <w:szCs w:val="36"/>
          <w:highlight w:val="none"/>
        </w:rPr>
        <w:t xml:space="preserve">    </w:t>
      </w:r>
      <w:r>
        <w:rPr>
          <w:rFonts w:hint="eastAsia" w:ascii="宋体" w:hAnsi="宋体" w:cs="宋体"/>
          <w:b/>
          <w:sz w:val="36"/>
          <w:szCs w:val="36"/>
          <w:highlight w:val="none"/>
          <w:lang w:val="zh-CN"/>
        </w:rPr>
        <w:t>录</w:t>
      </w:r>
    </w:p>
    <w:p>
      <w:pPr>
        <w:pStyle w:val="39"/>
        <w:tabs>
          <w:tab w:val="right" w:leader="dot" w:pos="9070"/>
        </w:tabs>
        <w:rPr>
          <w:highlight w:val="none"/>
        </w:rPr>
      </w:pPr>
      <w:r>
        <w:rPr>
          <w:rFonts w:cs="宋体" w:asciiTheme="majorEastAsia" w:hAnsiTheme="majorEastAsia" w:eastAsiaTheme="majorEastAsia"/>
          <w:sz w:val="28"/>
          <w:szCs w:val="28"/>
          <w:highlight w:val="none"/>
        </w:rPr>
        <w:fldChar w:fldCharType="begin"/>
      </w:r>
      <w:r>
        <w:rPr>
          <w:rFonts w:cs="宋体" w:asciiTheme="majorEastAsia" w:hAnsiTheme="majorEastAsia" w:eastAsiaTheme="majorEastAsia"/>
          <w:sz w:val="28"/>
          <w:szCs w:val="28"/>
          <w:highlight w:val="none"/>
        </w:rPr>
        <w:instrText xml:space="preserve"> TOC \o "1-3" \h \z \u </w:instrText>
      </w:r>
      <w:r>
        <w:rPr>
          <w:rFonts w:cs="宋体" w:asciiTheme="majorEastAsia" w:hAnsiTheme="majorEastAsia" w:eastAsiaTheme="majorEastAsia"/>
          <w:sz w:val="28"/>
          <w:szCs w:val="28"/>
          <w:highlight w:val="none"/>
        </w:rPr>
        <w:fldChar w:fldCharType="separate"/>
      </w:r>
      <w:r>
        <w:rPr>
          <w:highlight w:val="none"/>
        </w:rPr>
        <w:fldChar w:fldCharType="begin"/>
      </w:r>
      <w:r>
        <w:rPr>
          <w:highlight w:val="none"/>
        </w:rPr>
        <w:instrText xml:space="preserve"> HYPERLINK \l "_Toc30804" </w:instrText>
      </w:r>
      <w:r>
        <w:rPr>
          <w:highlight w:val="none"/>
        </w:rPr>
        <w:fldChar w:fldCharType="separate"/>
      </w:r>
      <w:r>
        <w:rPr>
          <w:rFonts w:hint="eastAsia"/>
          <w:szCs w:val="32"/>
          <w:highlight w:val="none"/>
        </w:rPr>
        <w:t>第一章</w:t>
      </w:r>
      <w:r>
        <w:rPr>
          <w:szCs w:val="32"/>
          <w:highlight w:val="none"/>
        </w:rPr>
        <w:t xml:space="preserve">   </w:t>
      </w:r>
      <w:r>
        <w:rPr>
          <w:rFonts w:hint="eastAsia"/>
          <w:szCs w:val="32"/>
          <w:highlight w:val="none"/>
        </w:rPr>
        <w:t>竞争性磋商公告</w:t>
      </w:r>
      <w:r>
        <w:rPr>
          <w:highlight w:val="none"/>
        </w:rPr>
        <w:tab/>
      </w:r>
      <w:r>
        <w:rPr>
          <w:highlight w:val="none"/>
        </w:rPr>
        <w:fldChar w:fldCharType="begin"/>
      </w:r>
      <w:r>
        <w:rPr>
          <w:highlight w:val="none"/>
        </w:rPr>
        <w:instrText xml:space="preserve"> PAGEREF _Toc30804 \h </w:instrText>
      </w:r>
      <w:r>
        <w:rPr>
          <w:highlight w:val="none"/>
        </w:rPr>
        <w:fldChar w:fldCharType="separate"/>
      </w:r>
      <w:r>
        <w:rPr>
          <w:highlight w:val="none"/>
        </w:rPr>
        <w:t>1</w:t>
      </w:r>
      <w:r>
        <w:rPr>
          <w:highlight w:val="none"/>
        </w:rPr>
        <w:fldChar w:fldCharType="end"/>
      </w:r>
      <w:r>
        <w:rPr>
          <w:highlight w:val="none"/>
        </w:rPr>
        <w:fldChar w:fldCharType="end"/>
      </w:r>
    </w:p>
    <w:p>
      <w:pPr>
        <w:pStyle w:val="39"/>
        <w:tabs>
          <w:tab w:val="right" w:leader="dot" w:pos="9070"/>
        </w:tabs>
        <w:rPr>
          <w:highlight w:val="none"/>
        </w:rPr>
      </w:pPr>
      <w:r>
        <w:rPr>
          <w:highlight w:val="none"/>
        </w:rPr>
        <w:fldChar w:fldCharType="begin"/>
      </w:r>
      <w:r>
        <w:rPr>
          <w:highlight w:val="none"/>
        </w:rPr>
        <w:instrText xml:space="preserve"> HYPERLINK \l "_Toc20185" </w:instrText>
      </w:r>
      <w:r>
        <w:rPr>
          <w:highlight w:val="none"/>
        </w:rPr>
        <w:fldChar w:fldCharType="separate"/>
      </w:r>
      <w:r>
        <w:rPr>
          <w:rFonts w:hint="eastAsia" w:ascii="Arial" w:hAnsi="Arial"/>
          <w:szCs w:val="32"/>
          <w:highlight w:val="none"/>
        </w:rPr>
        <w:t>第二章</w:t>
      </w:r>
      <w:r>
        <w:rPr>
          <w:rFonts w:ascii="Arial" w:hAnsi="Arial"/>
          <w:szCs w:val="32"/>
          <w:highlight w:val="none"/>
        </w:rPr>
        <w:t xml:space="preserve">   </w:t>
      </w:r>
      <w:r>
        <w:rPr>
          <w:rFonts w:hint="eastAsia" w:ascii="Arial" w:hAnsi="Arial"/>
          <w:szCs w:val="32"/>
          <w:highlight w:val="none"/>
        </w:rPr>
        <w:t>磋商须知</w:t>
      </w:r>
      <w:r>
        <w:rPr>
          <w:highlight w:val="none"/>
        </w:rPr>
        <w:tab/>
      </w:r>
      <w:r>
        <w:rPr>
          <w:highlight w:val="none"/>
        </w:rPr>
        <w:fldChar w:fldCharType="begin"/>
      </w:r>
      <w:r>
        <w:rPr>
          <w:highlight w:val="none"/>
        </w:rPr>
        <w:instrText xml:space="preserve"> PAGEREF _Toc20185 \h </w:instrText>
      </w:r>
      <w:r>
        <w:rPr>
          <w:highlight w:val="none"/>
        </w:rPr>
        <w:fldChar w:fldCharType="separate"/>
      </w:r>
      <w:r>
        <w:rPr>
          <w:highlight w:val="none"/>
        </w:rPr>
        <w:t>5</w:t>
      </w:r>
      <w:r>
        <w:rPr>
          <w:highlight w:val="none"/>
        </w:rPr>
        <w:fldChar w:fldCharType="end"/>
      </w:r>
      <w:r>
        <w:rPr>
          <w:highlight w:val="none"/>
        </w:rPr>
        <w:fldChar w:fldCharType="end"/>
      </w:r>
    </w:p>
    <w:p>
      <w:pPr>
        <w:pStyle w:val="39"/>
        <w:tabs>
          <w:tab w:val="right" w:leader="dot" w:pos="9070"/>
        </w:tabs>
        <w:rPr>
          <w:highlight w:val="none"/>
        </w:rPr>
      </w:pPr>
      <w:r>
        <w:rPr>
          <w:highlight w:val="none"/>
        </w:rPr>
        <w:fldChar w:fldCharType="begin"/>
      </w:r>
      <w:r>
        <w:rPr>
          <w:highlight w:val="none"/>
        </w:rPr>
        <w:instrText xml:space="preserve"> HYPERLINK \l "_Toc7863" </w:instrText>
      </w:r>
      <w:r>
        <w:rPr>
          <w:highlight w:val="none"/>
        </w:rPr>
        <w:fldChar w:fldCharType="separate"/>
      </w:r>
      <w:r>
        <w:rPr>
          <w:rFonts w:hint="eastAsia" w:ascii="宋体" w:hAnsi="宋体" w:cs="Tahoma"/>
          <w:bCs/>
          <w:kern w:val="0"/>
          <w:szCs w:val="32"/>
          <w:highlight w:val="none"/>
        </w:rPr>
        <w:t>第一节</w:t>
      </w:r>
      <w:r>
        <w:rPr>
          <w:rFonts w:ascii="宋体" w:hAnsi="宋体" w:cs="Tahoma"/>
          <w:bCs/>
          <w:kern w:val="0"/>
          <w:szCs w:val="32"/>
          <w:highlight w:val="none"/>
        </w:rPr>
        <w:t xml:space="preserve"> </w:t>
      </w:r>
      <w:r>
        <w:rPr>
          <w:rFonts w:hint="eastAsia" w:ascii="宋体" w:hAnsi="宋体" w:cs="Tahoma"/>
          <w:bCs/>
          <w:kern w:val="0"/>
          <w:szCs w:val="32"/>
          <w:highlight w:val="none"/>
        </w:rPr>
        <w:t>磋商须知前附表</w:t>
      </w:r>
      <w:r>
        <w:rPr>
          <w:highlight w:val="none"/>
        </w:rPr>
        <w:tab/>
      </w:r>
      <w:r>
        <w:rPr>
          <w:highlight w:val="none"/>
        </w:rPr>
        <w:fldChar w:fldCharType="begin"/>
      </w:r>
      <w:r>
        <w:rPr>
          <w:highlight w:val="none"/>
        </w:rPr>
        <w:instrText xml:space="preserve"> PAGEREF _Toc7863 \h </w:instrText>
      </w:r>
      <w:r>
        <w:rPr>
          <w:highlight w:val="none"/>
        </w:rPr>
        <w:fldChar w:fldCharType="separate"/>
      </w:r>
      <w:r>
        <w:rPr>
          <w:highlight w:val="none"/>
        </w:rPr>
        <w:t>5</w:t>
      </w:r>
      <w:r>
        <w:rPr>
          <w:highlight w:val="none"/>
        </w:rPr>
        <w:fldChar w:fldCharType="end"/>
      </w:r>
      <w:r>
        <w:rPr>
          <w:highlight w:val="none"/>
        </w:rPr>
        <w:fldChar w:fldCharType="end"/>
      </w:r>
    </w:p>
    <w:p>
      <w:pPr>
        <w:pStyle w:val="39"/>
        <w:tabs>
          <w:tab w:val="right" w:leader="dot" w:pos="9070"/>
        </w:tabs>
        <w:rPr>
          <w:highlight w:val="none"/>
        </w:rPr>
      </w:pPr>
      <w:r>
        <w:rPr>
          <w:highlight w:val="none"/>
        </w:rPr>
        <w:fldChar w:fldCharType="begin"/>
      </w:r>
      <w:r>
        <w:rPr>
          <w:highlight w:val="none"/>
        </w:rPr>
        <w:instrText xml:space="preserve"> HYPERLINK \l "_Toc20486" </w:instrText>
      </w:r>
      <w:r>
        <w:rPr>
          <w:highlight w:val="none"/>
        </w:rPr>
        <w:fldChar w:fldCharType="separate"/>
      </w:r>
      <w:r>
        <w:rPr>
          <w:rFonts w:hint="eastAsia" w:ascii="宋体" w:hAnsi="宋体" w:cs="Tahoma"/>
          <w:bCs/>
          <w:kern w:val="0"/>
          <w:szCs w:val="32"/>
          <w:highlight w:val="none"/>
          <w:lang w:val="zh-CN"/>
        </w:rPr>
        <w:t>第二节</w:t>
      </w:r>
      <w:r>
        <w:rPr>
          <w:rFonts w:ascii="宋体" w:hAnsi="宋体" w:cs="Tahoma"/>
          <w:bCs/>
          <w:kern w:val="0"/>
          <w:szCs w:val="32"/>
          <w:highlight w:val="none"/>
          <w:lang w:val="zh-CN"/>
        </w:rPr>
        <w:t xml:space="preserve"> </w:t>
      </w:r>
      <w:r>
        <w:rPr>
          <w:rFonts w:hint="eastAsia" w:ascii="宋体" w:hAnsi="宋体" w:cs="Tahoma"/>
          <w:bCs/>
          <w:kern w:val="0"/>
          <w:szCs w:val="32"/>
          <w:highlight w:val="none"/>
          <w:lang w:val="zh-CN"/>
        </w:rPr>
        <w:t>竞争性磋商须知</w:t>
      </w:r>
      <w:r>
        <w:rPr>
          <w:highlight w:val="none"/>
        </w:rPr>
        <w:tab/>
      </w:r>
      <w:r>
        <w:rPr>
          <w:highlight w:val="none"/>
        </w:rPr>
        <w:fldChar w:fldCharType="begin"/>
      </w:r>
      <w:r>
        <w:rPr>
          <w:highlight w:val="none"/>
        </w:rPr>
        <w:instrText xml:space="preserve"> PAGEREF _Toc20486 \h </w:instrText>
      </w:r>
      <w:r>
        <w:rPr>
          <w:highlight w:val="none"/>
        </w:rPr>
        <w:fldChar w:fldCharType="separate"/>
      </w:r>
      <w:r>
        <w:rPr>
          <w:highlight w:val="none"/>
        </w:rPr>
        <w:t>6</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"_Toc18383" </w:instrText>
      </w:r>
      <w:r>
        <w:rPr>
          <w:highlight w:val="none"/>
        </w:rPr>
        <w:fldChar w:fldCharType="separate"/>
      </w:r>
      <w:r>
        <w:rPr>
          <w:rFonts w:hint="eastAsia" w:ascii="宋体" w:hAnsi="宋体"/>
          <w:bCs/>
          <w:szCs w:val="21"/>
          <w:highlight w:val="none"/>
          <w:lang w:val="zh-CN"/>
        </w:rPr>
        <w:t>一、总</w:t>
      </w:r>
      <w:r>
        <w:rPr>
          <w:rFonts w:ascii="宋体" w:hAnsi="宋体"/>
          <w:bCs/>
          <w:szCs w:val="21"/>
          <w:highlight w:val="none"/>
          <w:lang w:val="zh-CN"/>
        </w:rPr>
        <w:t xml:space="preserve">    </w:t>
      </w:r>
      <w:r>
        <w:rPr>
          <w:rFonts w:hint="eastAsia" w:ascii="宋体" w:hAnsi="宋体"/>
          <w:bCs/>
          <w:szCs w:val="21"/>
          <w:highlight w:val="none"/>
          <w:lang w:val="zh-CN"/>
        </w:rPr>
        <w:t>则</w:t>
      </w:r>
      <w:r>
        <w:rPr>
          <w:highlight w:val="none"/>
        </w:rPr>
        <w:tab/>
      </w:r>
      <w:r>
        <w:rPr>
          <w:highlight w:val="none"/>
        </w:rPr>
        <w:fldChar w:fldCharType="begin"/>
      </w:r>
      <w:r>
        <w:rPr>
          <w:highlight w:val="none"/>
        </w:rPr>
        <w:instrText xml:space="preserve"> PAGEREF _Toc18383 \h </w:instrText>
      </w:r>
      <w:r>
        <w:rPr>
          <w:highlight w:val="none"/>
        </w:rPr>
        <w:fldChar w:fldCharType="separate"/>
      </w:r>
      <w:r>
        <w:rPr>
          <w:highlight w:val="none"/>
        </w:rPr>
        <w:t>6</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"_Toc12803" </w:instrText>
      </w:r>
      <w:r>
        <w:rPr>
          <w:highlight w:val="none"/>
        </w:rPr>
        <w:fldChar w:fldCharType="separate"/>
      </w:r>
      <w:r>
        <w:rPr>
          <w:rFonts w:hint="eastAsia" w:ascii="宋体" w:hAnsi="宋体"/>
          <w:bCs/>
          <w:szCs w:val="21"/>
          <w:highlight w:val="none"/>
          <w:lang w:val="zh-CN"/>
        </w:rPr>
        <w:t>二、磋商文件</w:t>
      </w:r>
      <w:r>
        <w:rPr>
          <w:highlight w:val="none"/>
        </w:rPr>
        <w:tab/>
      </w:r>
      <w:r>
        <w:rPr>
          <w:highlight w:val="none"/>
        </w:rPr>
        <w:fldChar w:fldCharType="begin"/>
      </w:r>
      <w:r>
        <w:rPr>
          <w:highlight w:val="none"/>
        </w:rPr>
        <w:instrText xml:space="preserve"> PAGEREF _Toc12803 \h </w:instrText>
      </w:r>
      <w:r>
        <w:rPr>
          <w:highlight w:val="none"/>
        </w:rPr>
        <w:fldChar w:fldCharType="separate"/>
      </w:r>
      <w:r>
        <w:rPr>
          <w:highlight w:val="none"/>
        </w:rPr>
        <w:t>7</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"_Toc24744" </w:instrText>
      </w:r>
      <w:r>
        <w:rPr>
          <w:highlight w:val="none"/>
        </w:rPr>
        <w:fldChar w:fldCharType="separate"/>
      </w:r>
      <w:r>
        <w:rPr>
          <w:highlight w:val="none"/>
        </w:rPr>
        <w:t xml:space="preserve">三、 </w:t>
      </w:r>
      <w:r>
        <w:rPr>
          <w:rFonts w:hint="eastAsia"/>
          <w:highlight w:val="none"/>
        </w:rPr>
        <w:t>响应文件编制</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9</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"_Toc10023" </w:instrText>
      </w:r>
      <w:r>
        <w:rPr>
          <w:highlight w:val="none"/>
        </w:rPr>
        <w:fldChar w:fldCharType="separate"/>
      </w:r>
      <w:r>
        <w:rPr>
          <w:rFonts w:hint="eastAsia" w:cs="宋体"/>
          <w:highlight w:val="none"/>
        </w:rPr>
        <w:t>四、响应文件的提交</w:t>
      </w:r>
      <w:r>
        <w:rPr>
          <w:highlight w:val="none"/>
        </w:rPr>
        <w:tab/>
      </w:r>
      <w:r>
        <w:rPr>
          <w:highlight w:val="none"/>
        </w:rPr>
        <w:fldChar w:fldCharType="begin"/>
      </w:r>
      <w:r>
        <w:rPr>
          <w:highlight w:val="none"/>
        </w:rPr>
        <w:instrText xml:space="preserve"> PAGEREF _Toc10023 \h </w:instrText>
      </w:r>
      <w:r>
        <w:rPr>
          <w:highlight w:val="none"/>
        </w:rPr>
        <w:fldChar w:fldCharType="separate"/>
      </w:r>
      <w:r>
        <w:rPr>
          <w:highlight w:val="none"/>
        </w:rPr>
        <w:t>11</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"_Toc19923" </w:instrText>
      </w:r>
      <w:r>
        <w:rPr>
          <w:highlight w:val="none"/>
        </w:rPr>
        <w:fldChar w:fldCharType="separate"/>
      </w:r>
      <w:r>
        <w:rPr>
          <w:rFonts w:hint="eastAsia" w:cs="宋体"/>
          <w:highlight w:val="none"/>
        </w:rPr>
        <w:t>五、磋商</w:t>
      </w:r>
      <w:r>
        <w:rPr>
          <w:highlight w:val="none"/>
        </w:rPr>
        <w:tab/>
      </w:r>
      <w:r>
        <w:rPr>
          <w:highlight w:val="none"/>
        </w:rPr>
        <w:fldChar w:fldCharType="begin"/>
      </w:r>
      <w:r>
        <w:rPr>
          <w:highlight w:val="none"/>
        </w:rPr>
        <w:instrText xml:space="preserve"> PAGEREF _Toc19923 \h </w:instrText>
      </w:r>
      <w:r>
        <w:rPr>
          <w:highlight w:val="none"/>
        </w:rPr>
        <w:fldChar w:fldCharType="separate"/>
      </w:r>
      <w:r>
        <w:rPr>
          <w:highlight w:val="none"/>
        </w:rPr>
        <w:t>12</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"_Toc22280" </w:instrText>
      </w:r>
      <w:r>
        <w:rPr>
          <w:highlight w:val="none"/>
        </w:rPr>
        <w:fldChar w:fldCharType="separate"/>
      </w:r>
      <w:r>
        <w:rPr>
          <w:rFonts w:hint="eastAsia" w:cs="宋体"/>
          <w:highlight w:val="none"/>
        </w:rPr>
        <w:t>六、评标</w:t>
      </w:r>
      <w:r>
        <w:rPr>
          <w:highlight w:val="none"/>
        </w:rPr>
        <w:tab/>
      </w:r>
      <w:r>
        <w:rPr>
          <w:highlight w:val="none"/>
        </w:rPr>
        <w:fldChar w:fldCharType="begin"/>
      </w:r>
      <w:r>
        <w:rPr>
          <w:highlight w:val="none"/>
        </w:rPr>
        <w:instrText xml:space="preserve"> PAGEREF _Toc22280 \h </w:instrText>
      </w:r>
      <w:r>
        <w:rPr>
          <w:highlight w:val="none"/>
        </w:rPr>
        <w:fldChar w:fldCharType="separate"/>
      </w:r>
      <w:r>
        <w:rPr>
          <w:highlight w:val="none"/>
        </w:rPr>
        <w:t>13</w:t>
      </w:r>
      <w:r>
        <w:rPr>
          <w:highlight w:val="none"/>
        </w:rPr>
        <w:fldChar w:fldCharType="end"/>
      </w:r>
      <w:r>
        <w:rPr>
          <w:highlight w:val="none"/>
        </w:rPr>
        <w:fldChar w:fldCharType="end"/>
      </w:r>
    </w:p>
    <w:p>
      <w:pPr>
        <w:pStyle w:val="39"/>
        <w:tabs>
          <w:tab w:val="right" w:leader="dot" w:pos="9070"/>
        </w:tabs>
        <w:rPr>
          <w:highlight w:val="none"/>
        </w:rPr>
      </w:pPr>
      <w:r>
        <w:rPr>
          <w:highlight w:val="none"/>
        </w:rPr>
        <w:fldChar w:fldCharType="begin"/>
      </w:r>
      <w:r>
        <w:rPr>
          <w:highlight w:val="none"/>
        </w:rPr>
        <w:instrText xml:space="preserve"> HYPERLINK \l "_Toc16555" </w:instrText>
      </w:r>
      <w:r>
        <w:rPr>
          <w:highlight w:val="none"/>
        </w:rPr>
        <w:fldChar w:fldCharType="separate"/>
      </w:r>
      <w:r>
        <w:rPr>
          <w:rFonts w:hint="eastAsia" w:ascii="Arial" w:hAnsi="Arial"/>
          <w:szCs w:val="32"/>
          <w:highlight w:val="none"/>
        </w:rPr>
        <w:t>第三章</w:t>
      </w:r>
      <w:r>
        <w:rPr>
          <w:rFonts w:ascii="Arial" w:hAnsi="Arial"/>
          <w:szCs w:val="32"/>
          <w:highlight w:val="none"/>
        </w:rPr>
        <w:t xml:space="preserve">  </w:t>
      </w:r>
      <w:r>
        <w:rPr>
          <w:rFonts w:ascii="Arial" w:hAnsi="Arial"/>
          <w:szCs w:val="32"/>
          <w:highlight w:val="none"/>
          <w:lang w:val="zh-CN"/>
        </w:rPr>
        <w:t xml:space="preserve">  </w:t>
      </w:r>
      <w:r>
        <w:rPr>
          <w:rFonts w:hint="eastAsia" w:ascii="Arial" w:hAnsi="Arial"/>
          <w:szCs w:val="32"/>
          <w:highlight w:val="none"/>
          <w:lang w:val="zh-CN"/>
        </w:rPr>
        <w:t>服务需求及技术要求</w:t>
      </w:r>
      <w:r>
        <w:rPr>
          <w:highlight w:val="none"/>
        </w:rPr>
        <w:tab/>
      </w:r>
      <w:r>
        <w:rPr>
          <w:highlight w:val="none"/>
        </w:rPr>
        <w:fldChar w:fldCharType="begin"/>
      </w:r>
      <w:r>
        <w:rPr>
          <w:highlight w:val="none"/>
        </w:rPr>
        <w:instrText xml:space="preserve"> PAGEREF _Toc16555 \h </w:instrText>
      </w:r>
      <w:r>
        <w:rPr>
          <w:highlight w:val="none"/>
        </w:rPr>
        <w:fldChar w:fldCharType="separate"/>
      </w:r>
      <w:r>
        <w:rPr>
          <w:highlight w:val="none"/>
        </w:rPr>
        <w:t>21</w:t>
      </w:r>
      <w:r>
        <w:rPr>
          <w:highlight w:val="none"/>
        </w:rPr>
        <w:fldChar w:fldCharType="end"/>
      </w:r>
      <w:r>
        <w:rPr>
          <w:highlight w:val="none"/>
        </w:rPr>
        <w:fldChar w:fldCharType="end"/>
      </w:r>
    </w:p>
    <w:p>
      <w:pPr>
        <w:pStyle w:val="39"/>
        <w:tabs>
          <w:tab w:val="right" w:leader="dot" w:pos="9070"/>
        </w:tabs>
        <w:rPr>
          <w:highlight w:val="none"/>
        </w:rPr>
      </w:pPr>
      <w:r>
        <w:rPr>
          <w:highlight w:val="none"/>
        </w:rPr>
        <w:fldChar w:fldCharType="begin"/>
      </w:r>
      <w:r>
        <w:rPr>
          <w:highlight w:val="none"/>
        </w:rPr>
        <w:instrText xml:space="preserve"> HYPERLINK \l "_Toc15663" </w:instrText>
      </w:r>
      <w:r>
        <w:rPr>
          <w:highlight w:val="none"/>
        </w:rPr>
        <w:fldChar w:fldCharType="separate"/>
      </w:r>
      <w:r>
        <w:rPr>
          <w:rFonts w:hint="eastAsia" w:ascii="Arial" w:hAnsi="Arial"/>
          <w:szCs w:val="32"/>
          <w:highlight w:val="none"/>
        </w:rPr>
        <w:t>第四章</w:t>
      </w:r>
      <w:r>
        <w:rPr>
          <w:rFonts w:ascii="Arial" w:hAnsi="Arial"/>
          <w:szCs w:val="32"/>
          <w:highlight w:val="none"/>
        </w:rPr>
        <w:t xml:space="preserve">     </w:t>
      </w:r>
      <w:r>
        <w:rPr>
          <w:rFonts w:hint="eastAsia" w:ascii="Arial" w:hAnsi="Arial"/>
          <w:szCs w:val="32"/>
          <w:highlight w:val="none"/>
        </w:rPr>
        <w:t>合同主要条款</w:t>
      </w:r>
      <w:r>
        <w:rPr>
          <w:highlight w:val="none"/>
        </w:rPr>
        <w:tab/>
      </w:r>
      <w:r>
        <w:rPr>
          <w:highlight w:val="none"/>
        </w:rPr>
        <w:fldChar w:fldCharType="begin"/>
      </w:r>
      <w:r>
        <w:rPr>
          <w:highlight w:val="none"/>
        </w:rPr>
        <w:instrText xml:space="preserve"> PAGEREF _Toc15663 \h </w:instrText>
      </w:r>
      <w:r>
        <w:rPr>
          <w:highlight w:val="none"/>
        </w:rPr>
        <w:fldChar w:fldCharType="separate"/>
      </w:r>
      <w:r>
        <w:rPr>
          <w:highlight w:val="none"/>
        </w:rPr>
        <w:t>26</w:t>
      </w:r>
      <w:r>
        <w:rPr>
          <w:highlight w:val="none"/>
        </w:rPr>
        <w:fldChar w:fldCharType="end"/>
      </w:r>
      <w:r>
        <w:rPr>
          <w:highlight w:val="none"/>
        </w:rPr>
        <w:fldChar w:fldCharType="end"/>
      </w:r>
    </w:p>
    <w:p>
      <w:pPr>
        <w:pStyle w:val="39"/>
        <w:tabs>
          <w:tab w:val="right" w:leader="dot" w:pos="9070"/>
        </w:tabs>
        <w:rPr>
          <w:highlight w:val="none"/>
        </w:rPr>
      </w:pPr>
      <w:r>
        <w:rPr>
          <w:highlight w:val="none"/>
        </w:rPr>
        <w:fldChar w:fldCharType="begin"/>
      </w:r>
      <w:r>
        <w:rPr>
          <w:highlight w:val="none"/>
        </w:rPr>
        <w:instrText xml:space="preserve"> HYPERLINK \l "_Toc32712" </w:instrText>
      </w:r>
      <w:r>
        <w:rPr>
          <w:highlight w:val="none"/>
        </w:rPr>
        <w:fldChar w:fldCharType="separate"/>
      </w:r>
      <w:r>
        <w:rPr>
          <w:rFonts w:hint="eastAsia" w:ascii="Arial" w:hAnsi="Arial"/>
          <w:szCs w:val="36"/>
          <w:highlight w:val="none"/>
          <w:lang w:val="zh-CN"/>
        </w:rPr>
        <w:t>第五章</w:t>
      </w:r>
      <w:r>
        <w:rPr>
          <w:rFonts w:ascii="Arial" w:hAnsi="Arial"/>
          <w:szCs w:val="36"/>
          <w:highlight w:val="none"/>
          <w:lang w:val="zh-CN"/>
        </w:rPr>
        <w:t xml:space="preserve">  </w:t>
      </w:r>
      <w:r>
        <w:rPr>
          <w:rFonts w:hint="eastAsia" w:ascii="Arial" w:hAnsi="Arial"/>
          <w:szCs w:val="36"/>
          <w:highlight w:val="none"/>
        </w:rPr>
        <w:t>响应文件格式</w:t>
      </w:r>
      <w:r>
        <w:rPr>
          <w:highlight w:val="none"/>
        </w:rPr>
        <w:tab/>
      </w:r>
      <w:r>
        <w:rPr>
          <w:highlight w:val="none"/>
        </w:rPr>
        <w:fldChar w:fldCharType="begin"/>
      </w:r>
      <w:r>
        <w:rPr>
          <w:highlight w:val="none"/>
        </w:rPr>
        <w:instrText xml:space="preserve"> PAGEREF _Toc32712 \h </w:instrText>
      </w:r>
      <w:r>
        <w:rPr>
          <w:highlight w:val="none"/>
        </w:rPr>
        <w:fldChar w:fldCharType="separate"/>
      </w:r>
      <w:r>
        <w:rPr>
          <w:highlight w:val="none"/>
        </w:rPr>
        <w:t>28</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"_Toc8767" </w:instrText>
      </w:r>
      <w:r>
        <w:rPr>
          <w:highlight w:val="none"/>
        </w:rPr>
        <w:fldChar w:fldCharType="separate"/>
      </w:r>
      <w:r>
        <w:rPr>
          <w:rFonts w:hint="eastAsia" w:cs="宋体"/>
          <w:szCs w:val="28"/>
          <w:highlight w:val="none"/>
        </w:rPr>
        <w:t>一、磋商响应函</w:t>
      </w:r>
      <w:r>
        <w:rPr>
          <w:highlight w:val="none"/>
        </w:rPr>
        <w:tab/>
      </w:r>
      <w:r>
        <w:rPr>
          <w:highlight w:val="none"/>
        </w:rPr>
        <w:fldChar w:fldCharType="begin"/>
      </w:r>
      <w:r>
        <w:rPr>
          <w:highlight w:val="none"/>
        </w:rPr>
        <w:instrText xml:space="preserve"> PAGEREF _Toc8767 \h </w:instrText>
      </w:r>
      <w:r>
        <w:rPr>
          <w:highlight w:val="none"/>
        </w:rPr>
        <w:fldChar w:fldCharType="separate"/>
      </w:r>
      <w:r>
        <w:rPr>
          <w:highlight w:val="none"/>
        </w:rPr>
        <w:t>30</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"_Toc1030" </w:instrText>
      </w:r>
      <w:r>
        <w:rPr>
          <w:highlight w:val="none"/>
        </w:rPr>
        <w:fldChar w:fldCharType="separate"/>
      </w:r>
      <w:r>
        <w:rPr>
          <w:szCs w:val="28"/>
          <w:highlight w:val="none"/>
        </w:rPr>
        <w:t xml:space="preserve">二、 </w:t>
      </w:r>
      <w:r>
        <w:rPr>
          <w:rFonts w:hint="eastAsia" w:cs="宋体"/>
          <w:szCs w:val="28"/>
          <w:highlight w:val="none"/>
        </w:rPr>
        <w:t>服务报价表</w:t>
      </w:r>
      <w:r>
        <w:rPr>
          <w:highlight w:val="none"/>
        </w:rPr>
        <w:tab/>
      </w:r>
      <w:r>
        <w:rPr>
          <w:highlight w:val="none"/>
        </w:rPr>
        <w:fldChar w:fldCharType="begin"/>
      </w:r>
      <w:r>
        <w:rPr>
          <w:highlight w:val="none"/>
        </w:rPr>
        <w:instrText xml:space="preserve"> PAGEREF _Toc1030 \h </w:instrText>
      </w:r>
      <w:r>
        <w:rPr>
          <w:highlight w:val="none"/>
        </w:rPr>
        <w:fldChar w:fldCharType="separate"/>
      </w:r>
      <w:r>
        <w:rPr>
          <w:highlight w:val="none"/>
        </w:rPr>
        <w:t>31</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"_Toc11099" </w:instrText>
      </w:r>
      <w:r>
        <w:rPr>
          <w:highlight w:val="none"/>
        </w:rPr>
        <w:fldChar w:fldCharType="separate"/>
      </w:r>
      <w:r>
        <w:rPr>
          <w:rFonts w:hint="eastAsia" w:cs="宋体"/>
          <w:szCs w:val="28"/>
          <w:highlight w:val="none"/>
        </w:rPr>
        <w:t>三、服务内容及质量要求响应表</w:t>
      </w:r>
      <w:r>
        <w:rPr>
          <w:highlight w:val="none"/>
        </w:rPr>
        <w:tab/>
      </w:r>
      <w:r>
        <w:rPr>
          <w:highlight w:val="none"/>
        </w:rPr>
        <w:fldChar w:fldCharType="begin"/>
      </w:r>
      <w:r>
        <w:rPr>
          <w:highlight w:val="none"/>
        </w:rPr>
        <w:instrText xml:space="preserve"> PAGEREF _Toc11099 \h </w:instrText>
      </w:r>
      <w:r>
        <w:rPr>
          <w:highlight w:val="none"/>
        </w:rPr>
        <w:fldChar w:fldCharType="separate"/>
      </w:r>
      <w:r>
        <w:rPr>
          <w:highlight w:val="none"/>
        </w:rPr>
        <w:t>32</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"_Toc5836" </w:instrText>
      </w:r>
      <w:r>
        <w:rPr>
          <w:highlight w:val="none"/>
        </w:rPr>
        <w:fldChar w:fldCharType="separate"/>
      </w:r>
      <w:r>
        <w:rPr>
          <w:szCs w:val="28"/>
          <w:highlight w:val="none"/>
        </w:rPr>
        <w:t xml:space="preserve">四、 </w:t>
      </w:r>
      <w:r>
        <w:rPr>
          <w:rFonts w:hint="eastAsia" w:cs="宋体"/>
          <w:szCs w:val="28"/>
          <w:highlight w:val="none"/>
        </w:rPr>
        <w:t>最后报价表</w:t>
      </w:r>
      <w:r>
        <w:rPr>
          <w:highlight w:val="none"/>
        </w:rPr>
        <w:tab/>
      </w:r>
      <w:r>
        <w:rPr>
          <w:highlight w:val="none"/>
        </w:rPr>
        <w:fldChar w:fldCharType="begin"/>
      </w:r>
      <w:r>
        <w:rPr>
          <w:highlight w:val="none"/>
        </w:rPr>
        <w:instrText xml:space="preserve"> PAGEREF _Toc5836 \h </w:instrText>
      </w:r>
      <w:r>
        <w:rPr>
          <w:highlight w:val="none"/>
        </w:rPr>
        <w:fldChar w:fldCharType="separate"/>
      </w:r>
      <w:r>
        <w:rPr>
          <w:highlight w:val="none"/>
        </w:rPr>
        <w:t>33</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"_Toc6619" </w:instrText>
      </w:r>
      <w:r>
        <w:rPr>
          <w:highlight w:val="none"/>
        </w:rPr>
        <w:fldChar w:fldCharType="separate"/>
      </w:r>
      <w:r>
        <w:rPr>
          <w:rFonts w:hint="eastAsia" w:cs="宋体"/>
          <w:szCs w:val="28"/>
          <w:highlight w:val="none"/>
        </w:rPr>
        <w:t>五、服务方案</w:t>
      </w:r>
      <w:r>
        <w:rPr>
          <w:highlight w:val="none"/>
        </w:rPr>
        <w:tab/>
      </w:r>
      <w:r>
        <w:rPr>
          <w:highlight w:val="none"/>
        </w:rPr>
        <w:fldChar w:fldCharType="begin"/>
      </w:r>
      <w:r>
        <w:rPr>
          <w:highlight w:val="none"/>
        </w:rPr>
        <w:instrText xml:space="preserve"> PAGEREF _Toc6619 \h </w:instrText>
      </w:r>
      <w:r>
        <w:rPr>
          <w:highlight w:val="none"/>
        </w:rPr>
        <w:fldChar w:fldCharType="separate"/>
      </w:r>
      <w:r>
        <w:rPr>
          <w:highlight w:val="none"/>
        </w:rPr>
        <w:t>34</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"_Toc17267" </w:instrText>
      </w:r>
      <w:r>
        <w:rPr>
          <w:highlight w:val="none"/>
        </w:rPr>
        <w:fldChar w:fldCharType="separate"/>
      </w:r>
      <w:r>
        <w:rPr>
          <w:rFonts w:hint="eastAsia" w:cs="宋体"/>
          <w:szCs w:val="28"/>
          <w:highlight w:val="none"/>
        </w:rPr>
        <w:t>六、诚信响应承诺书</w:t>
      </w:r>
      <w:r>
        <w:rPr>
          <w:highlight w:val="none"/>
        </w:rPr>
        <w:tab/>
      </w:r>
      <w:r>
        <w:rPr>
          <w:highlight w:val="none"/>
        </w:rPr>
        <w:fldChar w:fldCharType="begin"/>
      </w:r>
      <w:r>
        <w:rPr>
          <w:highlight w:val="none"/>
        </w:rPr>
        <w:instrText xml:space="preserve"> PAGEREF _Toc17267 \h </w:instrText>
      </w:r>
      <w:r>
        <w:rPr>
          <w:highlight w:val="none"/>
        </w:rPr>
        <w:fldChar w:fldCharType="separate"/>
      </w:r>
      <w:r>
        <w:rPr>
          <w:highlight w:val="none"/>
        </w:rPr>
        <w:t>35</w:t>
      </w:r>
      <w:r>
        <w:rPr>
          <w:highlight w:val="none"/>
        </w:rPr>
        <w:fldChar w:fldCharType="end"/>
      </w:r>
      <w:r>
        <w:rPr>
          <w:highlight w:val="none"/>
        </w:rPr>
        <w:fldChar w:fldCharType="end"/>
      </w:r>
    </w:p>
    <w:p>
      <w:pPr>
        <w:pStyle w:val="28"/>
        <w:tabs>
          <w:tab w:val="right" w:leader="dot" w:pos="9070"/>
        </w:tabs>
        <w:rPr>
          <w:highlight w:val="none"/>
        </w:rPr>
      </w:pPr>
      <w:r>
        <w:rPr>
          <w:highlight w:val="none"/>
        </w:rPr>
        <w:fldChar w:fldCharType="begin"/>
      </w:r>
      <w:r>
        <w:rPr>
          <w:highlight w:val="none"/>
        </w:rPr>
        <w:instrText xml:space="preserve"> HYPERLINK \l "_Toc26001" </w:instrText>
      </w:r>
      <w:r>
        <w:rPr>
          <w:highlight w:val="none"/>
        </w:rPr>
        <w:fldChar w:fldCharType="separate"/>
      </w:r>
      <w:r>
        <w:rPr>
          <w:rFonts w:hint="eastAsia"/>
          <w:highlight w:val="none"/>
        </w:rPr>
        <w:t>七、资格证明文件</w:t>
      </w:r>
      <w:r>
        <w:rPr>
          <w:highlight w:val="none"/>
        </w:rPr>
        <w:tab/>
      </w:r>
      <w:r>
        <w:rPr>
          <w:highlight w:val="none"/>
        </w:rPr>
        <w:fldChar w:fldCharType="begin"/>
      </w:r>
      <w:r>
        <w:rPr>
          <w:highlight w:val="none"/>
        </w:rPr>
        <w:instrText xml:space="preserve"> PAGEREF _Toc26001 \h </w:instrText>
      </w:r>
      <w:r>
        <w:rPr>
          <w:highlight w:val="none"/>
        </w:rPr>
        <w:fldChar w:fldCharType="separate"/>
      </w:r>
      <w:r>
        <w:rPr>
          <w:highlight w:val="none"/>
        </w:rPr>
        <w:t>36</w:t>
      </w:r>
      <w:r>
        <w:rPr>
          <w:highlight w:val="none"/>
        </w:rPr>
        <w:fldChar w:fldCharType="end"/>
      </w:r>
      <w:r>
        <w:rPr>
          <w:highlight w:val="none"/>
        </w:rPr>
        <w:fldChar w:fldCharType="end"/>
      </w:r>
    </w:p>
    <w:p>
      <w:pPr>
        <w:pStyle w:val="28"/>
        <w:tabs>
          <w:tab w:val="right" w:leader="dot" w:pos="9060"/>
        </w:tabs>
        <w:spacing w:line="360" w:lineRule="auto"/>
        <w:rPr>
          <w:szCs w:val="21"/>
          <w:highlight w:val="none"/>
        </w:rPr>
        <w:sectPr>
          <w:footerReference r:id="rId6" w:type="default"/>
          <w:pgSz w:w="11906" w:h="16838"/>
          <w:pgMar w:top="1418" w:right="1418" w:bottom="1418" w:left="1418" w:header="851" w:footer="680" w:gutter="0"/>
          <w:pgBorders>
            <w:bottom w:val="single" w:color="auto" w:sz="4" w:space="1"/>
          </w:pgBorders>
          <w:pgNumType w:fmt="koreanDigital" w:start="0"/>
          <w:cols w:space="720" w:num="1"/>
          <w:docGrid w:linePitch="290" w:charSpace="0"/>
        </w:sectPr>
      </w:pPr>
      <w:r>
        <w:rPr>
          <w:rFonts w:cs="宋体" w:asciiTheme="majorEastAsia" w:hAnsiTheme="majorEastAsia" w:eastAsiaTheme="majorEastAsia"/>
          <w:szCs w:val="28"/>
          <w:highlight w:val="none"/>
        </w:rPr>
        <w:fldChar w:fldCharType="end"/>
      </w:r>
      <w:bookmarkStart w:id="0" w:name="_Toc21464"/>
      <w:bookmarkStart w:id="1" w:name="_Toc439316870"/>
    </w:p>
    <w:p>
      <w:pPr>
        <w:pStyle w:val="2"/>
        <w:spacing w:before="62" w:beforeLines="20" w:after="62" w:afterLines="20" w:line="480" w:lineRule="exact"/>
        <w:ind w:firstLine="0" w:firstLineChars="0"/>
        <w:jc w:val="center"/>
        <w:rPr>
          <w:rFonts w:ascii="Arial" w:hAnsi="Arial"/>
          <w:kern w:val="2"/>
          <w:sz w:val="32"/>
          <w:szCs w:val="32"/>
          <w:highlight w:val="none"/>
        </w:rPr>
      </w:pPr>
      <w:bookmarkStart w:id="2" w:name="_Toc30804"/>
      <w:r>
        <w:rPr>
          <w:rFonts w:hint="eastAsia"/>
          <w:kern w:val="2"/>
          <w:sz w:val="32"/>
          <w:szCs w:val="32"/>
          <w:highlight w:val="none"/>
        </w:rPr>
        <w:t>第一章</w:t>
      </w:r>
      <w:r>
        <w:rPr>
          <w:kern w:val="2"/>
          <w:sz w:val="32"/>
          <w:szCs w:val="32"/>
          <w:highlight w:val="none"/>
        </w:rPr>
        <w:t xml:space="preserve">   </w:t>
      </w:r>
      <w:r>
        <w:rPr>
          <w:rFonts w:hint="eastAsia"/>
          <w:kern w:val="2"/>
          <w:sz w:val="32"/>
          <w:szCs w:val="32"/>
          <w:highlight w:val="none"/>
        </w:rPr>
        <w:t>竞争性磋商</w:t>
      </w:r>
      <w:bookmarkEnd w:id="0"/>
      <w:r>
        <w:rPr>
          <w:rFonts w:hint="eastAsia"/>
          <w:kern w:val="2"/>
          <w:sz w:val="32"/>
          <w:szCs w:val="32"/>
          <w:highlight w:val="none"/>
        </w:rPr>
        <w:t>公告</w:t>
      </w:r>
      <w:bookmarkEnd w:id="2"/>
    </w:p>
    <w:p>
      <w:pPr>
        <w:jc w:val="center"/>
        <w:rPr>
          <w:rFonts w:ascii="华文中宋" w:hAnsi="华文中宋" w:eastAsia="华文中宋"/>
          <w:b/>
          <w:bCs/>
          <w:kern w:val="44"/>
          <w:sz w:val="32"/>
          <w:szCs w:val="32"/>
          <w:highlight w:val="none"/>
        </w:rPr>
      </w:pPr>
      <w:bookmarkStart w:id="3" w:name="_Toc28359011"/>
      <w:bookmarkStart w:id="4" w:name="_Toc35393797"/>
      <w:r>
        <w:rPr>
          <w:rFonts w:hint="eastAsia" w:ascii="华文中宋" w:hAnsi="华文中宋" w:eastAsia="华文中宋"/>
          <w:b/>
          <w:bCs/>
          <w:kern w:val="44"/>
          <w:sz w:val="32"/>
          <w:szCs w:val="32"/>
          <w:highlight w:val="none"/>
        </w:rPr>
        <w:t>安庆职业技术学院网络安全等级保护测评项目竞争性磋商</w:t>
      </w:r>
    </w:p>
    <w:p>
      <w:pPr>
        <w:jc w:val="center"/>
        <w:rPr>
          <w:rFonts w:ascii="华文中宋" w:hAnsi="华文中宋" w:eastAsia="华文中宋"/>
          <w:b/>
          <w:bCs/>
          <w:kern w:val="44"/>
          <w:sz w:val="32"/>
          <w:szCs w:val="32"/>
          <w:highlight w:val="none"/>
        </w:rPr>
      </w:pPr>
      <w:r>
        <w:rPr>
          <w:rFonts w:hint="eastAsia" w:ascii="华文中宋" w:hAnsi="华文中宋" w:eastAsia="华文中宋"/>
          <w:b/>
          <w:bCs/>
          <w:kern w:val="44"/>
          <w:sz w:val="32"/>
          <w:szCs w:val="32"/>
          <w:highlight w:val="none"/>
        </w:rPr>
        <w:t>公告</w:t>
      </w:r>
      <w:bookmarkEnd w:id="3"/>
      <w:bookmarkEnd w:id="4"/>
    </w:p>
    <w:tbl>
      <w:tblPr>
        <w:tblStyle w:val="6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highlight w:val="none"/>
              </w:rPr>
            </w:pPr>
            <w:r>
              <w:rPr>
                <w:rFonts w:hint="eastAsia" w:ascii="仿宋" w:hAnsi="仿宋" w:eastAsia="仿宋"/>
                <w:sz w:val="28"/>
                <w:szCs w:val="28"/>
                <w:highlight w:val="none"/>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highlight w:val="none"/>
              </w:rPr>
            </w:pPr>
            <w:r>
              <w:rPr>
                <w:rFonts w:hint="eastAsia" w:ascii="仿宋" w:hAnsi="仿宋" w:eastAsia="仿宋"/>
                <w:sz w:val="28"/>
                <w:szCs w:val="28"/>
                <w:highlight w:val="none"/>
                <w:u w:val="single"/>
              </w:rPr>
              <w:t>安庆职业技术学院网络安全等级保护测评项目</w:t>
            </w:r>
            <w:r>
              <w:rPr>
                <w:rFonts w:hint="eastAsia" w:ascii="仿宋" w:hAnsi="仿宋" w:eastAsia="仿宋"/>
                <w:sz w:val="28"/>
                <w:szCs w:val="28"/>
                <w:highlight w:val="none"/>
              </w:rPr>
              <w:t>的潜在供应商应于2021</w:t>
            </w:r>
            <w:r>
              <w:rPr>
                <w:rFonts w:hint="eastAsia" w:ascii="仿宋" w:hAnsi="仿宋" w:eastAsia="仿宋"/>
                <w:sz w:val="28"/>
                <w:szCs w:val="28"/>
                <w:highlight w:val="none"/>
              </w:rPr>
              <w:t>年11月</w:t>
            </w:r>
            <w:r>
              <w:rPr>
                <w:rFonts w:hint="eastAsia" w:ascii="仿宋" w:hAnsi="仿宋" w:eastAsia="仿宋"/>
                <w:sz w:val="28"/>
                <w:szCs w:val="28"/>
                <w:highlight w:val="none"/>
                <w:lang w:val="en-US" w:eastAsia="zh-CN"/>
              </w:rPr>
              <w:t>24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分</w:t>
            </w:r>
            <w:r>
              <w:rPr>
                <w:rFonts w:hint="eastAsia" w:ascii="仿宋" w:hAnsi="仿宋" w:eastAsia="仿宋"/>
                <w:sz w:val="28"/>
                <w:szCs w:val="28"/>
                <w:highlight w:val="none"/>
              </w:rPr>
              <w:t>（北京时间）前提交响应文件。 </w:t>
            </w:r>
          </w:p>
        </w:tc>
      </w:tr>
    </w:tbl>
    <w:p>
      <w:pPr>
        <w:rPr>
          <w:szCs w:val="21"/>
          <w:highlight w:val="none"/>
        </w:rPr>
      </w:pPr>
    </w:p>
    <w:p>
      <w:pPr>
        <w:rPr>
          <w:rFonts w:ascii="黑体" w:hAnsi="黑体" w:eastAsia="黑体" w:cs="宋体"/>
          <w:bCs/>
          <w:sz w:val="28"/>
          <w:szCs w:val="28"/>
          <w:highlight w:val="none"/>
        </w:rPr>
      </w:pPr>
      <w:bookmarkStart w:id="5" w:name="_Toc28359089"/>
      <w:bookmarkStart w:id="6" w:name="_Toc35393629"/>
      <w:bookmarkStart w:id="7" w:name="_Toc28359012"/>
      <w:bookmarkStart w:id="8" w:name="_Toc35393798"/>
      <w:r>
        <w:rPr>
          <w:rFonts w:hint="eastAsia" w:ascii="黑体" w:hAnsi="黑体" w:eastAsia="黑体" w:cs="宋体"/>
          <w:bCs/>
          <w:sz w:val="28"/>
          <w:szCs w:val="28"/>
          <w:highlight w:val="none"/>
        </w:rPr>
        <w:t>一、项目基本情况</w:t>
      </w:r>
      <w:bookmarkEnd w:id="5"/>
      <w:bookmarkEnd w:id="6"/>
      <w:bookmarkEnd w:id="7"/>
      <w:bookmarkEnd w:id="8"/>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项目编号：CG-AZ-2021-026</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项目名称：安庆职业技术学院网络安全等级保护测评项目</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cs="仿宋"/>
          <w:sz w:val="28"/>
          <w:szCs w:val="28"/>
          <w:highlight w:val="none"/>
        </w:rPr>
        <w:t>竞争性磋商</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资金来源：财政资金</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sz w:val="28"/>
          <w:szCs w:val="28"/>
          <w:highlight w:val="none"/>
        </w:rPr>
        <w:t>25万元</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最高限价：</w:t>
      </w:r>
      <w:r>
        <w:rPr>
          <w:rFonts w:hint="eastAsia" w:ascii="仿宋" w:hAnsi="仿宋" w:eastAsia="仿宋"/>
          <w:sz w:val="28"/>
          <w:szCs w:val="28"/>
          <w:highlight w:val="none"/>
        </w:rPr>
        <w:t>25万元</w:t>
      </w:r>
    </w:p>
    <w:p>
      <w:pP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采购需求：安庆职业技术学院网络安全等级保护测评，详见磋商文件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标段（包别）划分：一个包</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评标办法：综合评分法</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合同履行期限：</w:t>
      </w:r>
      <w:r>
        <w:rPr>
          <w:rFonts w:hint="eastAsia" w:ascii="仿宋" w:hAnsi="仿宋" w:eastAsia="仿宋"/>
          <w:b/>
          <w:bCs/>
          <w:sz w:val="28"/>
          <w:szCs w:val="28"/>
          <w:highlight w:val="none"/>
        </w:rPr>
        <w:t>合同签字生效后</w:t>
      </w:r>
      <w:r>
        <w:rPr>
          <w:rFonts w:ascii="仿宋" w:hAnsi="仿宋" w:eastAsia="仿宋"/>
          <w:b/>
          <w:bCs/>
          <w:sz w:val="28"/>
          <w:szCs w:val="28"/>
          <w:highlight w:val="none"/>
        </w:rPr>
        <w:t>3</w:t>
      </w:r>
      <w:r>
        <w:rPr>
          <w:rFonts w:hint="eastAsia" w:ascii="仿宋" w:hAnsi="仿宋" w:eastAsia="仿宋"/>
          <w:b/>
          <w:bCs/>
          <w:sz w:val="28"/>
          <w:szCs w:val="28"/>
          <w:highlight w:val="none"/>
        </w:rPr>
        <w:t>0日历天</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本项目不接受联合体。</w:t>
      </w:r>
    </w:p>
    <w:p>
      <w:pPr>
        <w:rPr>
          <w:rFonts w:ascii="黑体" w:hAnsi="黑体" w:eastAsia="黑体" w:cs="宋体"/>
          <w:bCs/>
          <w:sz w:val="28"/>
          <w:szCs w:val="28"/>
          <w:highlight w:val="none"/>
        </w:rPr>
      </w:pPr>
      <w:bookmarkStart w:id="9" w:name="_Toc35393630"/>
      <w:bookmarkStart w:id="10" w:name="_Toc35393799"/>
      <w:bookmarkStart w:id="11" w:name="_Toc28359013"/>
      <w:bookmarkStart w:id="12" w:name="_Toc28359090"/>
      <w:r>
        <w:rPr>
          <w:rFonts w:hint="eastAsia" w:ascii="黑体" w:hAnsi="黑体" w:eastAsia="黑体" w:cs="宋体"/>
          <w:bCs/>
          <w:sz w:val="28"/>
          <w:szCs w:val="28"/>
          <w:highlight w:val="none"/>
        </w:rPr>
        <w:t>二、申请人的资格要求：</w:t>
      </w:r>
      <w:bookmarkEnd w:id="9"/>
      <w:bookmarkEnd w:id="10"/>
      <w:bookmarkEnd w:id="11"/>
      <w:bookmarkEnd w:id="12"/>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5" w:firstLineChars="202"/>
        <w:rPr>
          <w:rFonts w:ascii="仿宋" w:hAnsi="仿宋" w:eastAsia="仿宋"/>
          <w:sz w:val="28"/>
          <w:szCs w:val="28"/>
          <w:highlight w:val="none"/>
        </w:rPr>
      </w:pPr>
      <w:bookmarkStart w:id="13" w:name="_Toc28359091"/>
      <w:bookmarkStart w:id="14" w:name="_Toc2835901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3.</w:t>
      </w:r>
      <w:r>
        <w:rPr>
          <w:rFonts w:hint="eastAsia" w:ascii="仿宋" w:hAnsi="仿宋" w:eastAsia="仿宋"/>
          <w:b/>
          <w:bCs/>
          <w:sz w:val="28"/>
          <w:szCs w:val="28"/>
          <w:highlight w:val="none"/>
        </w:rPr>
        <w:t>本项目的特定资格要求：供应商需具备省级及以上网络安全等级保护工作协调小组办公室颁发的网络安全等级保护测评机构推荐证书；</w:t>
      </w:r>
    </w:p>
    <w:p>
      <w:pPr>
        <w:ind w:firstLine="565" w:firstLineChars="202"/>
        <w:rPr>
          <w:rFonts w:ascii="仿宋" w:hAnsi="仿宋" w:eastAsia="仿宋"/>
          <w:i/>
          <w:iCs/>
          <w:sz w:val="28"/>
          <w:szCs w:val="28"/>
          <w:highlight w:val="none"/>
          <w:u w:val="single"/>
        </w:rPr>
      </w:pPr>
      <w:r>
        <w:rPr>
          <w:rFonts w:hint="eastAsia" w:ascii="仿宋" w:hAnsi="仿宋" w:eastAsia="仿宋"/>
          <w:sz w:val="28"/>
          <w:szCs w:val="28"/>
          <w:highlight w:val="none"/>
        </w:rPr>
        <w:t>4</w:t>
      </w:r>
      <w:r>
        <w:rPr>
          <w:rFonts w:ascii="仿宋" w:hAnsi="仿宋" w:eastAsia="仿宋"/>
          <w:sz w:val="28"/>
          <w:szCs w:val="28"/>
          <w:highlight w:val="none"/>
        </w:rPr>
        <w:t>.</w:t>
      </w:r>
      <w:r>
        <w:rPr>
          <w:rFonts w:hint="eastAsia" w:ascii="仿宋" w:hAnsi="仿宋" w:eastAsia="仿宋"/>
          <w:sz w:val="28"/>
          <w:szCs w:val="28"/>
          <w:highlight w:val="none"/>
        </w:rPr>
        <w:t>具有合法有效的营业执照。</w:t>
      </w:r>
    </w:p>
    <w:p>
      <w:pPr>
        <w:rPr>
          <w:rFonts w:ascii="黑体" w:hAnsi="黑体" w:eastAsia="黑体" w:cs="宋体"/>
          <w:bCs/>
          <w:sz w:val="28"/>
          <w:szCs w:val="28"/>
          <w:highlight w:val="none"/>
        </w:rPr>
      </w:pPr>
      <w:bookmarkStart w:id="15" w:name="_Toc35393631"/>
      <w:bookmarkStart w:id="16" w:name="_Toc35393800"/>
      <w:r>
        <w:rPr>
          <w:rFonts w:hint="eastAsia" w:ascii="黑体" w:hAnsi="黑体" w:eastAsia="黑体" w:cs="宋体"/>
          <w:bCs/>
          <w:sz w:val="28"/>
          <w:szCs w:val="28"/>
          <w:highlight w:val="none"/>
        </w:rPr>
        <w:t>三、获取采购文件</w:t>
      </w:r>
      <w:bookmarkEnd w:id="13"/>
      <w:bookmarkEnd w:id="14"/>
      <w:bookmarkEnd w:id="15"/>
      <w:bookmarkEnd w:id="16"/>
    </w:p>
    <w:p>
      <w:pPr>
        <w:ind w:firstLine="565" w:firstLineChars="202"/>
        <w:rPr>
          <w:rFonts w:ascii="仿宋" w:hAnsi="仿宋" w:eastAsia="仿宋" w:cs="宋体"/>
          <w:sz w:val="28"/>
          <w:szCs w:val="28"/>
          <w:highlight w:val="none"/>
        </w:rPr>
      </w:pPr>
      <w:r>
        <w:rPr>
          <w:rFonts w:hint="eastAsia" w:ascii="仿宋" w:hAnsi="仿宋" w:eastAsia="仿宋" w:cs="仿宋"/>
          <w:kern w:val="0"/>
          <w:sz w:val="28"/>
          <w:szCs w:val="28"/>
          <w:highlight w:val="none"/>
        </w:rPr>
        <w:t>潜在供应商于</w:t>
      </w:r>
      <w:r>
        <w:rPr>
          <w:rFonts w:hint="eastAsia" w:ascii="仿宋" w:hAnsi="仿宋" w:eastAsia="仿宋" w:cs="仿宋"/>
          <w:kern w:val="0"/>
          <w:sz w:val="28"/>
          <w:szCs w:val="28"/>
          <w:highlight w:val="none"/>
        </w:rPr>
        <w:t>2021年11月</w:t>
      </w:r>
      <w:r>
        <w:rPr>
          <w:rFonts w:hint="eastAsia" w:ascii="仿宋" w:hAnsi="仿宋" w:eastAsia="仿宋" w:cs="仿宋"/>
          <w:kern w:val="0"/>
          <w:sz w:val="28"/>
          <w:szCs w:val="28"/>
          <w:highlight w:val="none"/>
          <w:lang w:val="en-US" w:eastAsia="zh-CN"/>
        </w:rPr>
        <w:t>15</w:t>
      </w:r>
      <w:r>
        <w:rPr>
          <w:rFonts w:hint="eastAsia" w:ascii="仿宋" w:hAnsi="仿宋" w:eastAsia="仿宋" w:cs="仿宋"/>
          <w:kern w:val="0"/>
          <w:sz w:val="28"/>
          <w:szCs w:val="28"/>
          <w:highlight w:val="none"/>
        </w:rPr>
        <w:t>日17时30分前</w:t>
      </w:r>
      <w:r>
        <w:rPr>
          <w:rFonts w:hint="eastAsia" w:ascii="仿宋" w:hAnsi="仿宋" w:eastAsia="仿宋" w:cs="仿宋"/>
          <w:kern w:val="0"/>
          <w:sz w:val="28"/>
          <w:szCs w:val="28"/>
          <w:highlight w:val="none"/>
        </w:rPr>
        <w:t>，将盖公章的获取磋商文件的函（详见附件）发送至邮箱1165121299@qq.com。（超过时间的邮件无效，无法获取文件）</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售价：免费。</w:t>
      </w:r>
    </w:p>
    <w:p>
      <w:pPr>
        <w:rPr>
          <w:rFonts w:ascii="黑体" w:hAnsi="黑体" w:eastAsia="黑体" w:cs="宋体"/>
          <w:bCs/>
          <w:sz w:val="28"/>
          <w:szCs w:val="28"/>
          <w:highlight w:val="none"/>
        </w:rPr>
      </w:pPr>
      <w:bookmarkStart w:id="17" w:name="_Toc28359015"/>
      <w:bookmarkStart w:id="18" w:name="_Toc28359092"/>
      <w:bookmarkStart w:id="19" w:name="_Toc35393632"/>
      <w:bookmarkStart w:id="20" w:name="_Toc35393801"/>
      <w:r>
        <w:rPr>
          <w:rFonts w:hint="eastAsia" w:ascii="黑体" w:hAnsi="黑体" w:eastAsia="黑体" w:cs="宋体"/>
          <w:bCs/>
          <w:sz w:val="28"/>
          <w:szCs w:val="28"/>
          <w:highlight w:val="none"/>
        </w:rPr>
        <w:t>四、响应文件提交</w:t>
      </w:r>
      <w:bookmarkEnd w:id="17"/>
      <w:bookmarkEnd w:id="18"/>
      <w:bookmarkEnd w:id="19"/>
      <w:bookmarkEnd w:id="20"/>
    </w:p>
    <w:p>
      <w:pPr>
        <w:ind w:firstLine="565" w:firstLineChars="202"/>
        <w:rPr>
          <w:rFonts w:ascii="仿宋" w:hAnsi="仿宋" w:eastAsia="仿宋"/>
          <w:bCs/>
          <w:sz w:val="28"/>
          <w:szCs w:val="28"/>
          <w:highlight w:val="none"/>
          <w:u w:val="single"/>
        </w:rPr>
      </w:pPr>
      <w:r>
        <w:rPr>
          <w:rFonts w:hint="eastAsia" w:ascii="仿宋" w:hAnsi="仿宋" w:eastAsia="仿宋"/>
          <w:sz w:val="28"/>
          <w:szCs w:val="28"/>
          <w:highlight w:val="none"/>
        </w:rPr>
        <w:t>截止时间：</w:t>
      </w:r>
      <w:r>
        <w:rPr>
          <w:rFonts w:hint="eastAsia" w:ascii="仿宋" w:hAnsi="仿宋" w:eastAsia="仿宋"/>
          <w:sz w:val="28"/>
          <w:szCs w:val="28"/>
          <w:highlight w:val="none"/>
        </w:rPr>
        <w:t>2021年11月</w:t>
      </w:r>
      <w:r>
        <w:rPr>
          <w:rFonts w:hint="eastAsia" w:ascii="仿宋" w:hAnsi="仿宋" w:eastAsia="仿宋"/>
          <w:sz w:val="28"/>
          <w:szCs w:val="28"/>
          <w:highlight w:val="none"/>
          <w:lang w:val="en-US" w:eastAsia="zh-CN"/>
        </w:rPr>
        <w:t>24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分</w:t>
      </w:r>
      <w:r>
        <w:rPr>
          <w:rFonts w:hint="eastAsia" w:ascii="仿宋" w:hAnsi="仿宋" w:eastAsia="仿宋"/>
          <w:bCs/>
          <w:sz w:val="28"/>
          <w:szCs w:val="28"/>
          <w:highlight w:val="none"/>
        </w:rPr>
        <w:t>（北京时间）</w:t>
      </w:r>
    </w:p>
    <w:p>
      <w:pPr>
        <w:widowControl/>
        <w:shd w:val="clear" w:color="auto" w:fill="FFFFFF"/>
        <w:spacing w:line="56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w:t>
      </w:r>
      <w:r>
        <w:rPr>
          <w:rFonts w:hint="eastAsia" w:ascii="仿宋" w:hAnsi="仿宋" w:eastAsia="仿宋" w:cs="仿宋"/>
          <w:kern w:val="0"/>
          <w:sz w:val="28"/>
          <w:szCs w:val="28"/>
          <w:highlight w:val="none"/>
        </w:rPr>
        <w:t>安庆市公共资源交易中心(具体开标地点见当天一楼大厅电子显示屏)</w:t>
      </w:r>
    </w:p>
    <w:p>
      <w:pPr>
        <w:rPr>
          <w:rFonts w:ascii="黑体" w:hAnsi="黑体" w:eastAsia="黑体" w:cs="宋体"/>
          <w:bCs/>
          <w:sz w:val="28"/>
          <w:szCs w:val="28"/>
          <w:highlight w:val="none"/>
        </w:rPr>
      </w:pPr>
      <w:bookmarkStart w:id="21" w:name="_Toc28359016"/>
      <w:bookmarkStart w:id="22" w:name="_Toc35393633"/>
      <w:bookmarkStart w:id="23" w:name="_Toc35393802"/>
      <w:bookmarkStart w:id="24" w:name="_Toc28359093"/>
      <w:r>
        <w:rPr>
          <w:rFonts w:hint="eastAsia" w:ascii="黑体" w:hAnsi="黑体" w:eastAsia="黑体" w:cs="宋体"/>
          <w:bCs/>
          <w:sz w:val="28"/>
          <w:szCs w:val="28"/>
          <w:highlight w:val="none"/>
        </w:rPr>
        <w:t>五、开启</w:t>
      </w:r>
      <w:bookmarkEnd w:id="21"/>
      <w:bookmarkEnd w:id="22"/>
      <w:bookmarkEnd w:id="23"/>
      <w:bookmarkEnd w:id="24"/>
    </w:p>
    <w:p>
      <w:pPr>
        <w:ind w:firstLine="565" w:firstLineChars="202"/>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none"/>
        </w:rPr>
        <w:t>2021年11月</w:t>
      </w:r>
      <w:r>
        <w:rPr>
          <w:rFonts w:hint="eastAsia" w:ascii="仿宋" w:hAnsi="仿宋" w:eastAsia="仿宋"/>
          <w:sz w:val="28"/>
          <w:szCs w:val="28"/>
          <w:highlight w:val="none"/>
          <w:lang w:val="en-US" w:eastAsia="zh-CN"/>
        </w:rPr>
        <w:t>24</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分</w:t>
      </w:r>
      <w:r>
        <w:rPr>
          <w:rFonts w:hint="eastAsia" w:ascii="仿宋" w:hAnsi="仿宋" w:eastAsia="仿宋"/>
          <w:bCs/>
          <w:sz w:val="28"/>
          <w:szCs w:val="28"/>
          <w:highlight w:val="none"/>
        </w:rPr>
        <w:t>（北京时间）</w:t>
      </w:r>
    </w:p>
    <w:p>
      <w:pPr>
        <w:ind w:firstLine="565" w:firstLineChars="202"/>
        <w:rPr>
          <w:rFonts w:ascii="仿宋" w:hAnsi="仿宋" w:eastAsia="仿宋"/>
          <w:bCs/>
          <w:sz w:val="28"/>
          <w:szCs w:val="28"/>
          <w:highlight w:val="none"/>
          <w:u w:val="single"/>
        </w:rPr>
      </w:pPr>
      <w:r>
        <w:rPr>
          <w:rFonts w:hint="eastAsia" w:ascii="仿宋" w:hAnsi="仿宋" w:eastAsia="仿宋"/>
          <w:sz w:val="28"/>
          <w:szCs w:val="28"/>
          <w:highlight w:val="none"/>
        </w:rPr>
        <w:t>地点：</w:t>
      </w:r>
      <w:r>
        <w:rPr>
          <w:rFonts w:hint="eastAsia" w:ascii="仿宋" w:hAnsi="仿宋" w:eastAsia="仿宋" w:cs="仿宋"/>
          <w:kern w:val="0"/>
          <w:sz w:val="28"/>
          <w:szCs w:val="28"/>
          <w:highlight w:val="none"/>
        </w:rPr>
        <w:t>安庆市公共资源交易中心</w:t>
      </w:r>
    </w:p>
    <w:p>
      <w:pPr>
        <w:rPr>
          <w:rFonts w:ascii="黑体" w:hAnsi="黑体" w:eastAsia="黑体" w:cs="宋体"/>
          <w:bCs/>
          <w:sz w:val="28"/>
          <w:szCs w:val="28"/>
          <w:highlight w:val="none"/>
        </w:rPr>
      </w:pPr>
      <w:bookmarkStart w:id="25" w:name="_Toc28359094"/>
      <w:bookmarkStart w:id="26" w:name="_Toc35393634"/>
      <w:bookmarkStart w:id="27" w:name="_Toc35393803"/>
      <w:bookmarkStart w:id="28" w:name="_Toc28359017"/>
      <w:r>
        <w:rPr>
          <w:rFonts w:hint="eastAsia" w:ascii="黑体" w:hAnsi="黑体" w:eastAsia="黑体" w:cs="宋体"/>
          <w:bCs/>
          <w:sz w:val="28"/>
          <w:szCs w:val="28"/>
          <w:highlight w:val="none"/>
        </w:rPr>
        <w:t>六、公告期限</w:t>
      </w:r>
      <w:bookmarkEnd w:id="25"/>
      <w:bookmarkEnd w:id="26"/>
      <w:bookmarkEnd w:id="27"/>
      <w:bookmarkEnd w:id="28"/>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ascii="仿宋" w:hAnsi="仿宋" w:eastAsia="仿宋" w:cs="宋体"/>
          <w:kern w:val="0"/>
          <w:sz w:val="28"/>
          <w:szCs w:val="28"/>
          <w:highlight w:val="none"/>
        </w:rPr>
        <w:t>5</w:t>
      </w:r>
      <w:r>
        <w:rPr>
          <w:rFonts w:hint="eastAsia" w:ascii="仿宋" w:hAnsi="仿宋" w:eastAsia="仿宋" w:cs="宋体"/>
          <w:kern w:val="0"/>
          <w:sz w:val="28"/>
          <w:szCs w:val="28"/>
          <w:highlight w:val="none"/>
        </w:rPr>
        <w:t>个工作日</w:t>
      </w:r>
      <w:r>
        <w:rPr>
          <w:rFonts w:hint="eastAsia" w:ascii="仿宋" w:hAnsi="仿宋" w:eastAsia="仿宋" w:cs="宋体"/>
          <w:kern w:val="0"/>
          <w:sz w:val="28"/>
          <w:szCs w:val="28"/>
          <w:highlight w:val="none"/>
        </w:rPr>
        <w:t>。</w:t>
      </w:r>
    </w:p>
    <w:p>
      <w:pPr>
        <w:rPr>
          <w:rFonts w:ascii="黑体" w:hAnsi="黑体" w:eastAsia="黑体" w:cs="宋体"/>
          <w:bCs/>
          <w:sz w:val="28"/>
          <w:szCs w:val="28"/>
          <w:highlight w:val="none"/>
        </w:rPr>
      </w:pPr>
      <w:bookmarkStart w:id="29" w:name="_Toc35393804"/>
      <w:bookmarkStart w:id="30" w:name="_Toc35393635"/>
      <w:r>
        <w:rPr>
          <w:rFonts w:hint="eastAsia" w:ascii="黑体" w:hAnsi="黑体" w:eastAsia="黑体" w:cs="宋体"/>
          <w:bCs/>
          <w:sz w:val="28"/>
          <w:szCs w:val="28"/>
          <w:highlight w:val="none"/>
        </w:rPr>
        <w:t>七、其他补充事宜</w:t>
      </w:r>
      <w:bookmarkEnd w:id="29"/>
      <w:bookmarkEnd w:id="30"/>
    </w:p>
    <w:p>
      <w:pPr>
        <w:ind w:firstLine="565" w:firstLineChars="202"/>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供应商的联系人电话(手机)、电子邮箱等通讯方式在磋商过程中必须保持畅通，否则因上述原因造成的后果，责任自负。</w:t>
      </w:r>
    </w:p>
    <w:p>
      <w:pPr>
        <w:ind w:firstLine="565" w:firstLineChars="202"/>
        <w:rPr>
          <w:rFonts w:ascii="仿宋" w:hAnsi="仿宋" w:eastAsia="仿宋" w:cs="仿宋"/>
          <w:kern w:val="0"/>
          <w:sz w:val="28"/>
          <w:szCs w:val="28"/>
          <w:highlight w:val="none"/>
        </w:rPr>
      </w:pPr>
      <w:r>
        <w:rPr>
          <w:rFonts w:ascii="仿宋" w:hAnsi="仿宋" w:eastAsia="仿宋"/>
          <w:sz w:val="28"/>
          <w:szCs w:val="28"/>
          <w:highlight w:val="none"/>
        </w:rPr>
        <w:t>2.</w:t>
      </w:r>
      <w:r>
        <w:rPr>
          <w:rFonts w:hint="eastAsia" w:ascii="仿宋" w:hAnsi="仿宋" w:eastAsia="仿宋" w:cs="仿宋"/>
          <w:kern w:val="0"/>
          <w:sz w:val="28"/>
          <w:szCs w:val="28"/>
          <w:highlight w:val="none"/>
        </w:rPr>
        <w:t>本竞争性磋商文件的澄清、修改、补充说明等内容均通过安庆职业技术学院（https://www.aqvtc.edu.cn/）发布，请务必随时关注，以免影响响应文件编制，因供应商未及时关注相关信息对投标造成的不利后果由其自行承担。</w:t>
      </w:r>
    </w:p>
    <w:p>
      <w:pPr>
        <w:ind w:firstLine="565" w:firstLineChars="202"/>
        <w:rPr>
          <w:rFonts w:ascii="仿宋" w:hAnsi="仿宋" w:eastAsia="仿宋"/>
          <w:sz w:val="28"/>
          <w:szCs w:val="28"/>
          <w:highlight w:val="none"/>
        </w:rPr>
      </w:pPr>
      <w:r>
        <w:rPr>
          <w:rFonts w:hint="eastAsia" w:ascii="仿宋" w:hAnsi="仿宋" w:eastAsia="仿宋" w:cs="仿宋"/>
          <w:kern w:val="0"/>
          <w:sz w:val="28"/>
          <w:szCs w:val="28"/>
          <w:highlight w:val="none"/>
        </w:rPr>
        <w:t>3.获取磋商文件，而放弃参加投标的供应商，请在响应文件提交截止日前以单位名义向1165121299@qq.com邮箱发送弃标函（格式自拟）。</w:t>
      </w:r>
    </w:p>
    <w:p>
      <w:pPr>
        <w:rPr>
          <w:rFonts w:ascii="黑体" w:hAnsi="黑体" w:eastAsia="黑体" w:cs="宋体"/>
          <w:bCs/>
          <w:sz w:val="28"/>
          <w:szCs w:val="28"/>
          <w:highlight w:val="none"/>
        </w:rPr>
      </w:pPr>
      <w:bookmarkStart w:id="31" w:name="_Toc28359018"/>
      <w:bookmarkStart w:id="32" w:name="_Toc35393636"/>
      <w:bookmarkStart w:id="33" w:name="_Toc28359095"/>
      <w:bookmarkStart w:id="34" w:name="_Toc35393805"/>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31"/>
      <w:bookmarkEnd w:id="32"/>
      <w:bookmarkEnd w:id="33"/>
      <w:bookmarkEnd w:id="34"/>
    </w:p>
    <w:p>
      <w:pPr>
        <w:ind w:firstLine="565" w:firstLineChars="202"/>
        <w:rPr>
          <w:rFonts w:ascii="仿宋" w:hAnsi="仿宋" w:eastAsia="仿宋" w:cs="宋体"/>
          <w:bCs/>
          <w:sz w:val="28"/>
          <w:szCs w:val="28"/>
          <w:highlight w:val="none"/>
        </w:rPr>
      </w:pPr>
      <w:bookmarkStart w:id="35" w:name="_Toc35393806"/>
      <w:bookmarkStart w:id="36" w:name="_Toc35393637"/>
      <w:bookmarkStart w:id="37" w:name="_Toc28359019"/>
      <w:bookmarkStart w:id="38" w:name="_Toc28359096"/>
      <w:r>
        <w:rPr>
          <w:rFonts w:hint="eastAsia" w:ascii="仿宋" w:hAnsi="仿宋" w:eastAsia="仿宋" w:cs="宋体"/>
          <w:bCs/>
          <w:sz w:val="28"/>
          <w:szCs w:val="28"/>
          <w:highlight w:val="none"/>
        </w:rPr>
        <w:t>1.采购人信息</w:t>
      </w:r>
      <w:bookmarkEnd w:id="35"/>
      <w:bookmarkEnd w:id="36"/>
      <w:bookmarkEnd w:id="37"/>
      <w:bookmarkEnd w:id="38"/>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仿宋"/>
          <w:kern w:val="0"/>
          <w:sz w:val="28"/>
          <w:szCs w:val="28"/>
          <w:highlight w:val="none"/>
        </w:rPr>
        <w:t>安庆职业技术学院</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cs="仿宋"/>
          <w:kern w:val="0"/>
          <w:sz w:val="28"/>
          <w:szCs w:val="28"/>
          <w:highlight w:val="none"/>
        </w:rPr>
        <w:t>安庆市天柱山东路99号</w:t>
      </w:r>
    </w:p>
    <w:p>
      <w:pPr>
        <w:ind w:firstLine="565" w:firstLineChars="202"/>
        <w:rPr>
          <w:rFonts w:ascii="仿宋" w:hAnsi="仿宋" w:eastAsia="仿宋"/>
          <w:sz w:val="28"/>
          <w:szCs w:val="28"/>
          <w:highlight w:val="none"/>
        </w:rPr>
      </w:pPr>
      <w:r>
        <w:rPr>
          <w:rFonts w:hint="eastAsia" w:ascii="仿宋" w:hAnsi="仿宋" w:eastAsia="仿宋" w:cstheme="minorBidi"/>
          <w:sz w:val="28"/>
          <w:szCs w:val="28"/>
          <w:highlight w:val="none"/>
        </w:rPr>
        <w:t>联 系 人：</w:t>
      </w:r>
      <w:r>
        <w:rPr>
          <w:rFonts w:hint="eastAsia" w:ascii="仿宋" w:hAnsi="仿宋" w:eastAsia="仿宋" w:cs="仿宋"/>
          <w:kern w:val="0"/>
          <w:sz w:val="28"/>
          <w:szCs w:val="28"/>
          <w:highlight w:val="none"/>
        </w:rPr>
        <w:t>余老师</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联系方式：</w:t>
      </w:r>
      <w:r>
        <w:rPr>
          <w:rFonts w:hint="eastAsia" w:ascii="仿宋" w:hAnsi="仿宋" w:eastAsia="仿宋" w:cs="仿宋"/>
          <w:kern w:val="0"/>
          <w:sz w:val="28"/>
          <w:szCs w:val="28"/>
          <w:highlight w:val="none"/>
        </w:rPr>
        <w:t>0556-5283045</w:t>
      </w:r>
    </w:p>
    <w:p>
      <w:pPr>
        <w:ind w:firstLine="565" w:firstLineChars="202"/>
        <w:rPr>
          <w:rFonts w:ascii="仿宋" w:hAnsi="仿宋" w:eastAsia="仿宋" w:cs="宋体"/>
          <w:bCs/>
          <w:sz w:val="28"/>
          <w:szCs w:val="28"/>
          <w:highlight w:val="none"/>
        </w:rPr>
      </w:pPr>
      <w:bookmarkStart w:id="39" w:name="_Toc35393807"/>
      <w:bookmarkStart w:id="40" w:name="_Toc28359097"/>
      <w:bookmarkStart w:id="41" w:name="_Toc35393638"/>
      <w:bookmarkStart w:id="42" w:name="_Toc28359020"/>
      <w:r>
        <w:rPr>
          <w:rFonts w:hint="eastAsia" w:ascii="仿宋" w:hAnsi="仿宋" w:eastAsia="仿宋" w:cs="宋体"/>
          <w:bCs/>
          <w:sz w:val="28"/>
          <w:szCs w:val="28"/>
          <w:highlight w:val="none"/>
        </w:rPr>
        <w:t>2.采购代理机构信息</w:t>
      </w:r>
      <w:bookmarkEnd w:id="39"/>
      <w:bookmarkEnd w:id="40"/>
      <w:bookmarkEnd w:id="41"/>
      <w:bookmarkEnd w:id="42"/>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仿宋"/>
          <w:kern w:val="0"/>
          <w:sz w:val="28"/>
          <w:szCs w:val="28"/>
          <w:highlight w:val="none"/>
        </w:rPr>
        <w:t>安庆市皖宜项目咨询管理有限公司</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cs="仿宋"/>
          <w:kern w:val="0"/>
          <w:sz w:val="28"/>
          <w:szCs w:val="28"/>
          <w:highlight w:val="none"/>
        </w:rPr>
        <w:t>安庆市龙山路215号五楼政府采购部</w:t>
      </w:r>
    </w:p>
    <w:p>
      <w:pPr>
        <w:ind w:firstLine="565" w:firstLineChars="202"/>
        <w:rPr>
          <w:rFonts w:ascii="仿宋" w:hAnsi="仿宋" w:eastAsia="仿宋" w:cstheme="minorBidi"/>
          <w:sz w:val="28"/>
          <w:szCs w:val="28"/>
          <w:highlight w:val="none"/>
        </w:rPr>
      </w:pPr>
      <w:r>
        <w:rPr>
          <w:rFonts w:hint="eastAsia" w:ascii="仿宋" w:hAnsi="仿宋" w:eastAsia="仿宋" w:cstheme="minorBidi"/>
          <w:sz w:val="28"/>
          <w:szCs w:val="28"/>
          <w:highlight w:val="none"/>
        </w:rPr>
        <w:t>联 系 人：马婷</w:t>
      </w:r>
    </w:p>
    <w:p>
      <w:pPr>
        <w:ind w:firstLine="565" w:firstLineChars="202"/>
        <w:rPr>
          <w:rFonts w:ascii="仿宋" w:hAnsi="仿宋" w:eastAsia="仿宋"/>
          <w:sz w:val="28"/>
          <w:szCs w:val="28"/>
          <w:highlight w:val="none"/>
        </w:rPr>
      </w:pPr>
      <w:r>
        <w:rPr>
          <w:rFonts w:hint="eastAsia" w:ascii="仿宋" w:hAnsi="仿宋" w:eastAsia="仿宋" w:cstheme="minorBidi"/>
          <w:sz w:val="28"/>
          <w:szCs w:val="28"/>
          <w:highlight w:val="none"/>
        </w:rPr>
        <w:t>联系方式：0556-5991153</w:t>
      </w:r>
    </w:p>
    <w:p>
      <w:pPr>
        <w:ind w:firstLine="565" w:firstLineChars="202"/>
        <w:rPr>
          <w:rFonts w:ascii="仿宋" w:hAnsi="仿宋" w:eastAsia="仿宋" w:cs="宋体"/>
          <w:bCs/>
          <w:sz w:val="28"/>
          <w:szCs w:val="28"/>
          <w:highlight w:val="none"/>
        </w:rPr>
      </w:pPr>
      <w:bookmarkStart w:id="43" w:name="_Toc35393808"/>
      <w:bookmarkStart w:id="44" w:name="_Toc28359098"/>
      <w:bookmarkStart w:id="45" w:name="_Toc28359021"/>
      <w:bookmarkStart w:id="46" w:name="_Toc35393639"/>
      <w:r>
        <w:rPr>
          <w:rFonts w:hint="eastAsia" w:ascii="仿宋" w:hAnsi="仿宋" w:eastAsia="仿宋" w:cs="宋体"/>
          <w:bCs/>
          <w:sz w:val="28"/>
          <w:szCs w:val="28"/>
          <w:highlight w:val="none"/>
        </w:rPr>
        <w:t>3.项目联系</w:t>
      </w:r>
      <w:r>
        <w:rPr>
          <w:rFonts w:ascii="仿宋" w:hAnsi="仿宋" w:eastAsia="仿宋" w:cs="宋体"/>
          <w:bCs/>
          <w:sz w:val="28"/>
          <w:szCs w:val="28"/>
          <w:highlight w:val="none"/>
        </w:rPr>
        <w:t>方式</w:t>
      </w:r>
      <w:bookmarkEnd w:id="43"/>
      <w:bookmarkEnd w:id="44"/>
      <w:bookmarkEnd w:id="45"/>
      <w:bookmarkEnd w:id="46"/>
    </w:p>
    <w:p>
      <w:pPr>
        <w:ind w:firstLine="565" w:firstLineChars="202"/>
        <w:rPr>
          <w:rFonts w:ascii="仿宋" w:hAnsi="仿宋" w:eastAsia="仿宋" w:cstheme="minorBidi"/>
          <w:sz w:val="28"/>
          <w:szCs w:val="28"/>
          <w:highlight w:val="none"/>
        </w:rPr>
      </w:pPr>
      <w:r>
        <w:rPr>
          <w:rFonts w:hint="eastAsia" w:ascii="仿宋" w:hAnsi="仿宋" w:eastAsia="仿宋" w:cstheme="minorBidi"/>
          <w:sz w:val="28"/>
          <w:szCs w:val="28"/>
          <w:highlight w:val="none"/>
        </w:rPr>
        <w:t>项目联系人：</w:t>
      </w:r>
      <w:r>
        <w:rPr>
          <w:rFonts w:hint="eastAsia" w:ascii="仿宋" w:hAnsi="仿宋" w:eastAsia="仿宋" w:cs="仿宋"/>
          <w:kern w:val="0"/>
          <w:sz w:val="28"/>
          <w:szCs w:val="28"/>
          <w:highlight w:val="none"/>
        </w:rPr>
        <w:t>余老师</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电　　 话：</w:t>
      </w:r>
      <w:r>
        <w:rPr>
          <w:rFonts w:hint="eastAsia" w:ascii="仿宋" w:hAnsi="仿宋" w:eastAsia="仿宋" w:cs="仿宋"/>
          <w:kern w:val="0"/>
          <w:sz w:val="28"/>
          <w:szCs w:val="28"/>
          <w:highlight w:val="none"/>
        </w:rPr>
        <w:t>0556-5283045</w:t>
      </w:r>
    </w:p>
    <w:p>
      <w:pPr>
        <w:ind w:firstLine="565" w:firstLineChars="202"/>
        <w:rPr>
          <w:rFonts w:ascii="仿宋" w:hAnsi="仿宋" w:eastAsia="仿宋"/>
          <w:sz w:val="28"/>
          <w:szCs w:val="28"/>
          <w:highlight w:val="none"/>
          <w:u w:val="single"/>
        </w:rPr>
      </w:pPr>
    </w:p>
    <w:p>
      <w:pPr>
        <w:rPr>
          <w:b/>
          <w:bCs/>
          <w:sz w:val="24"/>
          <w:szCs w:val="22"/>
          <w:highlight w:val="none"/>
        </w:rPr>
      </w:pPr>
    </w:p>
    <w:p>
      <w:pPr>
        <w:rPr>
          <w:b/>
          <w:bCs/>
          <w:sz w:val="24"/>
          <w:szCs w:val="22"/>
          <w:highlight w:val="none"/>
        </w:rPr>
      </w:pPr>
    </w:p>
    <w:p>
      <w:pPr>
        <w:rPr>
          <w:b/>
          <w:bCs/>
          <w:sz w:val="24"/>
          <w:szCs w:val="22"/>
          <w:highlight w:val="none"/>
        </w:rPr>
      </w:pPr>
    </w:p>
    <w:p>
      <w:pPr>
        <w:rPr>
          <w:b/>
          <w:bCs/>
          <w:sz w:val="24"/>
          <w:szCs w:val="22"/>
          <w:highlight w:val="none"/>
        </w:rPr>
      </w:pPr>
    </w:p>
    <w:p>
      <w:pPr>
        <w:pageBreakBefore/>
        <w:rPr>
          <w:b/>
          <w:bCs/>
          <w:sz w:val="28"/>
          <w:szCs w:val="24"/>
          <w:highlight w:val="none"/>
        </w:rPr>
      </w:pPr>
      <w:r>
        <w:rPr>
          <w:rFonts w:hint="eastAsia"/>
          <w:b/>
          <w:bCs/>
          <w:sz w:val="28"/>
          <w:szCs w:val="24"/>
          <w:highlight w:val="none"/>
        </w:rPr>
        <w:t xml:space="preserve">附件：            </w:t>
      </w:r>
    </w:p>
    <w:p>
      <w:pPr>
        <w:jc w:val="center"/>
        <w:rPr>
          <w:b/>
          <w:bCs/>
          <w:sz w:val="28"/>
          <w:szCs w:val="24"/>
          <w:highlight w:val="none"/>
        </w:rPr>
      </w:pPr>
      <w:r>
        <w:rPr>
          <w:rFonts w:hint="eastAsia"/>
          <w:b/>
          <w:bCs/>
          <w:sz w:val="32"/>
          <w:szCs w:val="28"/>
          <w:highlight w:val="none"/>
        </w:rPr>
        <w:t>获取磋商文件的函</w:t>
      </w:r>
    </w:p>
    <w:p>
      <w:pPr>
        <w:rPr>
          <w:rFonts w:ascii="仿宋" w:hAnsi="仿宋" w:eastAsia="仿宋" w:cs="仿宋"/>
          <w:sz w:val="32"/>
          <w:szCs w:val="32"/>
          <w:highlight w:val="none"/>
        </w:rPr>
      </w:pPr>
      <w:r>
        <w:rPr>
          <w:rFonts w:hint="eastAsia" w:ascii="仿宋" w:hAnsi="仿宋" w:eastAsia="仿宋" w:cs="仿宋"/>
          <w:sz w:val="32"/>
          <w:szCs w:val="32"/>
          <w:highlight w:val="none"/>
        </w:rPr>
        <w:t>安庆市皖宜项目咨询管理有限公司：</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我单位要求获取安庆职业技术学院网络安全等级保护测评项目的磋商文件电子版，该电子版仅做本次投标使用，并承诺不做外用。</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请将安庆职业技术学院网络安全等级保护测评项目磋商文件发至以下邮箱：</w:t>
      </w:r>
    </w:p>
    <w:p>
      <w:pPr>
        <w:rPr>
          <w:rFonts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联系人：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pPr>
        <w:ind w:firstLine="640"/>
        <w:rPr>
          <w:rFonts w:ascii="仿宋" w:hAnsi="仿宋" w:eastAsia="仿宋" w:cs="仿宋"/>
          <w:sz w:val="32"/>
          <w:szCs w:val="32"/>
          <w:highlight w:val="none"/>
        </w:rPr>
      </w:pP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 xml:space="preserve">                                  XXX（单位名称）</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 xml:space="preserve">                                  2021年 月  日</w:t>
      </w:r>
    </w:p>
    <w:p>
      <w:pPr>
        <w:ind w:firstLine="424" w:firstLineChars="202"/>
        <w:rPr>
          <w:szCs w:val="21"/>
          <w:highlight w:val="none"/>
        </w:rPr>
      </w:pPr>
      <w:r>
        <w:rPr>
          <w:szCs w:val="21"/>
          <w:highlight w:val="none"/>
        </w:rPr>
        <w:br w:type="page"/>
      </w:r>
    </w:p>
    <w:p>
      <w:pPr>
        <w:pStyle w:val="2"/>
        <w:spacing w:before="62" w:beforeLines="20" w:after="62" w:afterLines="20" w:line="480" w:lineRule="exact"/>
        <w:ind w:firstLine="0" w:firstLineChars="0"/>
        <w:jc w:val="center"/>
        <w:rPr>
          <w:rFonts w:ascii="Arial" w:hAnsi="Arial"/>
          <w:kern w:val="2"/>
          <w:sz w:val="32"/>
          <w:szCs w:val="32"/>
          <w:highlight w:val="none"/>
        </w:rPr>
      </w:pPr>
      <w:bookmarkStart w:id="47" w:name="_Toc20185"/>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rPr>
        <w:t>磋商须知</w:t>
      </w:r>
      <w:bookmarkEnd w:id="1"/>
      <w:bookmarkEnd w:id="47"/>
    </w:p>
    <w:p>
      <w:pPr>
        <w:pStyle w:val="2"/>
        <w:tabs>
          <w:tab w:val="clear" w:pos="1440"/>
          <w:tab w:val="clear" w:pos="5670"/>
        </w:tabs>
        <w:spacing w:beforeLines="0" w:afterLines="0"/>
        <w:ind w:firstLine="0" w:firstLineChars="0"/>
        <w:jc w:val="center"/>
        <w:rPr>
          <w:rFonts w:ascii="宋体" w:hAnsi="宋体" w:eastAsia="宋体" w:cs="Tahoma"/>
          <w:bCs/>
          <w:kern w:val="0"/>
          <w:sz w:val="32"/>
          <w:szCs w:val="32"/>
          <w:highlight w:val="none"/>
        </w:rPr>
      </w:pPr>
      <w:bookmarkStart w:id="48" w:name="_Toc439316871"/>
      <w:bookmarkStart w:id="49" w:name="_Toc7863"/>
      <w:r>
        <w:rPr>
          <w:rFonts w:hint="eastAsia" w:ascii="宋体" w:hAnsi="宋体" w:eastAsia="宋体" w:cs="Tahoma"/>
          <w:bCs/>
          <w:kern w:val="0"/>
          <w:sz w:val="32"/>
          <w:szCs w:val="32"/>
          <w:highlight w:val="none"/>
        </w:rPr>
        <w:t>第一节</w:t>
      </w:r>
      <w:r>
        <w:rPr>
          <w:rFonts w:ascii="宋体" w:hAnsi="宋体" w:eastAsia="宋体" w:cs="Tahoma"/>
          <w:bCs/>
          <w:kern w:val="0"/>
          <w:sz w:val="32"/>
          <w:szCs w:val="32"/>
          <w:highlight w:val="none"/>
        </w:rPr>
        <w:t xml:space="preserve"> </w:t>
      </w:r>
      <w:r>
        <w:rPr>
          <w:rFonts w:hint="eastAsia" w:ascii="宋体" w:hAnsi="宋体" w:eastAsia="宋体" w:cs="Tahoma"/>
          <w:bCs/>
          <w:kern w:val="0"/>
          <w:sz w:val="32"/>
          <w:szCs w:val="32"/>
          <w:highlight w:val="none"/>
        </w:rPr>
        <w:t>磋商须知前附表</w:t>
      </w:r>
      <w:bookmarkEnd w:id="48"/>
      <w:bookmarkEnd w:id="49"/>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ind w:right="-358"/>
              <w:rPr>
                <w:rFonts w:ascii="宋体"/>
                <w:szCs w:val="21"/>
                <w:highlight w:val="none"/>
              </w:rPr>
            </w:pPr>
            <w:r>
              <w:rPr>
                <w:rFonts w:hint="eastAsia" w:ascii="宋体" w:hAnsi="宋体"/>
                <w:szCs w:val="21"/>
                <w:highlight w:val="none"/>
              </w:rPr>
              <w:t>序号</w:t>
            </w: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内容</w:t>
            </w:r>
          </w:p>
        </w:tc>
        <w:tc>
          <w:tcPr>
            <w:tcW w:w="6480"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highlight w:val="none"/>
              </w:rPr>
            </w:pPr>
            <w:r>
              <w:rPr>
                <w:rFonts w:hint="eastAsia" w:ascii="宋体" w:hAnsi="宋体"/>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项目编号</w:t>
            </w:r>
          </w:p>
        </w:tc>
        <w:tc>
          <w:tcPr>
            <w:tcW w:w="6480" w:type="dxa"/>
            <w:tcBorders>
              <w:top w:val="single" w:color="auto" w:sz="4" w:space="0"/>
              <w:left w:val="single" w:color="auto" w:sz="4" w:space="0"/>
              <w:bottom w:val="single" w:color="auto" w:sz="4" w:space="0"/>
            </w:tcBorders>
            <w:vAlign w:val="center"/>
          </w:tcPr>
          <w:p>
            <w:pPr>
              <w:widowControl/>
              <w:snapToGrid w:val="0"/>
              <w:spacing w:line="480" w:lineRule="exact"/>
              <w:rPr>
                <w:rFonts w:ascii="宋体" w:hAnsi="宋体" w:cs="宋体"/>
                <w:kern w:val="0"/>
                <w:szCs w:val="21"/>
                <w:highlight w:val="none"/>
              </w:rPr>
            </w:pPr>
            <w:r>
              <w:rPr>
                <w:rFonts w:hint="eastAsia" w:ascii="宋体" w:hAnsi="宋体" w:cs="宋体"/>
                <w:kern w:val="0"/>
                <w:szCs w:val="21"/>
                <w:highlight w:val="none"/>
              </w:rPr>
              <w:t xml:space="preserve"> CG-AZ-2021-026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项目名称</w:t>
            </w:r>
          </w:p>
        </w:tc>
        <w:tc>
          <w:tcPr>
            <w:tcW w:w="6480" w:type="dxa"/>
            <w:tcBorders>
              <w:top w:val="single" w:color="auto" w:sz="4" w:space="0"/>
              <w:left w:val="single" w:color="auto" w:sz="4" w:space="0"/>
              <w:bottom w:val="single" w:color="auto" w:sz="4" w:space="0"/>
            </w:tcBorders>
            <w:vAlign w:val="center"/>
          </w:tcPr>
          <w:p>
            <w:pPr>
              <w:widowControl/>
              <w:snapToGrid w:val="0"/>
              <w:spacing w:line="480" w:lineRule="exact"/>
              <w:rPr>
                <w:rFonts w:ascii="宋体" w:hAnsi="宋体" w:cs="宋体"/>
                <w:kern w:val="0"/>
                <w:szCs w:val="21"/>
                <w:highlight w:val="none"/>
              </w:rPr>
            </w:pPr>
            <w:r>
              <w:rPr>
                <w:rFonts w:hint="eastAsia" w:ascii="宋体" w:hAnsi="宋体" w:cs="宋体"/>
                <w:kern w:val="0"/>
                <w:szCs w:val="21"/>
                <w:highlight w:val="none"/>
              </w:rPr>
              <w:t>安庆职业技术学院网络安全等级保护测评项目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3</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采购人</w:t>
            </w:r>
          </w:p>
        </w:tc>
        <w:tc>
          <w:tcPr>
            <w:tcW w:w="6480" w:type="dxa"/>
            <w:tcBorders>
              <w:top w:val="single" w:color="auto" w:sz="4" w:space="0"/>
              <w:left w:val="single" w:color="auto" w:sz="4" w:space="0"/>
              <w:bottom w:val="single" w:color="auto" w:sz="4" w:space="0"/>
            </w:tcBorders>
            <w:vAlign w:val="center"/>
          </w:tcPr>
          <w:p>
            <w:pPr>
              <w:widowControl/>
              <w:snapToGrid w:val="0"/>
              <w:spacing w:line="480" w:lineRule="exact"/>
              <w:rPr>
                <w:rFonts w:ascii="宋体" w:hAnsi="宋体" w:cs="宋体"/>
                <w:kern w:val="0"/>
                <w:szCs w:val="21"/>
                <w:highlight w:val="none"/>
              </w:rPr>
            </w:pPr>
            <w:r>
              <w:rPr>
                <w:rFonts w:hint="eastAsia" w:ascii="宋体" w:hAnsi="宋体" w:cs="宋体"/>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4</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代理机构</w:t>
            </w:r>
          </w:p>
        </w:tc>
        <w:tc>
          <w:tcPr>
            <w:tcW w:w="6480" w:type="dxa"/>
            <w:tcBorders>
              <w:top w:val="single" w:color="auto" w:sz="4" w:space="0"/>
              <w:left w:val="single" w:color="auto" w:sz="4" w:space="0"/>
              <w:bottom w:val="single" w:color="auto" w:sz="4" w:space="0"/>
            </w:tcBorders>
            <w:vAlign w:val="center"/>
          </w:tcPr>
          <w:p>
            <w:pPr>
              <w:widowControl/>
              <w:snapToGrid w:val="0"/>
              <w:spacing w:line="480" w:lineRule="exact"/>
              <w:rPr>
                <w:rFonts w:ascii="宋体" w:hAnsi="宋体" w:cs="宋体"/>
                <w:kern w:val="0"/>
                <w:szCs w:val="21"/>
                <w:highlight w:val="none"/>
              </w:rPr>
            </w:pPr>
            <w:r>
              <w:rPr>
                <w:rFonts w:hint="eastAsia" w:ascii="宋体" w:hAnsi="宋体" w:cs="宋体"/>
                <w:kern w:val="0"/>
                <w:szCs w:val="21"/>
                <w:highlight w:val="none"/>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5</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采购方式</w:t>
            </w:r>
          </w:p>
        </w:tc>
        <w:tc>
          <w:tcPr>
            <w:tcW w:w="6480" w:type="dxa"/>
            <w:tcBorders>
              <w:top w:val="single" w:color="auto" w:sz="4" w:space="0"/>
              <w:left w:val="single" w:color="auto" w:sz="4" w:space="0"/>
              <w:bottom w:val="single" w:color="auto" w:sz="4" w:space="0"/>
            </w:tcBorders>
            <w:vAlign w:val="center"/>
          </w:tcPr>
          <w:p>
            <w:pPr>
              <w:spacing w:line="480" w:lineRule="exact"/>
              <w:rPr>
                <w:szCs w:val="21"/>
                <w:highlight w:val="none"/>
              </w:rPr>
            </w:pPr>
            <w:r>
              <w:rPr>
                <w:rFonts w:hint="eastAsia"/>
                <w:szCs w:val="21"/>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6</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标段划分</w:t>
            </w:r>
          </w:p>
        </w:tc>
        <w:tc>
          <w:tcPr>
            <w:tcW w:w="6480" w:type="dxa"/>
            <w:tcBorders>
              <w:top w:val="single" w:color="auto" w:sz="4" w:space="0"/>
              <w:left w:val="single" w:color="auto" w:sz="4" w:space="0"/>
              <w:bottom w:val="single" w:color="auto" w:sz="4" w:space="0"/>
            </w:tcBorders>
            <w:vAlign w:val="center"/>
          </w:tcPr>
          <w:p>
            <w:pPr>
              <w:spacing w:line="480" w:lineRule="exact"/>
              <w:rPr>
                <w:szCs w:val="21"/>
                <w:highlight w:val="none"/>
              </w:rPr>
            </w:pPr>
            <w:r>
              <w:rPr>
                <w:rFonts w:hint="eastAsia"/>
                <w:szCs w:val="21"/>
                <w:highlight w:val="none"/>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7</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资金来源</w:t>
            </w:r>
          </w:p>
        </w:tc>
        <w:tc>
          <w:tcPr>
            <w:tcW w:w="6480" w:type="dxa"/>
            <w:tcBorders>
              <w:top w:val="single" w:color="auto" w:sz="4" w:space="0"/>
              <w:left w:val="single" w:color="auto" w:sz="4" w:space="0"/>
              <w:bottom w:val="single" w:color="auto" w:sz="4" w:space="0"/>
            </w:tcBorders>
            <w:vAlign w:val="center"/>
          </w:tcPr>
          <w:p>
            <w:pPr>
              <w:spacing w:line="420" w:lineRule="exact"/>
              <w:rPr>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8</w:t>
            </w:r>
          </w:p>
        </w:tc>
        <w:tc>
          <w:tcPr>
            <w:tcW w:w="1734" w:type="dxa"/>
            <w:tcBorders>
              <w:top w:val="single" w:color="auto" w:sz="4" w:space="0"/>
              <w:left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最高磋商限价</w:t>
            </w:r>
          </w:p>
        </w:tc>
        <w:tc>
          <w:tcPr>
            <w:tcW w:w="6480" w:type="dxa"/>
            <w:tcBorders>
              <w:top w:val="single" w:color="auto" w:sz="4" w:space="0"/>
              <w:left w:val="single" w:color="auto" w:sz="4" w:space="0"/>
              <w:bottom w:val="single" w:color="auto" w:sz="4" w:space="0"/>
            </w:tcBorders>
            <w:vAlign w:val="center"/>
          </w:tcPr>
          <w:p>
            <w:pPr>
              <w:spacing w:line="420" w:lineRule="exact"/>
              <w:rPr>
                <w:szCs w:val="21"/>
                <w:highlight w:val="none"/>
              </w:rPr>
            </w:pPr>
            <w:r>
              <w:rPr>
                <w:rFonts w:hint="eastAsia" w:ascii="宋体" w:hAnsi="宋体" w:cs="宋体"/>
                <w:szCs w:val="21"/>
                <w:highlight w:val="none"/>
              </w:rPr>
              <w:t xml:space="preserve"> 25万元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9</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项目地点</w:t>
            </w:r>
          </w:p>
        </w:tc>
        <w:tc>
          <w:tcPr>
            <w:tcW w:w="6480" w:type="dxa"/>
            <w:tcBorders>
              <w:top w:val="single" w:color="auto" w:sz="4" w:space="0"/>
              <w:left w:val="single" w:color="auto" w:sz="4" w:space="0"/>
              <w:bottom w:val="single" w:color="auto" w:sz="4" w:space="0"/>
            </w:tcBorders>
            <w:vAlign w:val="center"/>
          </w:tcPr>
          <w:p>
            <w:pPr>
              <w:spacing w:line="420" w:lineRule="exact"/>
              <w:rPr>
                <w:szCs w:val="21"/>
                <w:highlight w:val="none"/>
              </w:rPr>
            </w:pPr>
            <w:r>
              <w:rPr>
                <w:rFonts w:hint="eastAsia" w:ascii="宋体" w:hAnsi="宋体" w:cs="宋体"/>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服务期</w:t>
            </w:r>
          </w:p>
        </w:tc>
        <w:tc>
          <w:tcPr>
            <w:tcW w:w="6480" w:type="dxa"/>
            <w:tcBorders>
              <w:top w:val="single" w:color="auto" w:sz="4" w:space="0"/>
              <w:left w:val="single" w:color="auto" w:sz="4" w:space="0"/>
              <w:bottom w:val="single" w:color="auto" w:sz="4" w:space="0"/>
            </w:tcBorders>
            <w:vAlign w:val="center"/>
          </w:tcPr>
          <w:p>
            <w:pPr>
              <w:spacing w:line="480" w:lineRule="exact"/>
              <w:rPr>
                <w:szCs w:val="21"/>
                <w:highlight w:val="none"/>
              </w:rPr>
            </w:pPr>
            <w:r>
              <w:rPr>
                <w:rFonts w:hint="eastAsia"/>
                <w:szCs w:val="21"/>
                <w:highlight w:val="none"/>
              </w:rPr>
              <w:t>自合同签字生效后</w:t>
            </w:r>
            <w:r>
              <w:rPr>
                <w:rFonts w:hint="eastAsia"/>
                <w:szCs w:val="21"/>
                <w:highlight w:val="none"/>
                <w:u w:val="single"/>
              </w:rPr>
              <w:t xml:space="preserve"> </w:t>
            </w:r>
            <w:r>
              <w:rPr>
                <w:szCs w:val="21"/>
                <w:highlight w:val="none"/>
                <w:u w:val="single"/>
              </w:rPr>
              <w:t>3</w:t>
            </w:r>
            <w:r>
              <w:rPr>
                <w:rFonts w:hint="eastAsia"/>
                <w:szCs w:val="21"/>
                <w:highlight w:val="none"/>
                <w:u w:val="single"/>
              </w:rPr>
              <w:t xml:space="preserve">0 </w:t>
            </w:r>
            <w:r>
              <w:rPr>
                <w:rFonts w:hint="eastAsia"/>
                <w:szCs w:val="21"/>
                <w:highlight w:val="none"/>
              </w:rPr>
              <w:t>日</w:t>
            </w:r>
            <w:r>
              <w:rPr>
                <w:rFonts w:hint="eastAsia"/>
                <w:szCs w:val="21"/>
                <w:highlight w:val="none"/>
              </w:rPr>
              <w:t>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资格条件</w:t>
            </w:r>
          </w:p>
        </w:tc>
        <w:tc>
          <w:tcPr>
            <w:tcW w:w="6480" w:type="dxa"/>
            <w:tcBorders>
              <w:top w:val="single" w:color="auto" w:sz="4" w:space="0"/>
              <w:left w:val="single" w:color="auto" w:sz="4" w:space="0"/>
              <w:bottom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spacing w:line="420" w:lineRule="exact"/>
              <w:rPr>
                <w:rFonts w:ascii="宋体" w:hAnsi="宋体" w:cs="宋体"/>
                <w:szCs w:val="21"/>
                <w:highlight w:val="none"/>
              </w:rPr>
            </w:pPr>
            <w:r>
              <w:rPr>
                <w:rFonts w:hint="eastAsia" w:ascii="宋体" w:hAnsi="宋体" w:cs="宋体"/>
                <w:szCs w:val="21"/>
                <w:highlight w:val="none"/>
              </w:rPr>
              <w:t>2.落实政府采购政策需满足的资格要求：/</w:t>
            </w:r>
          </w:p>
          <w:p>
            <w:pPr>
              <w:spacing w:line="420" w:lineRule="exact"/>
              <w:rPr>
                <w:rFonts w:ascii="宋体" w:hAnsi="宋体" w:cs="宋体"/>
                <w:szCs w:val="21"/>
                <w:highlight w:val="none"/>
              </w:rPr>
            </w:pPr>
            <w:r>
              <w:rPr>
                <w:rFonts w:hint="eastAsia" w:ascii="宋体" w:hAnsi="宋体" w:cs="宋体"/>
                <w:szCs w:val="21"/>
                <w:highlight w:val="none"/>
              </w:rPr>
              <w:t>3.本项目的特定资格要求：</w:t>
            </w:r>
            <w:r>
              <w:rPr>
                <w:rFonts w:hint="eastAsia" w:ascii="宋体" w:hAnsi="宋体" w:cs="宋体"/>
                <w:b/>
                <w:bCs/>
                <w:szCs w:val="21"/>
                <w:highlight w:val="none"/>
              </w:rPr>
              <w:t>供应商需具备省级及以上网络安全等级保护工作协调小组办公室颁发的网络安全等级保护测评机构推荐证书；</w:t>
            </w:r>
          </w:p>
          <w:p>
            <w:pPr>
              <w:spacing w:line="420" w:lineRule="exact"/>
              <w:rPr>
                <w:rFonts w:ascii="宋体"/>
                <w:szCs w:val="21"/>
                <w:highlight w:val="none"/>
              </w:rPr>
            </w:pPr>
            <w:r>
              <w:rPr>
                <w:rFonts w:hint="eastAsia" w:ascii="宋体" w:hAnsi="宋体" w:cs="宋体"/>
                <w:szCs w:val="21"/>
                <w:highlight w:val="none"/>
              </w:rPr>
              <w:t>4.具有合法有效的营业执照。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资格审查方式</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磋商有效期</w:t>
            </w:r>
          </w:p>
        </w:tc>
        <w:tc>
          <w:tcPr>
            <w:tcW w:w="6480"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highlight w:val="none"/>
              </w:rPr>
            </w:pPr>
            <w:r>
              <w:rPr>
                <w:rFonts w:ascii="宋体" w:hAnsi="宋体"/>
                <w:szCs w:val="21"/>
                <w:highlight w:val="none"/>
              </w:rPr>
              <w:t>180日历天</w:t>
            </w:r>
            <w:r>
              <w:rPr>
                <w:rFonts w:hint="eastAsia" w:ascii="宋体" w:hAnsi="宋体"/>
                <w:szCs w:val="21"/>
                <w:highlight w:val="non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cs="宋体"/>
                <w:color w:val="000000"/>
                <w:szCs w:val="21"/>
                <w:highlight w:val="none"/>
              </w:rPr>
              <w:t>14</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磋商保证金</w:t>
            </w:r>
          </w:p>
        </w:tc>
        <w:tc>
          <w:tcPr>
            <w:tcW w:w="6480" w:type="dxa"/>
            <w:tcBorders>
              <w:top w:val="single" w:color="auto" w:sz="4" w:space="0"/>
              <w:left w:val="single" w:color="auto" w:sz="4" w:space="0"/>
              <w:bottom w:val="single" w:color="auto" w:sz="4" w:space="0"/>
            </w:tcBorders>
            <w:vAlign w:val="center"/>
          </w:tcPr>
          <w:p>
            <w:pPr>
              <w:spacing w:line="420" w:lineRule="exact"/>
              <w:rPr>
                <w:rFonts w:ascii="宋体"/>
                <w:szCs w:val="21"/>
                <w:highlight w:val="none"/>
              </w:rPr>
            </w:pPr>
            <w:r>
              <w:rPr>
                <w:rFonts w:hint="eastAsia" w:ascii="宋体"/>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7"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15</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提交响应文件</w:t>
            </w:r>
          </w:p>
        </w:tc>
        <w:tc>
          <w:tcPr>
            <w:tcW w:w="6480" w:type="dxa"/>
            <w:tcBorders>
              <w:top w:val="single" w:color="auto" w:sz="4" w:space="0"/>
              <w:left w:val="single" w:color="auto" w:sz="4" w:space="0"/>
              <w:bottom w:val="single" w:color="auto" w:sz="4" w:space="0"/>
            </w:tcBorders>
            <w:vAlign w:val="center"/>
          </w:tcPr>
          <w:p>
            <w:pPr>
              <w:pStyle w:val="19"/>
              <w:widowControl/>
              <w:spacing w:line="420" w:lineRule="exact"/>
              <w:jc w:val="both"/>
              <w:rPr>
                <w:rFonts w:hint="eastAsia" w:ascii="宋体" w:hAnsi="宋体" w:eastAsia="宋体" w:cs="宋体"/>
                <w:sz w:val="21"/>
                <w:szCs w:val="21"/>
                <w:highlight w:val="none"/>
                <w:lang w:eastAsia="zh-CN"/>
              </w:rPr>
            </w:pPr>
            <w:r>
              <w:rPr>
                <w:rFonts w:hint="eastAsia" w:ascii="宋体" w:hAnsi="宋体" w:cs="宋体"/>
                <w:sz w:val="21"/>
                <w:szCs w:val="21"/>
                <w:highlight w:val="none"/>
              </w:rPr>
              <w:t>1、提交响应文件截止时间：</w:t>
            </w:r>
            <w:r>
              <w:rPr>
                <w:rFonts w:hint="eastAsia" w:ascii="宋体" w:hAnsi="宋体" w:cs="宋体"/>
                <w:sz w:val="21"/>
                <w:szCs w:val="21"/>
                <w:highlight w:val="none"/>
              </w:rPr>
              <w:t>2021年11月</w:t>
            </w:r>
            <w:r>
              <w:rPr>
                <w:rFonts w:hint="eastAsia" w:ascii="宋体" w:hAnsi="宋体" w:cs="宋体"/>
                <w:sz w:val="21"/>
                <w:szCs w:val="21"/>
                <w:highlight w:val="none"/>
                <w:lang w:val="en-US" w:eastAsia="zh-CN"/>
              </w:rPr>
              <w:t>24</w:t>
            </w:r>
            <w:r>
              <w:rPr>
                <w:rFonts w:hint="eastAsia" w:ascii="宋体" w:hAnsi="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cs="宋体"/>
                <w:sz w:val="21"/>
                <w:szCs w:val="21"/>
                <w:highlight w:val="none"/>
              </w:rPr>
              <w:t>点</w:t>
            </w:r>
            <w:r>
              <w:rPr>
                <w:rFonts w:hint="eastAsia" w:ascii="宋体" w:hAnsi="宋体" w:cs="宋体"/>
                <w:sz w:val="21"/>
                <w:szCs w:val="21"/>
                <w:highlight w:val="none"/>
                <w:lang w:val="en-US" w:eastAsia="zh-CN"/>
              </w:rPr>
              <w:t>30</w:t>
            </w:r>
            <w:r>
              <w:rPr>
                <w:rFonts w:hint="eastAsia" w:ascii="宋体" w:hAnsi="宋体" w:cs="宋体"/>
                <w:sz w:val="21"/>
                <w:szCs w:val="21"/>
                <w:highlight w:val="none"/>
              </w:rPr>
              <w:t>分</w:t>
            </w:r>
          </w:p>
          <w:p>
            <w:pPr>
              <w:adjustRightInd w:val="0"/>
              <w:snapToGrid w:val="0"/>
              <w:spacing w:line="420" w:lineRule="exact"/>
              <w:rPr>
                <w:rFonts w:hAnsi="宋体"/>
                <w:b/>
                <w:bCs/>
                <w:szCs w:val="21"/>
                <w:highlight w:val="none"/>
              </w:rPr>
            </w:pPr>
            <w:r>
              <w:rPr>
                <w:rFonts w:hint="eastAsia" w:hAnsi="宋体"/>
                <w:b/>
                <w:bCs/>
                <w:szCs w:val="21"/>
                <w:highlight w:val="none"/>
              </w:rPr>
              <w:t>2、壹份正本，壹份副本，装在同一密封袋内，密封提交</w:t>
            </w:r>
            <w:r>
              <w:rPr>
                <w:rFonts w:hint="eastAsia" w:hAnsi="宋体" w:cs="宋体"/>
                <w:b/>
                <w:bCs/>
                <w:highlight w:val="none"/>
              </w:rPr>
              <w:t>。</w:t>
            </w:r>
          </w:p>
          <w:p>
            <w:pPr>
              <w:pStyle w:val="29"/>
              <w:spacing w:line="420" w:lineRule="exact"/>
              <w:rPr>
                <w:rFonts w:ascii="Times New Roman" w:hAnsi="Times New Roman" w:cs="Times New Roman"/>
                <w:b/>
                <w:bCs/>
                <w:highlight w:val="none"/>
              </w:rPr>
            </w:pPr>
            <w:r>
              <w:rPr>
                <w:rFonts w:hint="eastAsia" w:ascii="Times New Roman" w:hAnsi="Times New Roman" w:cs="Times New Roman"/>
                <w:b/>
                <w:bCs/>
                <w:highlight w:val="none"/>
              </w:rPr>
              <w:t>3、密封袋上应加盖响应人公章。</w:t>
            </w:r>
          </w:p>
          <w:p>
            <w:pPr>
              <w:pStyle w:val="19"/>
              <w:widowControl/>
              <w:spacing w:line="480" w:lineRule="exact"/>
              <w:jc w:val="both"/>
              <w:rPr>
                <w:rFonts w:ascii="宋体"/>
                <w:szCs w:val="21"/>
                <w:highlight w:val="none"/>
              </w:rPr>
            </w:pPr>
            <w:r>
              <w:rPr>
                <w:rFonts w:hint="eastAsia"/>
                <w:sz w:val="21"/>
                <w:highlight w:val="none"/>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786" w:type="dxa"/>
            <w:tcBorders>
              <w:top w:val="single" w:color="auto" w:sz="4" w:space="0"/>
              <w:bottom w:val="single" w:color="auto" w:sz="4" w:space="0"/>
              <w:right w:val="single" w:color="auto" w:sz="4" w:space="0"/>
            </w:tcBorders>
            <w:vAlign w:val="center"/>
          </w:tcPr>
          <w:p>
            <w:pPr>
              <w:spacing w:line="420" w:lineRule="exact"/>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6</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highlight w:val="none"/>
              </w:rPr>
            </w:pPr>
            <w:r>
              <w:rPr>
                <w:rFonts w:hint="eastAsia" w:ascii="宋体" w:hAnsi="宋体"/>
                <w:szCs w:val="21"/>
                <w:highlight w:val="none"/>
              </w:rPr>
              <w:t>媒介发布</w:t>
            </w:r>
          </w:p>
        </w:tc>
        <w:tc>
          <w:tcPr>
            <w:tcW w:w="6480"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highlight w:val="none"/>
              </w:rPr>
            </w:pPr>
            <w:r>
              <w:rPr>
                <w:rFonts w:hint="eastAsia" w:ascii="宋体" w:hAnsi="宋体" w:cs="宋体"/>
                <w:szCs w:val="21"/>
                <w:highlight w:val="none"/>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17</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磋商时间和地点</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hAnsi="宋体"/>
                <w:szCs w:val="21"/>
                <w:highlight w:val="none"/>
              </w:rPr>
            </w:pPr>
            <w:r>
              <w:rPr>
                <w:rFonts w:hint="eastAsia" w:ascii="宋体" w:hAnsi="宋体"/>
                <w:szCs w:val="21"/>
                <w:highlight w:val="none"/>
              </w:rPr>
              <w:t>时间</w:t>
            </w:r>
            <w:r>
              <w:rPr>
                <w:rFonts w:ascii="宋体" w:hAnsi="宋体"/>
                <w:szCs w:val="21"/>
                <w:highlight w:val="none"/>
              </w:rPr>
              <w:t>:</w:t>
            </w:r>
            <w:r>
              <w:rPr>
                <w:rFonts w:hint="eastAsia" w:ascii="宋体" w:hAnsi="宋体"/>
                <w:szCs w:val="21"/>
                <w:highlight w:val="none"/>
              </w:rPr>
              <w:t>2021年11月</w:t>
            </w:r>
            <w:r>
              <w:rPr>
                <w:rFonts w:hint="eastAsia" w:ascii="宋体" w:hAnsi="宋体"/>
                <w:szCs w:val="21"/>
                <w:highlight w:val="none"/>
                <w:lang w:val="en-US" w:eastAsia="zh-CN"/>
              </w:rPr>
              <w:t>24</w:t>
            </w:r>
            <w:r>
              <w:rPr>
                <w:rFonts w:hint="eastAsia" w:ascii="宋体" w:hAnsi="宋体"/>
                <w:szCs w:val="21"/>
                <w:highlight w:val="none"/>
              </w:rPr>
              <w:t>日</w:t>
            </w:r>
            <w:r>
              <w:rPr>
                <w:rFonts w:hint="eastAsia" w:ascii="宋体" w:hAnsi="宋体"/>
                <w:szCs w:val="21"/>
                <w:highlight w:val="none"/>
                <w:lang w:val="en-US" w:eastAsia="zh-CN"/>
              </w:rPr>
              <w:t>15</w:t>
            </w:r>
            <w:r>
              <w:rPr>
                <w:rFonts w:hint="eastAsia" w:ascii="宋体" w:hAnsi="宋体"/>
                <w:szCs w:val="21"/>
                <w:highlight w:val="none"/>
              </w:rPr>
              <w:t>点</w:t>
            </w:r>
            <w:r>
              <w:rPr>
                <w:rFonts w:hint="eastAsia" w:ascii="宋体" w:hAnsi="宋体"/>
                <w:szCs w:val="21"/>
                <w:highlight w:val="none"/>
                <w:lang w:val="en-US" w:eastAsia="zh-CN"/>
              </w:rPr>
              <w:t>30</w:t>
            </w:r>
            <w:r>
              <w:rPr>
                <w:rFonts w:hint="eastAsia" w:ascii="宋体" w:hAnsi="宋体"/>
                <w:szCs w:val="21"/>
                <w:highlight w:val="none"/>
              </w:rPr>
              <w:t>分</w:t>
            </w:r>
          </w:p>
          <w:p>
            <w:pPr>
              <w:spacing w:line="480" w:lineRule="exact"/>
              <w:rPr>
                <w:rFonts w:ascii="宋体"/>
                <w:szCs w:val="21"/>
                <w:highlight w:val="none"/>
              </w:rPr>
            </w:pPr>
            <w:r>
              <w:rPr>
                <w:rFonts w:hint="eastAsia" w:ascii="宋体" w:hAnsi="宋体"/>
                <w:szCs w:val="21"/>
                <w:highlight w:val="none"/>
              </w:rPr>
              <w:t>地点</w:t>
            </w:r>
            <w:r>
              <w:rPr>
                <w:rFonts w:ascii="宋体" w:hAnsi="宋体"/>
                <w:szCs w:val="21"/>
                <w:highlight w:val="none"/>
              </w:rPr>
              <w:t xml:space="preserve">: </w:t>
            </w:r>
            <w:r>
              <w:rPr>
                <w:rFonts w:hint="eastAsia" w:ascii="宋体" w:hAnsi="宋体"/>
                <w:szCs w:val="21"/>
                <w:highlight w:val="none"/>
              </w:rPr>
              <w:t>安庆市公共资源交易中心</w:t>
            </w:r>
          </w:p>
          <w:p>
            <w:pPr>
              <w:spacing w:line="480" w:lineRule="exact"/>
              <w:rPr>
                <w:rFonts w:ascii="宋体"/>
                <w:szCs w:val="21"/>
                <w:highlight w:val="none"/>
              </w:rPr>
            </w:pPr>
            <w:r>
              <w:rPr>
                <w:rFonts w:ascii="宋体" w:hAnsi="宋体"/>
                <w:szCs w:val="21"/>
                <w:highlight w:val="none"/>
              </w:rPr>
              <w:t>(</w:t>
            </w:r>
            <w:r>
              <w:rPr>
                <w:rFonts w:hint="eastAsia" w:ascii="宋体" w:hAnsi="宋体"/>
                <w:szCs w:val="21"/>
                <w:highlight w:val="none"/>
              </w:rPr>
              <w:t>具体磋商地点于磋商当天见一楼大厅电子显示屏</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18</w:t>
            </w: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评审方法</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19</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履约保证金</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b/>
                <w:bCs/>
                <w:szCs w:val="21"/>
                <w:highlight w:val="none"/>
              </w:rPr>
            </w:pPr>
            <w:r>
              <w:rPr>
                <w:rFonts w:hint="eastAsia" w:ascii="宋体" w:hAnsi="宋体"/>
                <w:szCs w:val="21"/>
                <w:highlight w:val="none"/>
              </w:rPr>
              <w:t>履约保证金金额：</w:t>
            </w:r>
            <w:r>
              <w:rPr>
                <w:rFonts w:hint="eastAsia" w:ascii="宋体" w:hAnsi="宋体"/>
                <w:b/>
                <w:bCs/>
                <w:szCs w:val="21"/>
                <w:highlight w:val="none"/>
              </w:rPr>
              <w:t>成交价的</w:t>
            </w:r>
            <w:r>
              <w:rPr>
                <w:rFonts w:hint="eastAsia" w:ascii="宋体" w:hAnsi="宋体"/>
                <w:b/>
                <w:bCs/>
                <w:szCs w:val="21"/>
                <w:highlight w:val="none"/>
                <w:u w:val="single"/>
              </w:rPr>
              <w:t xml:space="preserve"> 10 </w:t>
            </w:r>
            <w:r>
              <w:rPr>
                <w:rFonts w:hint="eastAsia" w:ascii="宋体" w:hAnsi="宋体"/>
                <w:b/>
                <w:bCs/>
                <w:szCs w:val="21"/>
                <w:highlight w:val="none"/>
              </w:rPr>
              <w:t>%</w:t>
            </w:r>
          </w:p>
          <w:p>
            <w:pPr>
              <w:spacing w:line="420" w:lineRule="exact"/>
              <w:rPr>
                <w:rFonts w:ascii="宋体" w:hAnsi="宋体"/>
                <w:szCs w:val="21"/>
                <w:highlight w:val="none"/>
              </w:rPr>
            </w:pPr>
            <w:r>
              <w:rPr>
                <w:rFonts w:hint="eastAsia" w:ascii="宋体" w:hAnsi="宋体"/>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80" w:lineRule="exact"/>
              <w:rPr>
                <w:rFonts w:ascii="宋体"/>
                <w:szCs w:val="21"/>
                <w:highlight w:val="none"/>
              </w:rPr>
            </w:pPr>
            <w:r>
              <w:rPr>
                <w:rFonts w:hint="eastAsia" w:ascii="宋体" w:hAnsi="宋体"/>
                <w:szCs w:val="21"/>
                <w:highlight w:val="none"/>
              </w:rPr>
              <w:t>履约保证金的提交：成交人在合同签订前按照磋商文件要求提交给采购人。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0</w:t>
            </w:r>
          </w:p>
        </w:tc>
        <w:tc>
          <w:tcPr>
            <w:tcW w:w="17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服务费</w:t>
            </w:r>
            <w:r>
              <w:rPr>
                <w:rFonts w:ascii="宋体" w:hAnsi="宋体"/>
                <w:szCs w:val="21"/>
                <w:highlight w:val="none"/>
              </w:rPr>
              <w:t>(</w:t>
            </w:r>
            <w:r>
              <w:rPr>
                <w:rFonts w:hint="eastAsia" w:ascii="宋体" w:hAnsi="宋体"/>
                <w:szCs w:val="21"/>
                <w:highlight w:val="none"/>
              </w:rPr>
              <w:t>元</w:t>
            </w:r>
            <w:r>
              <w:rPr>
                <w:rFonts w:ascii="宋体" w:hAnsi="宋体"/>
                <w:szCs w:val="21"/>
                <w:highlight w:val="none"/>
              </w:rPr>
              <w:t>)</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cs="宋体"/>
                <w:szCs w:val="21"/>
                <w:highlight w:val="none"/>
              </w:rPr>
              <w:t>由成交人按照磋商文件要求进行缴纳。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21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付款方式</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ascii="宋体" w:hAnsi="宋体" w:cs="宋体"/>
                <w:b/>
                <w:szCs w:val="21"/>
                <w:highlight w:val="none"/>
              </w:rPr>
              <w:t>项目验收合格后一次性支付合同价款。签订合同前须缴纳的履约保证金，一年后无质量问题一次性退还（不计息）。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szCs w:val="21"/>
                <w:highlight w:val="none"/>
              </w:rPr>
              <w:t>22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说明</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szCs w:val="21"/>
                <w:highlight w:val="none"/>
              </w:rPr>
              <w:t>本磋商文件的解释权归采购单位。</w:t>
            </w:r>
          </w:p>
        </w:tc>
      </w:tr>
    </w:tbl>
    <w:p>
      <w:pPr>
        <w:rPr>
          <w:rFonts w:ascii="宋体" w:hAnsi="宋体"/>
          <w:kern w:val="0"/>
          <w:highlight w:val="none"/>
          <w:lang w:val="zh-CN"/>
        </w:rPr>
      </w:pPr>
      <w:bookmarkStart w:id="50" w:name="_Toc439316872"/>
    </w:p>
    <w:p>
      <w:pPr>
        <w:pStyle w:val="2"/>
        <w:tabs>
          <w:tab w:val="clear" w:pos="1440"/>
          <w:tab w:val="clear" w:pos="5670"/>
        </w:tabs>
        <w:spacing w:beforeLines="0" w:afterLines="0"/>
        <w:ind w:firstLine="0" w:firstLineChars="0"/>
        <w:jc w:val="center"/>
        <w:rPr>
          <w:rFonts w:ascii="宋体" w:hAnsi="宋体" w:eastAsia="宋体" w:cs="Tahoma"/>
          <w:bCs/>
          <w:kern w:val="0"/>
          <w:sz w:val="32"/>
          <w:szCs w:val="32"/>
          <w:highlight w:val="none"/>
          <w:lang w:val="zh-CN"/>
        </w:rPr>
      </w:pPr>
      <w:bookmarkStart w:id="51" w:name="_Toc20486"/>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ascii="宋体" w:hAnsi="宋体" w:eastAsia="宋体" w:cs="Tahoma"/>
          <w:bCs/>
          <w:kern w:val="0"/>
          <w:sz w:val="32"/>
          <w:szCs w:val="32"/>
          <w:highlight w:val="none"/>
          <w:lang w:val="zh-CN"/>
        </w:rPr>
        <w:t>竞争性磋商须知</w:t>
      </w:r>
      <w:bookmarkEnd w:id="50"/>
      <w:bookmarkEnd w:id="51"/>
    </w:p>
    <w:p>
      <w:pPr>
        <w:autoSpaceDE w:val="0"/>
        <w:autoSpaceDN w:val="0"/>
        <w:adjustRightInd w:val="0"/>
        <w:snapToGrid w:val="0"/>
        <w:spacing w:line="480" w:lineRule="exact"/>
        <w:ind w:firstLine="420"/>
        <w:outlineLvl w:val="2"/>
        <w:rPr>
          <w:rFonts w:ascii="宋体"/>
          <w:b/>
          <w:bCs/>
          <w:szCs w:val="21"/>
          <w:highlight w:val="none"/>
          <w:lang w:val="zh-CN"/>
        </w:rPr>
      </w:pPr>
      <w:bookmarkStart w:id="52" w:name="_Toc18383"/>
      <w:r>
        <w:rPr>
          <w:rFonts w:hint="eastAsia" w:ascii="宋体" w:hAnsi="宋体"/>
          <w:b/>
          <w:bCs/>
          <w:szCs w:val="21"/>
          <w:highlight w:val="none"/>
          <w:lang w:val="zh-CN"/>
        </w:rPr>
        <w:t>一、总</w:t>
      </w:r>
      <w:r>
        <w:rPr>
          <w:rFonts w:ascii="宋体" w:hAnsi="宋体"/>
          <w:b/>
          <w:bCs/>
          <w:szCs w:val="21"/>
          <w:highlight w:val="none"/>
          <w:lang w:val="zh-CN"/>
        </w:rPr>
        <w:t xml:space="preserve">    </w:t>
      </w:r>
      <w:r>
        <w:rPr>
          <w:rFonts w:hint="eastAsia" w:ascii="宋体" w:hAnsi="宋体"/>
          <w:b/>
          <w:bCs/>
          <w:szCs w:val="21"/>
          <w:highlight w:val="none"/>
          <w:lang w:val="zh-CN"/>
        </w:rPr>
        <w:t>则</w:t>
      </w:r>
      <w:bookmarkEnd w:id="52"/>
    </w:p>
    <w:p>
      <w:pPr>
        <w:spacing w:line="540" w:lineRule="exact"/>
        <w:ind w:firstLine="420" w:firstLineChars="200"/>
        <w:rPr>
          <w:rFonts w:ascii="宋体" w:hAnsi="宋体"/>
          <w:szCs w:val="21"/>
          <w:highlight w:val="none"/>
          <w:lang w:val="zh-CN"/>
        </w:rPr>
      </w:pPr>
      <w:bookmarkStart w:id="53" w:name="_Toc10523"/>
      <w:bookmarkStart w:id="54" w:name="_Toc21078"/>
      <w:bookmarkStart w:id="55" w:name="_Toc439316919"/>
      <w:bookmarkStart w:id="56" w:name="_Toc15055"/>
      <w:bookmarkStart w:id="57" w:name="_Toc25270"/>
      <w:bookmarkStart w:id="58" w:name="_Toc7325"/>
      <w:bookmarkStart w:id="59" w:name="_Toc439316873"/>
      <w:r>
        <w:rPr>
          <w:rFonts w:ascii="宋体" w:hAnsi="宋体"/>
          <w:szCs w:val="21"/>
          <w:highlight w:val="none"/>
          <w:lang w:val="zh-CN"/>
        </w:rPr>
        <w:t>1</w:t>
      </w:r>
      <w:r>
        <w:rPr>
          <w:rFonts w:hint="eastAsia" w:ascii="宋体" w:hAnsi="宋体"/>
          <w:szCs w:val="21"/>
          <w:highlight w:val="none"/>
          <w:lang w:val="zh-CN"/>
        </w:rPr>
        <w:t>、适用法律</w:t>
      </w:r>
      <w:bookmarkEnd w:id="53"/>
      <w:bookmarkEnd w:id="54"/>
      <w:bookmarkEnd w:id="55"/>
      <w:bookmarkEnd w:id="56"/>
      <w:bookmarkEnd w:id="57"/>
      <w:bookmarkEnd w:id="58"/>
      <w:bookmarkEnd w:id="59"/>
    </w:p>
    <w:p>
      <w:pPr>
        <w:spacing w:line="540" w:lineRule="exact"/>
        <w:ind w:firstLine="420" w:firstLineChars="200"/>
        <w:rPr>
          <w:rFonts w:ascii="宋体" w:hAnsi="宋体"/>
          <w:szCs w:val="21"/>
          <w:highlight w:val="none"/>
          <w:lang w:val="zh-CN"/>
        </w:rPr>
      </w:pPr>
      <w:r>
        <w:rPr>
          <w:rFonts w:ascii="宋体" w:hAnsi="宋体"/>
          <w:szCs w:val="21"/>
          <w:highlight w:val="none"/>
          <w:lang w:val="zh-CN"/>
        </w:rPr>
        <w:t xml:space="preserve">1.1 </w:t>
      </w:r>
      <w:r>
        <w:rPr>
          <w:rFonts w:hint="eastAsia" w:ascii="宋体" w:hAnsi="宋体"/>
          <w:szCs w:val="21"/>
          <w:highlight w:val="none"/>
          <w:lang w:val="zh-CN"/>
        </w:rPr>
        <w:t>依据《</w:t>
      </w:r>
      <w:r>
        <w:rPr>
          <w:rFonts w:hint="eastAsia" w:ascii="宋体" w:hAnsi="宋体"/>
          <w:szCs w:val="21"/>
          <w:highlight w:val="none"/>
        </w:rPr>
        <w:t>政府采购竞争性磋商采购方式管理暂行办法</w:t>
      </w:r>
      <w:r>
        <w:rPr>
          <w:rFonts w:hint="eastAsia" w:ascii="宋体" w:hAnsi="宋体"/>
          <w:szCs w:val="21"/>
          <w:highlight w:val="none"/>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highlight w:val="none"/>
          <w:lang w:val="zh-CN"/>
        </w:rPr>
      </w:pPr>
      <w:bookmarkStart w:id="60" w:name="_Toc27113"/>
      <w:bookmarkStart w:id="61" w:name="_Toc1704"/>
      <w:bookmarkStart w:id="62" w:name="_Toc10933"/>
      <w:bookmarkStart w:id="63" w:name="_Toc439316920"/>
      <w:bookmarkStart w:id="64" w:name="_Toc24643"/>
      <w:bookmarkStart w:id="65" w:name="_Toc439316874"/>
      <w:bookmarkStart w:id="66" w:name="_Toc8228"/>
      <w:r>
        <w:rPr>
          <w:rFonts w:ascii="宋体" w:hAnsi="宋体"/>
          <w:szCs w:val="21"/>
          <w:highlight w:val="none"/>
          <w:lang w:val="zh-CN"/>
        </w:rPr>
        <w:t>2</w:t>
      </w:r>
      <w:r>
        <w:rPr>
          <w:rFonts w:hint="eastAsia" w:ascii="宋体" w:hAnsi="宋体"/>
          <w:szCs w:val="21"/>
          <w:highlight w:val="none"/>
          <w:lang w:val="zh-CN"/>
        </w:rPr>
        <w:t>、定义</w:t>
      </w:r>
      <w:bookmarkEnd w:id="60"/>
      <w:bookmarkEnd w:id="61"/>
      <w:bookmarkEnd w:id="62"/>
      <w:bookmarkEnd w:id="63"/>
      <w:bookmarkEnd w:id="64"/>
      <w:bookmarkEnd w:id="65"/>
      <w:bookmarkEnd w:id="66"/>
    </w:p>
    <w:p>
      <w:pPr>
        <w:spacing w:line="540" w:lineRule="exact"/>
        <w:ind w:firstLine="420" w:firstLineChars="200"/>
        <w:rPr>
          <w:rFonts w:ascii="宋体" w:hAnsi="宋体"/>
          <w:szCs w:val="21"/>
          <w:highlight w:val="none"/>
        </w:rPr>
      </w:pPr>
      <w:r>
        <w:rPr>
          <w:rFonts w:ascii="宋体" w:hAnsi="宋体"/>
          <w:szCs w:val="21"/>
          <w:highlight w:val="none"/>
        </w:rPr>
        <w:t>2.1</w:t>
      </w:r>
      <w:r>
        <w:rPr>
          <w:rFonts w:hint="eastAsia" w:ascii="宋体" w:hAnsi="宋体"/>
          <w:szCs w:val="21"/>
          <w:highlight w:val="none"/>
        </w:rPr>
        <w:t>、采购单位是指采购人和采购代理机构。</w:t>
      </w:r>
    </w:p>
    <w:p>
      <w:pPr>
        <w:spacing w:line="540" w:lineRule="exact"/>
        <w:ind w:firstLine="42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、供应商是指对“磋商须知前附表”序号</w:t>
      </w:r>
      <w:r>
        <w:rPr>
          <w:rFonts w:ascii="宋体" w:hAnsi="宋体"/>
          <w:szCs w:val="21"/>
          <w:highlight w:val="none"/>
        </w:rPr>
        <w:t>2</w:t>
      </w:r>
      <w:r>
        <w:rPr>
          <w:rFonts w:hint="eastAsia" w:ascii="宋体" w:hAnsi="宋体"/>
          <w:szCs w:val="21"/>
          <w:highlight w:val="none"/>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、供应商资格要求</w:t>
      </w:r>
    </w:p>
    <w:p>
      <w:pPr>
        <w:spacing w:line="540" w:lineRule="exact"/>
        <w:ind w:firstLine="420" w:firstLineChars="200"/>
        <w:rPr>
          <w:rFonts w:ascii="宋体" w:hAnsi="宋体"/>
          <w:szCs w:val="21"/>
          <w:highlight w:val="none"/>
        </w:rPr>
      </w:pPr>
      <w:r>
        <w:rPr>
          <w:rFonts w:ascii="宋体" w:hAnsi="宋体"/>
          <w:szCs w:val="21"/>
          <w:highlight w:val="none"/>
        </w:rPr>
        <w:t>3.1</w:t>
      </w:r>
      <w:r>
        <w:rPr>
          <w:rFonts w:hint="eastAsia" w:ascii="宋体" w:hAnsi="宋体"/>
          <w:szCs w:val="21"/>
          <w:highlight w:val="none"/>
        </w:rPr>
        <w:t>、参与本项目的供应商必须满足以下要求：见磋商须知前附表。</w:t>
      </w:r>
      <w:r>
        <w:rPr>
          <w:rFonts w:ascii="宋体" w:hAnsi="宋体"/>
          <w:szCs w:val="21"/>
          <w:highlight w:val="none"/>
        </w:rPr>
        <w:t xml:space="preserve"> </w:t>
      </w:r>
    </w:p>
    <w:p>
      <w:pPr>
        <w:spacing w:line="540" w:lineRule="exact"/>
        <w:ind w:firstLine="420" w:firstLineChars="200"/>
        <w:rPr>
          <w:rFonts w:ascii="宋体" w:hAnsi="宋体"/>
          <w:szCs w:val="21"/>
          <w:highlight w:val="none"/>
        </w:rPr>
      </w:pPr>
      <w:r>
        <w:rPr>
          <w:rFonts w:ascii="宋体" w:hAnsi="宋体"/>
          <w:szCs w:val="21"/>
          <w:highlight w:val="none"/>
        </w:rPr>
        <w:t>3.2</w:t>
      </w:r>
      <w:r>
        <w:rPr>
          <w:rFonts w:hint="eastAsia" w:ascii="宋体" w:hAnsi="宋体"/>
          <w:szCs w:val="21"/>
          <w:highlight w:val="none"/>
        </w:rPr>
        <w:t>、供应商之间如果存在下列情形之一的，不得同时参加同一包别或者不分包别的同一项目磋商：</w:t>
      </w:r>
    </w:p>
    <w:p>
      <w:pPr>
        <w:spacing w:line="540" w:lineRule="exact"/>
        <w:ind w:firstLine="420" w:firstLineChars="200"/>
        <w:rPr>
          <w:rFonts w:ascii="宋体" w:hAnsi="宋体"/>
          <w:szCs w:val="21"/>
          <w:highlight w:val="none"/>
        </w:rPr>
      </w:pPr>
      <w:r>
        <w:rPr>
          <w:rFonts w:hint="eastAsia" w:ascii="宋体" w:hAnsi="宋体"/>
          <w:szCs w:val="21"/>
          <w:highlight w:val="none"/>
        </w:rPr>
        <w:t>（1）单位负责人为同一人或者存在直接控股、管理关系的不同供应商；</w:t>
      </w:r>
    </w:p>
    <w:p>
      <w:pPr>
        <w:spacing w:line="540" w:lineRule="exact"/>
        <w:ind w:firstLine="420" w:firstLineChars="200"/>
        <w:rPr>
          <w:rFonts w:ascii="宋体" w:hAnsi="宋体"/>
          <w:szCs w:val="21"/>
          <w:highlight w:val="none"/>
        </w:rPr>
      </w:pPr>
      <w:r>
        <w:rPr>
          <w:rFonts w:hint="eastAsia" w:ascii="宋体" w:hAnsi="宋体"/>
          <w:szCs w:val="21"/>
          <w:highlight w:val="none"/>
        </w:rPr>
        <w:t>（2）除单一来源采购项目外，为采购项目提供整体设计、规范编制或者项目管理、监理、检测等服务的供应商。</w:t>
      </w:r>
    </w:p>
    <w:p>
      <w:pPr>
        <w:spacing w:line="54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.3</w:t>
      </w:r>
      <w:r>
        <w:rPr>
          <w:rFonts w:hint="eastAsia" w:ascii="宋体" w:hAnsi="宋体"/>
          <w:szCs w:val="21"/>
          <w:highlight w:val="none"/>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4、供应商必须确保自己信息真实、准确，否则，供应商因此蒙受损失，采购单位概不负责。</w:t>
      </w:r>
    </w:p>
    <w:p>
      <w:pPr>
        <w:spacing w:line="54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w:t>
      </w:r>
      <w:r>
        <w:rPr>
          <w:rFonts w:hint="eastAsia" w:ascii="宋体" w:hAnsi="宋体"/>
          <w:b/>
          <w:bCs/>
          <w:szCs w:val="21"/>
          <w:highlight w:val="none"/>
        </w:rPr>
        <w:t>踏勘现场</w:t>
      </w:r>
      <w:r>
        <w:rPr>
          <w:rFonts w:hint="eastAsia" w:ascii="宋体" w:hAnsi="宋体"/>
          <w:szCs w:val="21"/>
          <w:highlight w:val="none"/>
        </w:rPr>
        <w:t>：供应商自行踏勘现场。供应商应认真对现场环境进行踏勘，对项目环境和影响等素，做出理性的判断和估价。成交后签订合同时和提供服务过程中，供应商不得以不完全了解或不了解现场情况为由，提出任何形式的增加费用或索赔的要求。</w:t>
      </w:r>
    </w:p>
    <w:p>
      <w:pPr>
        <w:spacing w:line="540" w:lineRule="exact"/>
        <w:ind w:firstLine="420" w:firstLineChars="200"/>
        <w:rPr>
          <w:rFonts w:ascii="宋体" w:hAnsi="宋体"/>
          <w:szCs w:val="21"/>
          <w:highlight w:val="none"/>
          <w:lang w:val="zh-CN"/>
        </w:rPr>
      </w:pPr>
      <w:r>
        <w:rPr>
          <w:rFonts w:ascii="宋体" w:hAnsi="宋体"/>
          <w:szCs w:val="21"/>
          <w:highlight w:val="none"/>
          <w:lang w:val="zh-CN"/>
        </w:rPr>
        <w:t>5</w:t>
      </w:r>
      <w:r>
        <w:rPr>
          <w:rFonts w:hint="eastAsia" w:ascii="宋体" w:hAnsi="宋体"/>
          <w:szCs w:val="21"/>
          <w:highlight w:val="none"/>
          <w:lang w:val="zh-CN"/>
        </w:rPr>
        <w:t>、联合体磋商：</w:t>
      </w:r>
    </w:p>
    <w:p>
      <w:pPr>
        <w:spacing w:line="540" w:lineRule="exact"/>
        <w:ind w:firstLine="420" w:firstLineChars="200"/>
        <w:rPr>
          <w:rFonts w:ascii="宋体" w:hAnsi="宋体"/>
          <w:szCs w:val="21"/>
          <w:highlight w:val="none"/>
        </w:rPr>
      </w:pPr>
      <w:r>
        <w:rPr>
          <w:rFonts w:hint="eastAsia" w:ascii="宋体" w:hAnsi="宋体"/>
          <w:szCs w:val="21"/>
          <w:highlight w:val="none"/>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highlight w:val="none"/>
        </w:rPr>
      </w:pPr>
      <w:r>
        <w:rPr>
          <w:rFonts w:hint="eastAsia" w:ascii="宋体" w:hAnsi="宋体"/>
          <w:szCs w:val="21"/>
          <w:highlight w:val="none"/>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highlight w:val="none"/>
        </w:rPr>
      </w:pPr>
      <w:r>
        <w:rPr>
          <w:rFonts w:hint="eastAsia" w:ascii="宋体" w:hAnsi="宋体"/>
          <w:szCs w:val="21"/>
          <w:highlight w:val="none"/>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highlight w:val="none"/>
          <w:lang w:val="zh-CN"/>
        </w:rPr>
      </w:pPr>
      <w:bookmarkStart w:id="67" w:name="_Toc439316875"/>
      <w:bookmarkStart w:id="68" w:name="_Toc439316921"/>
      <w:r>
        <w:rPr>
          <w:rFonts w:ascii="宋体" w:hAnsi="宋体"/>
          <w:szCs w:val="21"/>
          <w:highlight w:val="none"/>
        </w:rPr>
        <w:t>6</w:t>
      </w:r>
      <w:r>
        <w:rPr>
          <w:rFonts w:hint="eastAsia" w:ascii="宋体" w:hAnsi="宋体"/>
          <w:szCs w:val="21"/>
          <w:highlight w:val="none"/>
        </w:rPr>
        <w:t>、</w:t>
      </w:r>
      <w:r>
        <w:rPr>
          <w:rFonts w:hint="eastAsia" w:ascii="宋体" w:hAnsi="宋体"/>
          <w:szCs w:val="21"/>
          <w:highlight w:val="none"/>
          <w:lang w:val="zh-CN"/>
        </w:rPr>
        <w:t>磋商费用：供应商必须自行承担参加磋商所有费用，无论成交与否，采购单位在任何情况下均无义务和责任承担这些费用。</w:t>
      </w:r>
      <w:bookmarkEnd w:id="67"/>
      <w:bookmarkEnd w:id="68"/>
    </w:p>
    <w:p>
      <w:pPr>
        <w:autoSpaceDE w:val="0"/>
        <w:autoSpaceDN w:val="0"/>
        <w:adjustRightInd w:val="0"/>
        <w:snapToGrid w:val="0"/>
        <w:spacing w:line="480" w:lineRule="exact"/>
        <w:ind w:firstLine="420"/>
        <w:outlineLvl w:val="2"/>
        <w:rPr>
          <w:rFonts w:ascii="宋体"/>
          <w:b/>
          <w:bCs/>
          <w:szCs w:val="21"/>
          <w:highlight w:val="none"/>
          <w:lang w:val="zh-CN"/>
        </w:rPr>
      </w:pPr>
      <w:bookmarkStart w:id="69" w:name="_Toc12803"/>
      <w:r>
        <w:rPr>
          <w:rFonts w:hint="eastAsia" w:ascii="宋体" w:hAnsi="宋体"/>
          <w:b/>
          <w:bCs/>
          <w:szCs w:val="21"/>
          <w:highlight w:val="none"/>
          <w:lang w:val="zh-CN"/>
        </w:rPr>
        <w:t>二、磋商文件</w:t>
      </w:r>
      <w:bookmarkEnd w:id="69"/>
    </w:p>
    <w:p>
      <w:pPr>
        <w:spacing w:line="480" w:lineRule="exact"/>
        <w:ind w:firstLine="422" w:firstLineChars="200"/>
        <w:rPr>
          <w:rFonts w:ascii="宋体"/>
          <w:b/>
          <w:szCs w:val="21"/>
          <w:highlight w:val="none"/>
        </w:rPr>
      </w:pPr>
      <w:r>
        <w:rPr>
          <w:rFonts w:ascii="宋体" w:hAnsi="宋体"/>
          <w:b/>
          <w:szCs w:val="21"/>
          <w:highlight w:val="none"/>
        </w:rPr>
        <w:t>7</w:t>
      </w:r>
      <w:r>
        <w:rPr>
          <w:rFonts w:hint="eastAsia" w:ascii="宋体" w:hAnsi="宋体"/>
          <w:b/>
          <w:szCs w:val="21"/>
          <w:highlight w:val="none"/>
        </w:rPr>
        <w:t>、磋商文件的构成</w:t>
      </w:r>
    </w:p>
    <w:p>
      <w:pPr>
        <w:spacing w:line="540" w:lineRule="exact"/>
        <w:ind w:firstLine="420" w:firstLineChars="200"/>
        <w:rPr>
          <w:rFonts w:ascii="宋体"/>
          <w:szCs w:val="21"/>
          <w:highlight w:val="none"/>
        </w:rPr>
      </w:pPr>
      <w:r>
        <w:rPr>
          <w:rFonts w:ascii="宋体" w:hAnsi="宋体"/>
          <w:szCs w:val="21"/>
          <w:highlight w:val="none"/>
        </w:rPr>
        <w:t>7.1</w:t>
      </w:r>
      <w:r>
        <w:rPr>
          <w:rFonts w:hint="eastAsia" w:ascii="宋体" w:hAnsi="宋体"/>
          <w:szCs w:val="21"/>
          <w:highlight w:val="none"/>
        </w:rPr>
        <w:t>、磋商文件包括：</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）第一章</w:t>
      </w:r>
      <w:r>
        <w:rPr>
          <w:rFonts w:ascii="宋体" w:hAnsi="宋体"/>
          <w:szCs w:val="21"/>
          <w:highlight w:val="none"/>
        </w:rPr>
        <w:t xml:space="preserve">  </w:t>
      </w:r>
      <w:r>
        <w:rPr>
          <w:rFonts w:hint="eastAsia" w:ascii="宋体" w:hAnsi="宋体"/>
          <w:szCs w:val="21"/>
          <w:highlight w:val="none"/>
        </w:rPr>
        <w:t>竞争性磋商公告；</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）第二章</w:t>
      </w:r>
      <w:r>
        <w:rPr>
          <w:rFonts w:ascii="宋体" w:hAnsi="宋体"/>
          <w:szCs w:val="21"/>
          <w:highlight w:val="none"/>
        </w:rPr>
        <w:t xml:space="preserve">  </w:t>
      </w:r>
      <w:r>
        <w:rPr>
          <w:rFonts w:hint="eastAsia" w:ascii="宋体" w:hAnsi="宋体"/>
          <w:szCs w:val="21"/>
          <w:highlight w:val="none"/>
        </w:rPr>
        <w:t>磋商须知；</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）第三章</w:t>
      </w:r>
      <w:r>
        <w:rPr>
          <w:rFonts w:ascii="宋体" w:hAnsi="宋体"/>
          <w:szCs w:val="21"/>
          <w:highlight w:val="none"/>
        </w:rPr>
        <w:t xml:space="preserve">  </w:t>
      </w:r>
      <w:r>
        <w:rPr>
          <w:rFonts w:hint="eastAsia" w:ascii="宋体" w:hAnsi="宋体"/>
          <w:szCs w:val="21"/>
          <w:highlight w:val="none"/>
        </w:rPr>
        <w:t>服务需求及技术要求；</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）第四章</w:t>
      </w:r>
      <w:r>
        <w:rPr>
          <w:rFonts w:ascii="宋体" w:hAnsi="宋体"/>
          <w:szCs w:val="21"/>
          <w:highlight w:val="none"/>
        </w:rPr>
        <w:t xml:space="preserve">  </w:t>
      </w:r>
      <w:r>
        <w:rPr>
          <w:rFonts w:hint="eastAsia" w:ascii="宋体" w:hAnsi="宋体"/>
          <w:szCs w:val="21"/>
          <w:highlight w:val="none"/>
        </w:rPr>
        <w:t>合同主要条款；</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）第五章</w:t>
      </w:r>
      <w:r>
        <w:rPr>
          <w:rFonts w:ascii="宋体" w:hAnsi="宋体"/>
          <w:szCs w:val="21"/>
          <w:highlight w:val="none"/>
        </w:rPr>
        <w:t xml:space="preserve">  </w:t>
      </w:r>
      <w:r>
        <w:rPr>
          <w:rFonts w:hint="eastAsia"/>
          <w:szCs w:val="21"/>
          <w:highlight w:val="none"/>
        </w:rPr>
        <w:t>响应文件格式</w:t>
      </w:r>
    </w:p>
    <w:p>
      <w:pPr>
        <w:spacing w:line="540" w:lineRule="exact"/>
        <w:ind w:firstLine="420" w:firstLineChars="200"/>
        <w:rPr>
          <w:rFonts w:ascii="宋体"/>
          <w:szCs w:val="21"/>
          <w:highlight w:val="none"/>
        </w:rPr>
      </w:pPr>
      <w:r>
        <w:rPr>
          <w:rFonts w:ascii="宋体" w:hAnsi="宋体"/>
          <w:szCs w:val="21"/>
          <w:highlight w:val="none"/>
        </w:rPr>
        <w:t>7.2</w:t>
      </w:r>
      <w:r>
        <w:rPr>
          <w:rFonts w:hint="eastAsia" w:ascii="宋体" w:hAnsi="宋体"/>
          <w:szCs w:val="21"/>
          <w:highlight w:val="none"/>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highlight w:val="none"/>
        </w:rPr>
      </w:pPr>
      <w:r>
        <w:rPr>
          <w:rFonts w:ascii="宋体" w:hAnsi="宋体"/>
          <w:szCs w:val="21"/>
          <w:highlight w:val="none"/>
        </w:rPr>
        <w:t>7.3</w:t>
      </w:r>
      <w:r>
        <w:rPr>
          <w:rFonts w:hint="eastAsia" w:ascii="宋体" w:hAnsi="宋体"/>
          <w:szCs w:val="21"/>
          <w:highlight w:val="none"/>
        </w:rPr>
        <w:t>、供应商获取磋商文件后，应仔细检查磋商文件的所有内容，如有残缺、</w:t>
      </w:r>
      <w:r>
        <w:rPr>
          <w:rFonts w:hint="eastAsia" w:ascii="宋体" w:hAnsi="宋体" w:cs="宋体"/>
          <w:szCs w:val="21"/>
          <w:highlight w:val="none"/>
        </w:rPr>
        <w:t>文本不清晰、</w:t>
      </w:r>
      <w:r>
        <w:rPr>
          <w:rFonts w:hint="eastAsia" w:ascii="宋体" w:hAnsi="宋体"/>
          <w:szCs w:val="21"/>
          <w:highlight w:val="none"/>
        </w:rPr>
        <w:t>表述不一致等问题应在获得磋商文件</w:t>
      </w:r>
      <w:r>
        <w:rPr>
          <w:rFonts w:ascii="宋体" w:hAnsi="宋体"/>
          <w:szCs w:val="21"/>
          <w:highlight w:val="none"/>
        </w:rPr>
        <w:t xml:space="preserve"> 3 </w:t>
      </w:r>
      <w:r>
        <w:rPr>
          <w:rFonts w:hint="eastAsia" w:ascii="宋体" w:hAnsi="宋体"/>
          <w:szCs w:val="21"/>
          <w:highlight w:val="none"/>
        </w:rPr>
        <w:t>日内向采购单位提出</w:t>
      </w:r>
      <w:r>
        <w:rPr>
          <w:rFonts w:hint="eastAsia" w:ascii="宋体" w:hAnsi="宋体" w:cs="宋体"/>
          <w:szCs w:val="21"/>
          <w:highlight w:val="none"/>
        </w:rPr>
        <w:t>并将问题发送至邮箱1165121299@qq.com</w:t>
      </w:r>
      <w:r>
        <w:rPr>
          <w:rFonts w:hint="eastAsia" w:ascii="宋体" w:hAnsi="宋体"/>
          <w:szCs w:val="21"/>
          <w:highlight w:val="none"/>
        </w:rPr>
        <w:t>，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highlight w:val="none"/>
        </w:rPr>
      </w:pPr>
      <w:r>
        <w:rPr>
          <w:rFonts w:ascii="宋体" w:hAnsi="宋体"/>
          <w:b/>
          <w:szCs w:val="21"/>
          <w:highlight w:val="none"/>
        </w:rPr>
        <w:t>8</w:t>
      </w:r>
      <w:r>
        <w:rPr>
          <w:rFonts w:hint="eastAsia" w:ascii="宋体" w:hAnsi="宋体"/>
          <w:b/>
          <w:szCs w:val="21"/>
          <w:highlight w:val="none"/>
        </w:rPr>
        <w:t>、磋商文件的澄清</w:t>
      </w:r>
    </w:p>
    <w:p>
      <w:pPr>
        <w:spacing w:line="540" w:lineRule="exact"/>
        <w:ind w:firstLine="420" w:firstLineChars="200"/>
        <w:rPr>
          <w:rFonts w:ascii="宋体"/>
          <w:szCs w:val="21"/>
          <w:highlight w:val="none"/>
        </w:rPr>
      </w:pPr>
      <w:r>
        <w:rPr>
          <w:rFonts w:ascii="宋体" w:hAnsi="宋体"/>
          <w:szCs w:val="21"/>
          <w:highlight w:val="none"/>
        </w:rPr>
        <w:t>8.1</w:t>
      </w:r>
      <w:r>
        <w:rPr>
          <w:rFonts w:hint="eastAsia" w:ascii="宋体" w:hAnsi="宋体"/>
          <w:szCs w:val="21"/>
          <w:highlight w:val="none"/>
        </w:rPr>
        <w:t>、供应商可以要求采购单位对磋商文件中的有关问题进行答疑或澄清。</w:t>
      </w:r>
    </w:p>
    <w:p>
      <w:pPr>
        <w:spacing w:line="540" w:lineRule="exact"/>
        <w:ind w:firstLine="420" w:firstLineChars="200"/>
        <w:rPr>
          <w:rFonts w:ascii="宋体"/>
          <w:szCs w:val="21"/>
          <w:highlight w:val="none"/>
        </w:rPr>
      </w:pPr>
      <w:r>
        <w:rPr>
          <w:rFonts w:ascii="宋体" w:hAnsi="宋体"/>
          <w:szCs w:val="21"/>
          <w:highlight w:val="none"/>
        </w:rPr>
        <w:t>8.2</w:t>
      </w:r>
      <w:r>
        <w:rPr>
          <w:rFonts w:hint="eastAsia" w:ascii="宋体" w:hAnsi="宋体"/>
          <w:szCs w:val="21"/>
          <w:highlight w:val="none"/>
        </w:rPr>
        <w:t>、供应商对磋商文件如有质疑，应在响应文件提交截止时间</w:t>
      </w:r>
      <w:r>
        <w:rPr>
          <w:rFonts w:ascii="宋体" w:hAnsi="宋体"/>
          <w:szCs w:val="21"/>
          <w:highlight w:val="none"/>
        </w:rPr>
        <w:t>2</w:t>
      </w:r>
      <w:r>
        <w:rPr>
          <w:rFonts w:hint="eastAsia" w:ascii="宋体" w:hAnsi="宋体"/>
          <w:szCs w:val="21"/>
          <w:highlight w:val="none"/>
        </w:rPr>
        <w:t>个工作日前</w:t>
      </w:r>
      <w:r>
        <w:rPr>
          <w:rFonts w:hint="eastAsia" w:ascii="宋体" w:hAnsi="宋体" w:cs="宋体"/>
          <w:szCs w:val="21"/>
          <w:highlight w:val="none"/>
        </w:rPr>
        <w:t>向采购单位提出并将问题发送至邮箱1165121299@qq.com</w:t>
      </w:r>
      <w:r>
        <w:rPr>
          <w:rFonts w:hint="eastAsia" w:ascii="宋体" w:hAnsi="宋体"/>
          <w:szCs w:val="21"/>
          <w:highlight w:val="none"/>
        </w:rPr>
        <w:t>。</w:t>
      </w:r>
    </w:p>
    <w:p>
      <w:pPr>
        <w:spacing w:line="540" w:lineRule="exact"/>
        <w:ind w:firstLine="420" w:firstLineChars="200"/>
        <w:rPr>
          <w:rFonts w:ascii="宋体"/>
          <w:szCs w:val="21"/>
          <w:highlight w:val="none"/>
        </w:rPr>
      </w:pPr>
      <w:r>
        <w:rPr>
          <w:rFonts w:ascii="宋体" w:hAnsi="宋体"/>
          <w:szCs w:val="21"/>
          <w:highlight w:val="none"/>
        </w:rPr>
        <w:t>8.3</w:t>
      </w:r>
      <w:r>
        <w:rPr>
          <w:rFonts w:hint="eastAsia" w:ascii="宋体" w:hAnsi="宋体"/>
          <w:szCs w:val="21"/>
          <w:highlight w:val="none"/>
        </w:rPr>
        <w:t>、如果供应商未在约定的时间内对磋商文件有关条款提出质疑，视为充分理解磋商文件所有内容，一旦提交响应文件，则认为该供应商接受磋商文件的所有条款。</w:t>
      </w:r>
    </w:p>
    <w:p>
      <w:pPr>
        <w:spacing w:line="540" w:lineRule="exact"/>
        <w:ind w:firstLine="420" w:firstLineChars="200"/>
        <w:rPr>
          <w:rFonts w:ascii="宋体"/>
          <w:szCs w:val="21"/>
          <w:highlight w:val="none"/>
        </w:rPr>
      </w:pPr>
      <w:r>
        <w:rPr>
          <w:rFonts w:ascii="宋体" w:hAnsi="宋体"/>
          <w:szCs w:val="21"/>
          <w:highlight w:val="none"/>
        </w:rPr>
        <w:t>8.4</w:t>
      </w:r>
      <w:r>
        <w:rPr>
          <w:rFonts w:hint="eastAsia" w:ascii="宋体" w:hAnsi="宋体"/>
          <w:szCs w:val="21"/>
          <w:highlight w:val="none"/>
        </w:rPr>
        <w:t>、采购单位对在约定时间收到的、且需要做出澄清的问题，将以本须知所述方式进行答复，但不说明问题的来源。</w:t>
      </w:r>
    </w:p>
    <w:p>
      <w:pPr>
        <w:spacing w:line="360" w:lineRule="auto"/>
        <w:ind w:firstLine="422" w:firstLineChars="200"/>
        <w:rPr>
          <w:rFonts w:ascii="宋体"/>
          <w:b/>
          <w:szCs w:val="21"/>
          <w:highlight w:val="none"/>
        </w:rPr>
      </w:pPr>
      <w:r>
        <w:rPr>
          <w:rFonts w:ascii="宋体" w:hAnsi="宋体"/>
          <w:b/>
          <w:szCs w:val="21"/>
          <w:highlight w:val="none"/>
        </w:rPr>
        <w:t>9</w:t>
      </w:r>
      <w:r>
        <w:rPr>
          <w:rFonts w:hint="eastAsia" w:ascii="宋体" w:hAnsi="宋体"/>
          <w:b/>
          <w:szCs w:val="21"/>
          <w:highlight w:val="none"/>
        </w:rPr>
        <w:t>、磋商文件的修改</w:t>
      </w:r>
    </w:p>
    <w:p>
      <w:pPr>
        <w:spacing w:line="540" w:lineRule="exact"/>
        <w:ind w:firstLine="420" w:firstLineChars="200"/>
        <w:rPr>
          <w:rFonts w:ascii="宋体"/>
          <w:szCs w:val="21"/>
          <w:highlight w:val="none"/>
        </w:rPr>
      </w:pPr>
      <w:r>
        <w:rPr>
          <w:rFonts w:ascii="宋体" w:hAnsi="宋体"/>
          <w:szCs w:val="21"/>
          <w:highlight w:val="none"/>
        </w:rPr>
        <w:t>9.1</w:t>
      </w:r>
      <w:r>
        <w:rPr>
          <w:rFonts w:hint="eastAsia" w:ascii="宋体" w:hAnsi="宋体"/>
          <w:szCs w:val="21"/>
          <w:highlight w:val="none"/>
        </w:rPr>
        <w:t>、采购单位可以对磋商文件进行修改。</w:t>
      </w:r>
    </w:p>
    <w:p>
      <w:pPr>
        <w:spacing w:line="540" w:lineRule="exact"/>
        <w:ind w:firstLine="420" w:firstLineChars="200"/>
        <w:rPr>
          <w:rFonts w:ascii="宋体"/>
          <w:szCs w:val="21"/>
          <w:highlight w:val="none"/>
        </w:rPr>
      </w:pPr>
      <w:r>
        <w:rPr>
          <w:rFonts w:ascii="宋体" w:hAnsi="宋体"/>
          <w:szCs w:val="21"/>
          <w:highlight w:val="none"/>
        </w:rPr>
        <w:t>9.2</w:t>
      </w:r>
      <w:r>
        <w:rPr>
          <w:rFonts w:hint="eastAsia" w:ascii="宋体" w:hAnsi="宋体"/>
          <w:szCs w:val="21"/>
          <w:highlight w:val="none"/>
        </w:rPr>
        <w:t>、采购单位对供应商质疑的答复和对磋商文件的澄清、修改、补充说明等内容</w:t>
      </w:r>
      <w:r>
        <w:rPr>
          <w:rFonts w:hint="eastAsia" w:ascii="宋体" w:hAnsi="宋体"/>
          <w:b/>
          <w:bCs/>
          <w:szCs w:val="21"/>
          <w:highlight w:val="none"/>
        </w:rPr>
        <w:t>均通过</w:t>
      </w:r>
      <w:r>
        <w:rPr>
          <w:rFonts w:hint="eastAsia" w:ascii="宋体" w:hAnsi="宋体" w:cs="宋体"/>
          <w:b/>
          <w:bCs/>
          <w:szCs w:val="21"/>
          <w:highlight w:val="none"/>
        </w:rPr>
        <w:t>安庆职业技术学院（https://www.aqvtc.edu.cn/）招标采购栏目发布</w:t>
      </w:r>
      <w:r>
        <w:rPr>
          <w:rFonts w:hint="eastAsia" w:ascii="宋体" w:hAnsi="宋体"/>
          <w:b/>
          <w:bCs/>
          <w:szCs w:val="21"/>
          <w:highlight w:val="none"/>
        </w:rPr>
        <w:t>，该修改内容作为磋商文件的组成部分，具有约束作用</w:t>
      </w:r>
      <w:r>
        <w:rPr>
          <w:rFonts w:hint="eastAsia" w:ascii="宋体" w:hAnsi="宋体"/>
          <w:szCs w:val="21"/>
          <w:highlight w:val="none"/>
        </w:rPr>
        <w:t>。</w:t>
      </w:r>
    </w:p>
    <w:p>
      <w:pPr>
        <w:spacing w:line="540" w:lineRule="exact"/>
        <w:ind w:firstLine="420" w:firstLineChars="200"/>
        <w:rPr>
          <w:rFonts w:ascii="宋体"/>
          <w:szCs w:val="21"/>
          <w:highlight w:val="none"/>
        </w:rPr>
      </w:pPr>
      <w:r>
        <w:rPr>
          <w:rFonts w:ascii="宋体" w:hAnsi="宋体"/>
          <w:szCs w:val="21"/>
          <w:highlight w:val="none"/>
        </w:rPr>
        <w:t>9.3</w:t>
      </w:r>
      <w:r>
        <w:rPr>
          <w:rFonts w:hint="eastAsia" w:ascii="宋体" w:hAnsi="宋体"/>
          <w:szCs w:val="21"/>
          <w:highlight w:val="none"/>
        </w:rPr>
        <w:t>、当磋商文件与对磋商文件的澄清、修改、补充等在同一内容的表述上不一致时，以最后发出的为准。</w:t>
      </w:r>
    </w:p>
    <w:p>
      <w:pPr>
        <w:spacing w:line="360" w:lineRule="auto"/>
        <w:ind w:firstLine="420" w:firstLineChars="200"/>
        <w:rPr>
          <w:rFonts w:ascii="宋体"/>
          <w:szCs w:val="21"/>
          <w:highlight w:val="none"/>
        </w:rPr>
      </w:pPr>
      <w:r>
        <w:rPr>
          <w:rFonts w:ascii="宋体" w:hAnsi="宋体"/>
          <w:szCs w:val="21"/>
          <w:highlight w:val="none"/>
        </w:rPr>
        <w:t>9.4</w:t>
      </w:r>
      <w:r>
        <w:rPr>
          <w:rFonts w:hint="eastAsia" w:ascii="宋体" w:hAnsi="宋体"/>
          <w:szCs w:val="21"/>
          <w:highlight w:val="none"/>
        </w:rPr>
        <w:t>、为使供应商有充分时间对磋商文件的澄清、修改、补充部分进行研究、或是由于其他原因，采购单位可以决定顺延磋商时间，具体时间通过</w:t>
      </w:r>
      <w:r>
        <w:rPr>
          <w:rFonts w:hint="eastAsia" w:ascii="宋体" w:hAnsi="宋体" w:cs="宋体"/>
          <w:szCs w:val="21"/>
          <w:highlight w:val="none"/>
        </w:rPr>
        <w:t>安庆职业技术学院网站发布</w:t>
      </w:r>
      <w:r>
        <w:rPr>
          <w:rFonts w:hint="eastAsia" w:ascii="宋体" w:hAnsi="宋体"/>
          <w:szCs w:val="21"/>
          <w:highlight w:val="none"/>
        </w:rPr>
        <w:t>。</w:t>
      </w:r>
    </w:p>
    <w:p>
      <w:pPr>
        <w:pStyle w:val="5"/>
        <w:numPr>
          <w:ilvl w:val="0"/>
          <w:numId w:val="5"/>
        </w:numPr>
        <w:wordWrap/>
        <w:spacing w:line="360" w:lineRule="auto"/>
        <w:ind w:firstLine="551" w:firstLineChars="196"/>
        <w:rPr>
          <w:highlight w:val="none"/>
        </w:rPr>
      </w:pPr>
      <w:bookmarkStart w:id="70" w:name="_Toc31936"/>
      <w:bookmarkStart w:id="71" w:name="_Toc24744"/>
      <w:r>
        <w:rPr>
          <w:rFonts w:hint="eastAsia"/>
          <w:highlight w:val="none"/>
        </w:rPr>
        <w:t>响应文件编制</w:t>
      </w:r>
      <w:bookmarkEnd w:id="70"/>
      <w:bookmarkEnd w:id="71"/>
    </w:p>
    <w:p>
      <w:pPr>
        <w:spacing w:line="360" w:lineRule="auto"/>
        <w:ind w:firstLine="422" w:firstLineChars="200"/>
        <w:rPr>
          <w:rFonts w:ascii="宋体"/>
          <w:b/>
          <w:szCs w:val="21"/>
          <w:highlight w:val="none"/>
        </w:rPr>
      </w:pPr>
      <w:r>
        <w:rPr>
          <w:rFonts w:ascii="宋体" w:hAnsi="宋体"/>
          <w:b/>
          <w:szCs w:val="21"/>
          <w:highlight w:val="none"/>
        </w:rPr>
        <w:t>10</w:t>
      </w:r>
      <w:r>
        <w:rPr>
          <w:rFonts w:hint="eastAsia" w:ascii="宋体" w:hAnsi="宋体"/>
          <w:b/>
          <w:szCs w:val="21"/>
          <w:highlight w:val="none"/>
        </w:rPr>
        <w:t>、</w:t>
      </w:r>
      <w:r>
        <w:rPr>
          <w:rFonts w:ascii="宋体" w:hAnsi="宋体"/>
          <w:b/>
          <w:szCs w:val="21"/>
          <w:highlight w:val="none"/>
        </w:rPr>
        <w:t xml:space="preserve"> </w:t>
      </w:r>
      <w:r>
        <w:rPr>
          <w:rFonts w:hint="eastAsia" w:ascii="宋体" w:hAnsi="宋体"/>
          <w:b/>
          <w:szCs w:val="21"/>
          <w:highlight w:val="none"/>
        </w:rPr>
        <w:t>响应的语言及度量衡单位</w:t>
      </w:r>
    </w:p>
    <w:p>
      <w:pPr>
        <w:spacing w:line="360" w:lineRule="auto"/>
        <w:ind w:firstLine="420" w:firstLineChars="200"/>
        <w:rPr>
          <w:rFonts w:ascii="宋体"/>
          <w:szCs w:val="21"/>
          <w:highlight w:val="none"/>
        </w:rPr>
      </w:pPr>
      <w:r>
        <w:rPr>
          <w:rFonts w:ascii="宋体" w:hAnsi="宋体"/>
          <w:szCs w:val="21"/>
          <w:highlight w:val="none"/>
        </w:rPr>
        <w:t>10.1</w:t>
      </w:r>
      <w:r>
        <w:rPr>
          <w:rFonts w:hint="eastAsia" w:ascii="宋体" w:hAnsi="宋体"/>
          <w:szCs w:val="21"/>
          <w:highlight w:val="none"/>
        </w:rPr>
        <w:t>、供应商的响应文件、供应商与采购单位就采购的所有往来函电，均须使用简体中文。</w:t>
      </w:r>
    </w:p>
    <w:p>
      <w:pPr>
        <w:spacing w:line="360" w:lineRule="auto"/>
        <w:ind w:firstLine="420" w:firstLineChars="200"/>
        <w:rPr>
          <w:rFonts w:ascii="宋体"/>
          <w:szCs w:val="21"/>
          <w:highlight w:val="none"/>
        </w:rPr>
      </w:pPr>
      <w:r>
        <w:rPr>
          <w:rFonts w:ascii="宋体" w:hAnsi="宋体"/>
          <w:szCs w:val="21"/>
          <w:highlight w:val="none"/>
        </w:rPr>
        <w:t>10.2</w:t>
      </w:r>
      <w:r>
        <w:rPr>
          <w:rFonts w:hint="eastAsia" w:ascii="宋体" w:hAnsi="宋体"/>
          <w:szCs w:val="21"/>
          <w:highlight w:val="none"/>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highlight w:val="none"/>
        </w:rPr>
      </w:pPr>
      <w:r>
        <w:rPr>
          <w:rFonts w:ascii="宋体" w:hAnsi="宋体"/>
          <w:b/>
          <w:szCs w:val="21"/>
          <w:highlight w:val="none"/>
        </w:rPr>
        <w:t xml:space="preserve"> </w:t>
      </w:r>
      <w:r>
        <w:rPr>
          <w:rFonts w:hint="eastAsia" w:ascii="宋体" w:hAnsi="宋体"/>
          <w:b/>
          <w:szCs w:val="21"/>
          <w:highlight w:val="none"/>
        </w:rPr>
        <w:t>响应文件的构成</w:t>
      </w:r>
    </w:p>
    <w:p>
      <w:pPr>
        <w:spacing w:line="360" w:lineRule="auto"/>
        <w:ind w:firstLine="420" w:firstLineChars="200"/>
        <w:rPr>
          <w:rFonts w:ascii="宋体"/>
          <w:szCs w:val="21"/>
          <w:highlight w:val="none"/>
        </w:rPr>
      </w:pPr>
      <w:r>
        <w:rPr>
          <w:rFonts w:ascii="宋体" w:hAnsi="宋体"/>
          <w:szCs w:val="21"/>
          <w:highlight w:val="none"/>
        </w:rPr>
        <w:t>11.1</w:t>
      </w:r>
      <w:r>
        <w:rPr>
          <w:rFonts w:hint="eastAsia" w:ascii="宋体" w:hAnsi="宋体"/>
          <w:szCs w:val="21"/>
          <w:highlight w:val="none"/>
        </w:rPr>
        <w:t>、响应文件应该按照“响应文件格式”约定的内容和顺序进行编写。</w:t>
      </w:r>
    </w:p>
    <w:p>
      <w:pPr>
        <w:spacing w:line="360" w:lineRule="auto"/>
        <w:ind w:firstLine="420" w:firstLineChars="200"/>
        <w:rPr>
          <w:rFonts w:ascii="宋体"/>
          <w:szCs w:val="21"/>
          <w:highlight w:val="none"/>
        </w:rPr>
      </w:pPr>
      <w:r>
        <w:rPr>
          <w:rFonts w:ascii="宋体" w:hAnsi="宋体"/>
          <w:szCs w:val="21"/>
          <w:highlight w:val="none"/>
        </w:rPr>
        <w:t>11.2</w:t>
      </w:r>
      <w:r>
        <w:rPr>
          <w:rFonts w:hint="eastAsia" w:ascii="宋体" w:hAnsi="宋体"/>
          <w:szCs w:val="21"/>
          <w:highlight w:val="none"/>
        </w:rPr>
        <w:t>、</w:t>
      </w:r>
      <w:r>
        <w:rPr>
          <w:rFonts w:hint="eastAsia" w:ascii="宋体" w:hAnsi="宋体"/>
          <w:color w:val="000000"/>
          <w:szCs w:val="21"/>
          <w:highlight w:val="none"/>
        </w:rPr>
        <w:t>供应商应提交“磋商须知前附表”中约定的磋商响应文件。</w:t>
      </w:r>
    </w:p>
    <w:p>
      <w:pPr>
        <w:spacing w:line="360" w:lineRule="auto"/>
        <w:ind w:firstLine="420" w:firstLineChars="200"/>
        <w:rPr>
          <w:rFonts w:ascii="宋体"/>
          <w:szCs w:val="21"/>
          <w:highlight w:val="none"/>
        </w:rPr>
      </w:pPr>
      <w:r>
        <w:rPr>
          <w:rFonts w:ascii="宋体" w:hAnsi="宋体"/>
          <w:szCs w:val="21"/>
          <w:highlight w:val="none"/>
        </w:rPr>
        <w:t>11.3</w:t>
      </w:r>
      <w:r>
        <w:rPr>
          <w:rFonts w:hint="eastAsia" w:ascii="宋体" w:hAnsi="宋体"/>
          <w:szCs w:val="21"/>
          <w:highlight w:val="none"/>
        </w:rPr>
        <w:t>、供应商必须对其响应文件的真实性与准确性负责。供应商一旦成交，其响应文件将作为合同的重要组成部分。</w:t>
      </w:r>
    </w:p>
    <w:p>
      <w:pPr>
        <w:spacing w:line="360" w:lineRule="auto"/>
        <w:ind w:firstLine="420" w:firstLineChars="200"/>
        <w:rPr>
          <w:rFonts w:ascii="宋体"/>
          <w:szCs w:val="21"/>
          <w:highlight w:val="none"/>
        </w:rPr>
      </w:pPr>
      <w:r>
        <w:rPr>
          <w:rFonts w:ascii="宋体" w:hAnsi="宋体"/>
          <w:szCs w:val="21"/>
          <w:highlight w:val="none"/>
        </w:rPr>
        <w:t>11.4</w:t>
      </w:r>
      <w:r>
        <w:rPr>
          <w:rFonts w:hint="eastAsia" w:ascii="宋体" w:hAnsi="宋体"/>
          <w:szCs w:val="21"/>
          <w:highlight w:val="none"/>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highlight w:val="none"/>
        </w:rPr>
      </w:pPr>
      <w:r>
        <w:rPr>
          <w:rFonts w:ascii="宋体" w:hAnsi="宋体" w:cs="宋体"/>
          <w:b/>
          <w:szCs w:val="21"/>
          <w:highlight w:val="none"/>
        </w:rPr>
        <w:t>12</w:t>
      </w:r>
      <w:r>
        <w:rPr>
          <w:rFonts w:hint="eastAsia" w:ascii="宋体" w:hAnsi="宋体" w:cs="宋体"/>
          <w:b/>
          <w:szCs w:val="21"/>
          <w:highlight w:val="none"/>
        </w:rPr>
        <w:t>、磋商响应报价</w:t>
      </w:r>
    </w:p>
    <w:p>
      <w:pPr>
        <w:spacing w:line="360" w:lineRule="auto"/>
        <w:ind w:firstLine="420" w:firstLineChars="200"/>
        <w:rPr>
          <w:rFonts w:ascii="宋体" w:cs="宋体"/>
          <w:szCs w:val="21"/>
          <w:highlight w:val="none"/>
        </w:rPr>
      </w:pPr>
      <w:r>
        <w:rPr>
          <w:rFonts w:ascii="宋体" w:hAnsi="宋体" w:cs="宋体"/>
          <w:szCs w:val="21"/>
          <w:highlight w:val="none"/>
        </w:rPr>
        <w:t>12.1</w:t>
      </w:r>
      <w:r>
        <w:rPr>
          <w:rFonts w:hint="eastAsia" w:ascii="宋体" w:hAnsi="宋体" w:cs="宋体"/>
          <w:szCs w:val="21"/>
          <w:highlight w:val="none"/>
        </w:rPr>
        <w:t>、响应文件的服务报价表上应清楚地标明供应商拟提供服务的名称、价格等内容。单价不作为合同结算依据。</w:t>
      </w:r>
    </w:p>
    <w:p>
      <w:pPr>
        <w:spacing w:line="360" w:lineRule="auto"/>
        <w:ind w:firstLine="420" w:firstLineChars="200"/>
        <w:rPr>
          <w:rFonts w:ascii="宋体" w:cs="宋体"/>
          <w:szCs w:val="21"/>
          <w:highlight w:val="none"/>
        </w:rPr>
      </w:pPr>
      <w:r>
        <w:rPr>
          <w:rFonts w:ascii="宋体" w:hAnsi="宋体" w:cs="宋体"/>
          <w:szCs w:val="21"/>
          <w:highlight w:val="none"/>
        </w:rPr>
        <w:t>12.2</w:t>
      </w:r>
      <w:r>
        <w:rPr>
          <w:rFonts w:hint="eastAsia" w:ascii="宋体" w:hAnsi="宋体" w:cs="宋体"/>
          <w:szCs w:val="21"/>
          <w:highlight w:val="none"/>
        </w:rPr>
        <w:t>、除非特别要求，每个项目（或每个包）只允许有一个方案、一个报价。多方案、多报价的响应文件将视为无效响应文件。</w:t>
      </w:r>
    </w:p>
    <w:p>
      <w:pPr>
        <w:spacing w:line="360" w:lineRule="auto"/>
        <w:ind w:firstLine="420" w:firstLineChars="200"/>
        <w:rPr>
          <w:rFonts w:ascii="宋体" w:hAnsi="宋体" w:cs="宋体"/>
          <w:szCs w:val="21"/>
          <w:highlight w:val="none"/>
        </w:rPr>
      </w:pPr>
      <w:r>
        <w:rPr>
          <w:rFonts w:ascii="宋体" w:hAnsi="宋体" w:cs="宋体"/>
          <w:szCs w:val="21"/>
          <w:highlight w:val="none"/>
        </w:rPr>
        <w:t>12.3</w:t>
      </w:r>
      <w:r>
        <w:rPr>
          <w:rFonts w:hint="eastAsia" w:ascii="宋体" w:hAnsi="宋体" w:cs="宋体"/>
          <w:szCs w:val="21"/>
          <w:highlight w:val="none"/>
        </w:rPr>
        <w:t>、供应商的</w:t>
      </w:r>
      <w:r>
        <w:rPr>
          <w:rFonts w:hint="eastAsia" w:ascii="宋体" w:hAnsi="宋体"/>
          <w:szCs w:val="21"/>
          <w:highlight w:val="none"/>
        </w:rPr>
        <w:t>报价应包含满足本次采购需求的所有费用（包括但不限于：</w:t>
      </w:r>
      <w:r>
        <w:rPr>
          <w:rFonts w:hint="eastAsia" w:ascii="宋体" w:hAnsi="宋体" w:cs="宋体"/>
          <w:szCs w:val="21"/>
          <w:highlight w:val="none"/>
        </w:rPr>
        <w:t>人工费、材</w:t>
      </w:r>
    </w:p>
    <w:p>
      <w:pPr>
        <w:spacing w:line="360" w:lineRule="auto"/>
        <w:rPr>
          <w:rFonts w:ascii="宋体" w:cs="宋体"/>
          <w:szCs w:val="21"/>
          <w:highlight w:val="none"/>
        </w:rPr>
      </w:pPr>
      <w:r>
        <w:rPr>
          <w:rFonts w:hint="eastAsia" w:ascii="宋体" w:hAnsi="宋体" w:cs="宋体"/>
          <w:szCs w:val="21"/>
          <w:highlight w:val="none"/>
        </w:rPr>
        <w:t>料费、交通费、培训费、印刷费、管理费、保险、税金等）。</w:t>
      </w:r>
    </w:p>
    <w:p>
      <w:pPr>
        <w:spacing w:line="360" w:lineRule="auto"/>
        <w:ind w:firstLine="420" w:firstLineChars="200"/>
        <w:rPr>
          <w:rFonts w:ascii="宋体" w:hAnsi="宋体" w:cs="宋体"/>
          <w:szCs w:val="21"/>
          <w:highlight w:val="none"/>
        </w:rPr>
      </w:pPr>
      <w:r>
        <w:rPr>
          <w:rFonts w:ascii="宋体" w:hAnsi="宋体" w:cs="宋体"/>
          <w:szCs w:val="21"/>
          <w:highlight w:val="none"/>
        </w:rPr>
        <w:t>12.4</w:t>
      </w:r>
      <w:r>
        <w:rPr>
          <w:rFonts w:hint="eastAsia" w:ascii="宋体" w:hAnsi="宋体" w:cs="宋体"/>
          <w:szCs w:val="21"/>
          <w:highlight w:val="none"/>
        </w:rPr>
        <w:t>、</w:t>
      </w:r>
      <w:r>
        <w:rPr>
          <w:rFonts w:hint="eastAsia" w:ascii="宋体" w:hAnsi="宋体" w:cs="宋体"/>
          <w:szCs w:val="21"/>
          <w:highlight w:val="none"/>
        </w:rPr>
        <w:t>磋商报价高于最高磋商限价为无效报价。</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12.5、磋商响应文件内容不一致的确认。</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.5.1、磋商响应文件中磋商响应函(磋商报价)与磋商响应文件中相应内容不一致的,以磋商响应函(磋商报价)为准；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2、若大写金额和小写金额不一致的，以大写金额为准；</w:t>
      </w:r>
    </w:p>
    <w:p>
      <w:pPr>
        <w:spacing w:line="360" w:lineRule="auto"/>
        <w:ind w:firstLine="420" w:firstLineChars="200"/>
        <w:rPr>
          <w:rFonts w:ascii="宋体" w:hAnsi="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3、</w:t>
      </w:r>
      <w:r>
        <w:rPr>
          <w:rFonts w:hint="eastAsia" w:ascii="宋体" w:hAnsi="宋体"/>
          <w:color w:val="000000"/>
          <w:szCs w:val="21"/>
          <w:highlight w:val="none"/>
        </w:rPr>
        <w:t>单价金额小数点或者百分比有明显错位的，应以磋商响应函(谈判响应报价)为准，并修正单价。</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12.5.4、总价金额与按单价汇总金额不一致的，以单价金额计算结果为准。</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同时出现两种以上不一致的，按照以上规定的顺序修正。修正后的报价应当采用书面形式，并加盖公章或者由法定代表人或其委托代理人签字,但不得超出谈判响应文件的范围或者改变磋商响应文件的实质性内容。经供应商确认后产生约束力，供应商不确认的，其磋商响应无效。</w:t>
      </w:r>
    </w:p>
    <w:p>
      <w:pPr>
        <w:spacing w:line="360" w:lineRule="auto"/>
        <w:ind w:firstLine="422" w:firstLineChars="200"/>
        <w:rPr>
          <w:rFonts w:ascii="宋体" w:cs="宋体"/>
          <w:szCs w:val="21"/>
          <w:highlight w:val="none"/>
        </w:rPr>
      </w:pPr>
      <w:r>
        <w:rPr>
          <w:rFonts w:ascii="宋体" w:hAnsi="宋体" w:cs="宋体"/>
          <w:b/>
          <w:szCs w:val="21"/>
          <w:highlight w:val="none"/>
        </w:rPr>
        <w:t>13</w:t>
      </w:r>
      <w:r>
        <w:rPr>
          <w:rFonts w:hint="eastAsia" w:ascii="宋体" w:hAnsi="宋体" w:cs="宋体"/>
          <w:b/>
          <w:szCs w:val="21"/>
          <w:highlight w:val="none"/>
        </w:rPr>
        <w:t>、磋商响应货币：</w:t>
      </w:r>
      <w:r>
        <w:rPr>
          <w:rFonts w:hint="eastAsia" w:ascii="宋体" w:hAnsi="宋体" w:cs="宋体"/>
          <w:szCs w:val="21"/>
          <w:highlight w:val="none"/>
        </w:rPr>
        <w:t>人民币。</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14、磋商响应保证金：本项目不收取</w:t>
      </w:r>
    </w:p>
    <w:p>
      <w:pPr>
        <w:spacing w:line="360" w:lineRule="auto"/>
        <w:ind w:firstLine="420" w:firstLineChars="200"/>
        <w:rPr>
          <w:rFonts w:ascii="宋体" w:hAnsi="宋体"/>
          <w:szCs w:val="21"/>
          <w:highlight w:val="none"/>
        </w:rPr>
      </w:pPr>
      <w:r>
        <w:rPr>
          <w:rFonts w:hint="eastAsia" w:ascii="宋体" w:hAnsi="宋体"/>
          <w:szCs w:val="21"/>
          <w:highlight w:val="none"/>
        </w:rPr>
        <w:t>14.1、有下列情形之一的，视为供应商串通投标，其磋商响应无效：</w:t>
      </w:r>
    </w:p>
    <w:p>
      <w:pPr>
        <w:spacing w:line="360" w:lineRule="auto"/>
        <w:ind w:firstLine="420" w:firstLineChars="200"/>
        <w:rPr>
          <w:rFonts w:ascii="宋体" w:hAnsi="宋体"/>
          <w:szCs w:val="21"/>
          <w:highlight w:val="none"/>
        </w:rPr>
      </w:pPr>
      <w:r>
        <w:rPr>
          <w:rFonts w:hint="eastAsia" w:ascii="宋体" w:hAnsi="宋体"/>
          <w:szCs w:val="21"/>
          <w:highlight w:val="none"/>
        </w:rPr>
        <w:t>（1）不同供应商的磋商响应文件由同一单位或者个人编制；</w:t>
      </w:r>
    </w:p>
    <w:p>
      <w:pPr>
        <w:spacing w:line="360" w:lineRule="auto"/>
        <w:ind w:firstLine="420" w:firstLineChars="200"/>
        <w:rPr>
          <w:rFonts w:ascii="宋体" w:hAnsi="宋体"/>
          <w:szCs w:val="21"/>
          <w:highlight w:val="none"/>
        </w:rPr>
      </w:pPr>
      <w:r>
        <w:rPr>
          <w:rFonts w:hint="eastAsia" w:ascii="宋体" w:hAnsi="宋体"/>
          <w:szCs w:val="21"/>
          <w:highlight w:val="none"/>
        </w:rPr>
        <w:t>（2）不同供应商委托同一单位或者个人办理磋商响应事宜；</w:t>
      </w:r>
    </w:p>
    <w:p>
      <w:pPr>
        <w:spacing w:line="360" w:lineRule="auto"/>
        <w:ind w:firstLine="420" w:firstLineChars="200"/>
        <w:rPr>
          <w:rFonts w:ascii="宋体" w:hAnsi="宋体"/>
          <w:szCs w:val="21"/>
          <w:highlight w:val="none"/>
        </w:rPr>
      </w:pPr>
      <w:r>
        <w:rPr>
          <w:rFonts w:hint="eastAsia" w:ascii="宋体" w:hAnsi="宋体"/>
          <w:szCs w:val="21"/>
          <w:highlight w:val="none"/>
        </w:rPr>
        <w:t>（3）不同供应商的磋商响应文件载明的项目管理成员或联系人员为同一人；</w:t>
      </w:r>
    </w:p>
    <w:p>
      <w:pPr>
        <w:spacing w:line="360" w:lineRule="auto"/>
        <w:ind w:firstLine="420" w:firstLineChars="200"/>
        <w:rPr>
          <w:rFonts w:ascii="宋体" w:hAnsi="宋体"/>
          <w:szCs w:val="21"/>
          <w:highlight w:val="none"/>
        </w:rPr>
      </w:pPr>
      <w:r>
        <w:rPr>
          <w:rFonts w:hint="eastAsia" w:ascii="宋体" w:hAnsi="宋体"/>
          <w:szCs w:val="21"/>
          <w:highlight w:val="none"/>
        </w:rPr>
        <w:t>（4）不同供应商的磋商响应文件异常一致或者磋商响应报价呈规律性差异；</w:t>
      </w:r>
    </w:p>
    <w:p>
      <w:pPr>
        <w:spacing w:line="360" w:lineRule="auto"/>
        <w:ind w:firstLine="420" w:firstLineChars="200"/>
        <w:rPr>
          <w:rFonts w:ascii="宋体" w:hAnsi="宋体"/>
          <w:szCs w:val="21"/>
          <w:highlight w:val="none"/>
        </w:rPr>
      </w:pPr>
      <w:r>
        <w:rPr>
          <w:rFonts w:hint="eastAsia" w:ascii="宋体" w:hAnsi="宋体"/>
          <w:szCs w:val="21"/>
          <w:highlight w:val="none"/>
        </w:rPr>
        <w:t>（5）不同供应商的磋商响应文件相互混装；</w:t>
      </w:r>
    </w:p>
    <w:p>
      <w:pPr>
        <w:spacing w:line="360" w:lineRule="auto"/>
        <w:ind w:firstLine="420" w:firstLineChars="200"/>
        <w:rPr>
          <w:rFonts w:ascii="宋体" w:hAnsi="宋体"/>
          <w:b/>
          <w:szCs w:val="21"/>
          <w:highlight w:val="none"/>
        </w:rPr>
      </w:pPr>
      <w:r>
        <w:rPr>
          <w:rFonts w:ascii="宋体" w:hAnsi="宋体" w:cs="宋体"/>
          <w:szCs w:val="21"/>
          <w:highlight w:val="none"/>
        </w:rPr>
        <w:t>14.</w:t>
      </w:r>
      <w:r>
        <w:rPr>
          <w:rFonts w:hint="eastAsia" w:ascii="宋体" w:hAnsi="宋体" w:cs="宋体"/>
          <w:szCs w:val="21"/>
          <w:highlight w:val="none"/>
        </w:rPr>
        <w:t>2、</w:t>
      </w:r>
      <w:r>
        <w:rPr>
          <w:rFonts w:hint="eastAsia" w:ascii="宋体" w:hAnsi="宋体"/>
          <w:b/>
          <w:szCs w:val="21"/>
          <w:highlight w:val="none"/>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rPr>
          <w:highlight w:val="none"/>
        </w:rPr>
      </w:pPr>
      <w:r>
        <w:rPr>
          <w:rFonts w:hint="eastAsia"/>
          <w:highlight w:val="none"/>
        </w:rPr>
        <w:t>（1）成交后无正当理由不与采购单位签订合同的；</w:t>
      </w:r>
    </w:p>
    <w:p>
      <w:pPr>
        <w:widowControl/>
        <w:spacing w:line="500" w:lineRule="exact"/>
        <w:ind w:firstLine="420" w:firstLineChars="200"/>
        <w:jc w:val="left"/>
        <w:rPr>
          <w:rFonts w:ascii="宋体" w:hAnsi="宋体"/>
          <w:szCs w:val="21"/>
          <w:highlight w:val="none"/>
        </w:rPr>
      </w:pPr>
      <w:r>
        <w:rPr>
          <w:rFonts w:hint="eastAsia"/>
          <w:highlight w:val="none"/>
        </w:rPr>
        <w:t>（2）</w:t>
      </w:r>
      <w:r>
        <w:rPr>
          <w:rFonts w:hint="eastAsia" w:ascii="宋体" w:hAnsi="宋体"/>
          <w:szCs w:val="21"/>
          <w:highlight w:val="none"/>
        </w:rPr>
        <w:t>在签订合同时向采购人提出附加条件，或者不按照磋商文件要求提交履约保证金的；</w:t>
      </w:r>
    </w:p>
    <w:p>
      <w:pPr>
        <w:widowControl/>
        <w:spacing w:line="500" w:lineRule="exact"/>
        <w:ind w:firstLine="420" w:firstLineChars="200"/>
        <w:jc w:val="left"/>
        <w:rPr>
          <w:highlight w:val="none"/>
        </w:rPr>
      </w:pPr>
      <w:r>
        <w:rPr>
          <w:rFonts w:hint="eastAsia"/>
          <w:highlight w:val="none"/>
        </w:rPr>
        <w:t>（3）将成交项目转让给他人，或在响应文件中未说明，将成交项目分包给他人的；</w:t>
      </w:r>
    </w:p>
    <w:p>
      <w:pPr>
        <w:spacing w:line="360" w:lineRule="auto"/>
        <w:ind w:firstLine="420" w:firstLineChars="200"/>
        <w:rPr>
          <w:highlight w:val="none"/>
        </w:rPr>
      </w:pPr>
      <w:r>
        <w:rPr>
          <w:rFonts w:hint="eastAsia"/>
          <w:highlight w:val="none"/>
        </w:rPr>
        <w:t>（4）</w:t>
      </w:r>
      <w:r>
        <w:rPr>
          <w:rFonts w:hint="eastAsia" w:ascii="宋体" w:hAnsi="宋体"/>
          <w:szCs w:val="21"/>
          <w:highlight w:val="none"/>
        </w:rPr>
        <w:t>供应商相互串通或者与采购人串通的；</w:t>
      </w:r>
    </w:p>
    <w:p>
      <w:pPr>
        <w:spacing w:line="360" w:lineRule="auto"/>
        <w:ind w:firstLine="420" w:firstLineChars="200"/>
        <w:rPr>
          <w:rFonts w:ascii="宋体" w:hAnsi="宋体"/>
          <w:szCs w:val="21"/>
          <w:highlight w:val="none"/>
        </w:rPr>
      </w:pPr>
      <w:r>
        <w:rPr>
          <w:rFonts w:hint="eastAsia" w:ascii="宋体" w:hAnsi="宋体"/>
          <w:szCs w:val="21"/>
          <w:highlight w:val="none"/>
        </w:rPr>
        <w:t>（5）供应商以向采购人或者评标委员会成员行贿的手段谋取成交的；</w:t>
      </w:r>
    </w:p>
    <w:p>
      <w:pPr>
        <w:spacing w:line="360" w:lineRule="auto"/>
        <w:ind w:firstLine="420" w:firstLineChars="200"/>
        <w:rPr>
          <w:rFonts w:ascii="宋体" w:hAnsi="宋体"/>
          <w:szCs w:val="21"/>
          <w:highlight w:val="none"/>
        </w:rPr>
      </w:pPr>
      <w:r>
        <w:rPr>
          <w:rFonts w:hint="eastAsia" w:ascii="宋体" w:hAnsi="宋体"/>
          <w:szCs w:val="21"/>
          <w:highlight w:val="none"/>
        </w:rPr>
        <w:t>（6）供应商以他人名义磋商或者以其他方式弄虚作假，骗取成交的；</w:t>
      </w:r>
    </w:p>
    <w:p>
      <w:pPr>
        <w:spacing w:line="360" w:lineRule="auto"/>
        <w:ind w:firstLine="420" w:firstLineChars="200"/>
        <w:rPr>
          <w:rFonts w:ascii="宋体" w:hAnsi="宋体"/>
          <w:szCs w:val="21"/>
          <w:highlight w:val="none"/>
        </w:rPr>
      </w:pPr>
      <w:r>
        <w:rPr>
          <w:rFonts w:hint="eastAsia" w:ascii="宋体" w:hAnsi="宋体"/>
          <w:szCs w:val="21"/>
          <w:highlight w:val="none"/>
        </w:rPr>
        <w:t>（7）违法与采购人就磋商价格、服务方案等实质性内容进行磋商，影响成交结果的；</w:t>
      </w:r>
    </w:p>
    <w:p>
      <w:pPr>
        <w:widowControl/>
        <w:spacing w:line="500" w:lineRule="exact"/>
        <w:ind w:firstLine="420" w:firstLineChars="200"/>
        <w:jc w:val="left"/>
        <w:rPr>
          <w:rFonts w:ascii="宋体" w:cs="宋体"/>
          <w:highlight w:val="none"/>
        </w:rPr>
      </w:pPr>
      <w:r>
        <w:rPr>
          <w:rFonts w:hint="eastAsia" w:ascii="宋体" w:hAnsi="宋体"/>
          <w:szCs w:val="21"/>
          <w:highlight w:val="none"/>
        </w:rPr>
        <w:t>（8）法律、法规规定及磋商文件约定的其他情形</w:t>
      </w:r>
      <w:r>
        <w:rPr>
          <w:rFonts w:hint="eastAsia" w:ascii="宋体" w:hAnsi="宋体" w:cs="宋体"/>
          <w:highlight w:val="none"/>
        </w:rPr>
        <w:t>。</w:t>
      </w:r>
    </w:p>
    <w:p>
      <w:pPr>
        <w:spacing w:line="360" w:lineRule="auto"/>
        <w:ind w:firstLine="422" w:firstLineChars="200"/>
        <w:rPr>
          <w:rFonts w:ascii="宋体" w:cs="宋体"/>
          <w:b/>
          <w:szCs w:val="21"/>
          <w:highlight w:val="none"/>
        </w:rPr>
      </w:pPr>
      <w:r>
        <w:rPr>
          <w:rFonts w:ascii="宋体" w:hAnsi="宋体" w:cs="宋体"/>
          <w:b/>
          <w:szCs w:val="21"/>
          <w:highlight w:val="none"/>
        </w:rPr>
        <w:t>15</w:t>
      </w:r>
      <w:r>
        <w:rPr>
          <w:rFonts w:hint="eastAsia" w:ascii="宋体" w:hAnsi="宋体" w:cs="宋体"/>
          <w:b/>
          <w:szCs w:val="21"/>
          <w:highlight w:val="none"/>
        </w:rPr>
        <w:t>、磋商有效期</w:t>
      </w:r>
    </w:p>
    <w:p>
      <w:pPr>
        <w:spacing w:line="360" w:lineRule="auto"/>
        <w:ind w:firstLine="420" w:firstLineChars="200"/>
        <w:rPr>
          <w:rFonts w:ascii="宋体" w:cs="宋体"/>
          <w:szCs w:val="21"/>
          <w:highlight w:val="none"/>
        </w:rPr>
      </w:pPr>
      <w:r>
        <w:rPr>
          <w:rFonts w:ascii="宋体" w:hAnsi="宋体" w:cs="宋体"/>
          <w:szCs w:val="21"/>
          <w:highlight w:val="none"/>
        </w:rPr>
        <w:t>15.1</w:t>
      </w:r>
      <w:r>
        <w:rPr>
          <w:rFonts w:hint="eastAsia" w:ascii="宋体" w:hAnsi="宋体" w:cs="宋体"/>
          <w:szCs w:val="21"/>
          <w:highlight w:val="none"/>
        </w:rPr>
        <w:t>、磋商有效期见“磋商须知前附表”的约定。</w:t>
      </w:r>
    </w:p>
    <w:p>
      <w:pPr>
        <w:spacing w:line="360" w:lineRule="auto"/>
        <w:ind w:firstLine="420" w:firstLineChars="200"/>
        <w:rPr>
          <w:rFonts w:ascii="宋体" w:cs="宋体"/>
          <w:szCs w:val="21"/>
          <w:highlight w:val="none"/>
        </w:rPr>
      </w:pPr>
      <w:r>
        <w:rPr>
          <w:rFonts w:ascii="宋体" w:hAnsi="宋体" w:cs="宋体"/>
          <w:szCs w:val="21"/>
          <w:highlight w:val="none"/>
        </w:rPr>
        <w:t>15.2</w:t>
      </w:r>
      <w:r>
        <w:rPr>
          <w:rFonts w:hint="eastAsia" w:ascii="宋体" w:hAnsi="宋体" w:cs="宋体"/>
          <w:szCs w:val="21"/>
          <w:highlight w:val="none"/>
        </w:rPr>
        <w:t>、在磋商有效期内，供应商不得要求撤销或修改其响应文件。</w:t>
      </w:r>
    </w:p>
    <w:p>
      <w:pPr>
        <w:spacing w:line="360" w:lineRule="auto"/>
        <w:ind w:firstLine="420" w:firstLineChars="200"/>
        <w:rPr>
          <w:rFonts w:ascii="宋体" w:cs="宋体"/>
          <w:szCs w:val="21"/>
          <w:highlight w:val="none"/>
        </w:rPr>
      </w:pPr>
      <w:r>
        <w:rPr>
          <w:rFonts w:ascii="宋体" w:hAnsi="宋体" w:cs="宋体"/>
          <w:szCs w:val="21"/>
          <w:highlight w:val="none"/>
        </w:rPr>
        <w:t>15.3</w:t>
      </w:r>
      <w:r>
        <w:rPr>
          <w:rFonts w:hint="eastAsia" w:ascii="宋体" w:hAnsi="宋体" w:cs="宋体"/>
          <w:szCs w:val="21"/>
          <w:highlight w:val="none"/>
        </w:rPr>
        <w:t>、磋商有效期从响应文件提交截止时间算起。</w:t>
      </w:r>
    </w:p>
    <w:p>
      <w:pPr>
        <w:spacing w:line="360" w:lineRule="auto"/>
        <w:ind w:firstLine="420" w:firstLineChars="200"/>
        <w:rPr>
          <w:rFonts w:ascii="宋体" w:cs="宋体"/>
          <w:szCs w:val="21"/>
          <w:highlight w:val="none"/>
        </w:rPr>
      </w:pPr>
      <w:r>
        <w:rPr>
          <w:rFonts w:ascii="宋体" w:hAnsi="宋体" w:cs="宋体"/>
          <w:szCs w:val="21"/>
          <w:highlight w:val="none"/>
        </w:rPr>
        <w:t>15.4</w:t>
      </w:r>
      <w:r>
        <w:rPr>
          <w:rFonts w:hint="eastAsia" w:ascii="宋体" w:hAnsi="宋体" w:cs="宋体"/>
          <w:szCs w:val="21"/>
          <w:highlight w:val="none"/>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29"/>
        <w:spacing w:line="360" w:lineRule="exact"/>
        <w:ind w:firstLine="422" w:firstLineChars="200"/>
        <w:rPr>
          <w:rFonts w:hAnsi="宋体" w:cs="宋体"/>
          <w:b/>
          <w:highlight w:val="none"/>
        </w:rPr>
      </w:pPr>
      <w:r>
        <w:rPr>
          <w:rFonts w:hAnsi="宋体" w:cs="宋体"/>
          <w:b/>
          <w:highlight w:val="none"/>
        </w:rPr>
        <w:t>16</w:t>
      </w:r>
      <w:r>
        <w:rPr>
          <w:rFonts w:hint="eastAsia" w:hAnsi="宋体" w:cs="宋体"/>
          <w:b/>
          <w:highlight w:val="none"/>
        </w:rPr>
        <w:t>、响应文件的签署</w:t>
      </w:r>
    </w:p>
    <w:p>
      <w:pPr>
        <w:spacing w:line="360" w:lineRule="auto"/>
        <w:ind w:firstLine="420" w:firstLineChars="200"/>
        <w:rPr>
          <w:rFonts w:ascii="宋体" w:cs="宋体"/>
          <w:szCs w:val="21"/>
          <w:highlight w:val="none"/>
        </w:rPr>
      </w:pPr>
      <w:r>
        <w:rPr>
          <w:rFonts w:ascii="宋体" w:hAnsi="宋体" w:cs="宋体"/>
          <w:szCs w:val="21"/>
          <w:highlight w:val="none"/>
        </w:rPr>
        <w:t>16.1</w:t>
      </w:r>
      <w:r>
        <w:rPr>
          <w:rFonts w:hint="eastAsia" w:ascii="宋体" w:hAnsi="宋体" w:cs="宋体"/>
          <w:szCs w:val="21"/>
          <w:highlight w:val="none"/>
        </w:rPr>
        <w:t>、供应商应按本须知前附表约定的格式，编制并提交响应文件。</w:t>
      </w:r>
    </w:p>
    <w:p>
      <w:pPr>
        <w:spacing w:line="360" w:lineRule="auto"/>
        <w:ind w:firstLine="420" w:firstLineChars="200"/>
        <w:rPr>
          <w:rFonts w:ascii="宋体" w:cs="宋体"/>
          <w:szCs w:val="21"/>
          <w:highlight w:val="none"/>
        </w:rPr>
      </w:pPr>
      <w:r>
        <w:rPr>
          <w:rFonts w:ascii="宋体" w:hAnsi="宋体" w:cs="宋体"/>
          <w:szCs w:val="21"/>
          <w:highlight w:val="none"/>
        </w:rPr>
        <w:t>16.2</w:t>
      </w:r>
      <w:r>
        <w:rPr>
          <w:rFonts w:hint="eastAsia" w:ascii="宋体" w:hAnsi="宋体" w:cs="宋体"/>
          <w:szCs w:val="21"/>
          <w:highlight w:val="none"/>
        </w:rPr>
        <w:t>、响应文件应由供应商的法定代表人或委托代理人</w:t>
      </w:r>
      <w:r>
        <w:rPr>
          <w:rFonts w:hint="eastAsia" w:ascii="宋体" w:hAnsi="宋体" w:cs="宋体"/>
          <w:szCs w:val="21"/>
          <w:highlight w:val="none"/>
        </w:rPr>
        <w:t>签署</w:t>
      </w:r>
      <w:r>
        <w:rPr>
          <w:rFonts w:hint="eastAsia" w:ascii="宋体" w:hAnsi="宋体" w:cs="宋体"/>
          <w:szCs w:val="21"/>
          <w:highlight w:val="none"/>
        </w:rPr>
        <w:t>，并加盖供应商公章。</w:t>
      </w:r>
    </w:p>
    <w:p>
      <w:pPr>
        <w:spacing w:line="360" w:lineRule="auto"/>
        <w:ind w:firstLine="420" w:firstLineChars="200"/>
        <w:rPr>
          <w:rFonts w:ascii="宋体" w:hAnsi="宋体" w:cs="宋体"/>
          <w:szCs w:val="21"/>
          <w:highlight w:val="none"/>
        </w:rPr>
      </w:pPr>
      <w:r>
        <w:rPr>
          <w:rFonts w:ascii="宋体" w:hAnsi="宋体" w:cs="宋体"/>
          <w:szCs w:val="21"/>
          <w:highlight w:val="none"/>
        </w:rPr>
        <w:t>16.3</w:t>
      </w:r>
      <w:r>
        <w:rPr>
          <w:rFonts w:hint="eastAsia" w:ascii="宋体" w:hAnsi="宋体" w:cs="宋体"/>
          <w:szCs w:val="21"/>
          <w:highlight w:val="none"/>
        </w:rPr>
        <w:t>、</w:t>
      </w:r>
      <w:r>
        <w:rPr>
          <w:rFonts w:hint="eastAsia" w:ascii="宋体" w:hAnsi="宋体" w:cs="宋体"/>
          <w:color w:val="000000"/>
          <w:szCs w:val="21"/>
          <w:highlight w:val="none"/>
        </w:rPr>
        <w:t>响应文件不得行间插字、涂改或增删。</w:t>
      </w:r>
      <w:r>
        <w:rPr>
          <w:rFonts w:hint="eastAsia" w:ascii="宋体" w:hAnsi="宋体" w:cs="宋体"/>
          <w:color w:val="000000"/>
          <w:szCs w:val="21"/>
          <w:highlight w:val="none"/>
        </w:rPr>
        <w:t>如有修改错漏处，必须由供应商的法定代表人或委托代理人签字，并加盖供应商公章。</w:t>
      </w:r>
    </w:p>
    <w:p>
      <w:pPr>
        <w:spacing w:line="360" w:lineRule="auto"/>
        <w:ind w:firstLine="420" w:firstLineChars="200"/>
        <w:rPr>
          <w:rFonts w:hAnsi="宋体" w:cs="宋体"/>
          <w:spacing w:val="-2"/>
          <w:highlight w:val="none"/>
        </w:rPr>
      </w:pPr>
      <w:r>
        <w:rPr>
          <w:rFonts w:ascii="宋体" w:hAnsi="宋体" w:cs="宋体"/>
          <w:szCs w:val="21"/>
          <w:highlight w:val="none"/>
        </w:rPr>
        <w:t>16.4</w:t>
      </w:r>
      <w:r>
        <w:rPr>
          <w:rFonts w:hint="eastAsia" w:ascii="宋体" w:hAnsi="宋体" w:cs="宋体"/>
          <w:szCs w:val="21"/>
          <w:highlight w:val="none"/>
        </w:rPr>
        <w:t>、</w:t>
      </w:r>
      <w:bookmarkStart w:id="72" w:name="_Toc476584424"/>
      <w:r>
        <w:rPr>
          <w:rFonts w:hint="eastAsia" w:hAnsi="宋体" w:cs="宋体"/>
          <w:b/>
          <w:highlight w:val="none"/>
        </w:rPr>
        <w:t>响应文件封面、磋商响应函</w:t>
      </w:r>
      <w:r>
        <w:rPr>
          <w:rFonts w:hint="eastAsia" w:hAnsi="宋体" w:cs="宋体"/>
          <w:b/>
          <w:spacing w:val="-2"/>
          <w:highlight w:val="none"/>
        </w:rPr>
        <w:t>、服务报价表、最后报价表、服务内容及质量要求响应表</w:t>
      </w:r>
      <w:r>
        <w:rPr>
          <w:rFonts w:hint="eastAsia" w:hAnsi="宋体" w:cs="宋体"/>
          <w:b/>
          <w:highlight w:val="none"/>
        </w:rPr>
        <w:t>均应加盖供应商公章并经法定代表人或委托代理人签字或加盖印章。</w:t>
      </w:r>
      <w:r>
        <w:rPr>
          <w:rFonts w:hint="eastAsia" w:hAnsi="宋体" w:cs="宋体"/>
          <w:bCs/>
          <w:highlight w:val="none"/>
        </w:rPr>
        <w:t>由委托代理人现场参加磋商活动的在磋商响应文件中须同时提交授权书。</w:t>
      </w:r>
      <w:r>
        <w:rPr>
          <w:rFonts w:hint="eastAsia" w:hAnsi="宋体" w:cs="宋体"/>
          <w:b/>
          <w:highlight w:val="none"/>
        </w:rPr>
        <w:t>响应</w:t>
      </w:r>
      <w:r>
        <w:rPr>
          <w:rFonts w:hint="eastAsia" w:hAnsi="宋体" w:cs="宋体"/>
          <w:b/>
          <w:spacing w:val="-2"/>
          <w:highlight w:val="none"/>
        </w:rPr>
        <w:t>文件封面、磋商响应函、服务报价表、最后报价表、服务内容及质量要求响应表、授权书的签字或盖章不符合磋商文件要求的，磋商小组可要求其法定代表人或其委托的委托代理人补齐签字或承诺在签订合同前按照磋商文件要求加盖印章。</w:t>
      </w:r>
    </w:p>
    <w:p>
      <w:pPr>
        <w:pStyle w:val="5"/>
        <w:rPr>
          <w:rFonts w:cs="宋体"/>
          <w:highlight w:val="none"/>
        </w:rPr>
      </w:pPr>
      <w:bookmarkStart w:id="73" w:name="_Toc10023"/>
      <w:r>
        <w:rPr>
          <w:rFonts w:hint="eastAsia" w:cs="宋体"/>
          <w:highlight w:val="none"/>
        </w:rPr>
        <w:t>四、响应文件的</w:t>
      </w:r>
      <w:bookmarkEnd w:id="72"/>
      <w:r>
        <w:rPr>
          <w:rFonts w:hint="eastAsia" w:cs="宋体"/>
          <w:highlight w:val="none"/>
        </w:rPr>
        <w:t>提交</w:t>
      </w:r>
      <w:bookmarkEnd w:id="73"/>
    </w:p>
    <w:p>
      <w:pPr>
        <w:spacing w:line="360" w:lineRule="auto"/>
        <w:ind w:firstLine="422" w:firstLineChars="200"/>
        <w:rPr>
          <w:rFonts w:ascii="宋体" w:hAnsi="宋体" w:cs="宋体"/>
          <w:b/>
          <w:szCs w:val="21"/>
          <w:highlight w:val="none"/>
        </w:rPr>
      </w:pPr>
      <w:r>
        <w:rPr>
          <w:rFonts w:ascii="宋体" w:hAnsi="宋体" w:cs="宋体"/>
          <w:b/>
          <w:szCs w:val="21"/>
          <w:highlight w:val="none"/>
        </w:rPr>
        <w:t>17</w:t>
      </w:r>
      <w:r>
        <w:rPr>
          <w:rFonts w:hint="eastAsia" w:ascii="宋体" w:hAnsi="宋体" w:cs="宋体"/>
          <w:b/>
          <w:szCs w:val="21"/>
          <w:highlight w:val="none"/>
        </w:rPr>
        <w:t>、提交说明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17.1响应文件需采用固定胶装方式装订并编码，不得采用活页装订。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17.2供应商应将响应文件的正本、副本同时密封于一个文件袋内。包装密封，并在密封袋上加盖供应商公章。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17.3密封袋上应写明：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采购人名称：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供应商名称（加盖供应商公章）。</w:t>
      </w:r>
    </w:p>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17.4未按上述要求装订、密封和标记的响应文件，将不被接受。</w:t>
      </w:r>
    </w:p>
    <w:p>
      <w:pPr>
        <w:spacing w:line="360" w:lineRule="auto"/>
        <w:ind w:firstLine="422" w:firstLineChars="200"/>
        <w:rPr>
          <w:rFonts w:ascii="宋体" w:cs="宋体"/>
          <w:b/>
          <w:szCs w:val="21"/>
          <w:highlight w:val="none"/>
        </w:rPr>
      </w:pPr>
      <w:r>
        <w:rPr>
          <w:rFonts w:ascii="宋体" w:hAnsi="宋体" w:cs="宋体"/>
          <w:b/>
          <w:szCs w:val="21"/>
          <w:highlight w:val="none"/>
        </w:rPr>
        <w:t>18</w:t>
      </w:r>
      <w:r>
        <w:rPr>
          <w:rFonts w:hint="eastAsia" w:ascii="宋体" w:hAnsi="宋体" w:cs="宋体"/>
          <w:b/>
          <w:szCs w:val="21"/>
          <w:highlight w:val="none"/>
        </w:rPr>
        <w:t>、磋商时间</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18.1、供应商应在磋商须知前附表中约定的提交响应文件截止时间前将</w:t>
      </w:r>
      <w:r>
        <w:rPr>
          <w:rFonts w:hint="eastAsia" w:ascii="宋体" w:hAnsi="宋体" w:cs="宋体"/>
          <w:szCs w:val="21"/>
          <w:highlight w:val="none"/>
        </w:rPr>
        <w:t>响应文件提交至指定地点。逾期送达或者未按要求送达指定地点的响应文件，采购单位不予受理</w:t>
      </w:r>
      <w:r>
        <w:rPr>
          <w:rFonts w:hint="eastAsia" w:ascii="宋体" w:hAnsi="宋体" w:cs="宋体"/>
          <w:color w:val="000000"/>
          <w:szCs w:val="21"/>
          <w:highlight w:val="none"/>
        </w:rPr>
        <w:t>。</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18.2、采购人有权按本须知的约定，通过修改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highlight w:val="none"/>
        </w:rPr>
      </w:pPr>
      <w:r>
        <w:rPr>
          <w:rFonts w:ascii="宋体" w:hAnsi="宋体" w:cs="宋体"/>
          <w:b/>
          <w:szCs w:val="21"/>
          <w:highlight w:val="none"/>
        </w:rPr>
        <w:t>19</w:t>
      </w:r>
      <w:r>
        <w:rPr>
          <w:rFonts w:hint="eastAsia" w:ascii="宋体" w:hAnsi="宋体" w:cs="宋体"/>
          <w:b/>
          <w:szCs w:val="21"/>
          <w:highlight w:val="none"/>
        </w:rPr>
        <w:t>、响应文件的修改与撤回</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19.1、供应商提交响应文件以后，在约定的提交响应文件截止时间之前，</w:t>
      </w:r>
      <w:r>
        <w:rPr>
          <w:rFonts w:hint="eastAsia" w:ascii="宋体" w:hAnsi="宋体" w:cs="宋体"/>
          <w:szCs w:val="21"/>
          <w:highlight w:val="none"/>
        </w:rPr>
        <w:t>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highlight w:val="none"/>
        </w:rPr>
      </w:pPr>
      <w:bookmarkStart w:id="74" w:name="_Toc476584425"/>
      <w:r>
        <w:rPr>
          <w:rFonts w:hint="eastAsia" w:ascii="宋体" w:hAnsi="宋体" w:cs="宋体"/>
          <w:szCs w:val="21"/>
          <w:highlight w:val="none"/>
        </w:rPr>
        <w:t>19.2、供应商对响应文件的补充、修改或撤回通知，应按供应商须知17条有关约定密封、标记和提交，并在响应文件密封袋上清楚标明“补充、修改”或“撤回”字样。否则，补充、修改或撤回通知无效。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19.3、在规定的响应文件截止时间之后，供应商不得补充、修改磋商文件。</w:t>
      </w:r>
    </w:p>
    <w:p>
      <w:pPr>
        <w:pStyle w:val="5"/>
        <w:spacing w:line="360" w:lineRule="auto"/>
        <w:ind w:firstLine="551" w:firstLineChars="196"/>
        <w:rPr>
          <w:rFonts w:cs="宋体"/>
          <w:highlight w:val="none"/>
        </w:rPr>
      </w:pPr>
      <w:bookmarkStart w:id="75" w:name="_Toc19923"/>
      <w:r>
        <w:rPr>
          <w:rFonts w:hint="eastAsia" w:cs="宋体"/>
          <w:highlight w:val="none"/>
        </w:rPr>
        <w:t>五、</w:t>
      </w:r>
      <w:bookmarkEnd w:id="74"/>
      <w:r>
        <w:rPr>
          <w:rFonts w:hint="eastAsia" w:cs="宋体"/>
          <w:highlight w:val="none"/>
        </w:rPr>
        <w:t>磋商</w:t>
      </w:r>
      <w:bookmarkEnd w:id="75"/>
    </w:p>
    <w:p>
      <w:pPr>
        <w:spacing w:line="360" w:lineRule="auto"/>
        <w:ind w:firstLine="422" w:firstLineChars="200"/>
        <w:rPr>
          <w:rFonts w:ascii="宋体" w:cs="宋体"/>
          <w:szCs w:val="21"/>
          <w:highlight w:val="none"/>
        </w:rPr>
      </w:pPr>
      <w:r>
        <w:rPr>
          <w:rFonts w:ascii="宋体" w:hAnsi="宋体" w:cs="宋体"/>
          <w:b/>
          <w:szCs w:val="21"/>
          <w:highlight w:val="none"/>
        </w:rPr>
        <w:t>20</w:t>
      </w:r>
      <w:r>
        <w:rPr>
          <w:rFonts w:hint="eastAsia" w:ascii="宋体" w:hAnsi="宋体" w:cs="宋体"/>
          <w:b/>
          <w:szCs w:val="21"/>
          <w:highlight w:val="none"/>
        </w:rPr>
        <w:t>、磋商时间和地点：</w:t>
      </w:r>
      <w:r>
        <w:rPr>
          <w:rFonts w:hint="eastAsia" w:ascii="宋体" w:hAnsi="宋体" w:cs="宋体"/>
          <w:szCs w:val="21"/>
          <w:highlight w:val="none"/>
        </w:rPr>
        <w:t>采购单位将在“磋商须知前附表”约定的时间和地点磋商，</w:t>
      </w:r>
      <w:r>
        <w:rPr>
          <w:rFonts w:hint="eastAsia" w:ascii="宋体" w:hAnsi="宋体"/>
          <w:szCs w:val="21"/>
          <w:highlight w:val="none"/>
        </w:rPr>
        <w:t>并邀请监督人员、</w:t>
      </w:r>
      <w:r>
        <w:rPr>
          <w:rFonts w:hint="eastAsia" w:ascii="宋体" w:hAnsi="宋体" w:cs="宋体"/>
          <w:szCs w:val="21"/>
          <w:highlight w:val="none"/>
        </w:rPr>
        <w:t>所有供应商的法定代表人或其委托代理人按时参加。</w:t>
      </w:r>
    </w:p>
    <w:p>
      <w:pPr>
        <w:spacing w:line="360" w:lineRule="auto"/>
        <w:ind w:firstLine="422" w:firstLineChars="200"/>
        <w:rPr>
          <w:rFonts w:ascii="宋体" w:cs="宋体"/>
          <w:b/>
          <w:szCs w:val="21"/>
          <w:highlight w:val="none"/>
        </w:rPr>
      </w:pPr>
      <w:r>
        <w:rPr>
          <w:rFonts w:ascii="宋体" w:hAnsi="宋体" w:cs="宋体"/>
          <w:b/>
          <w:szCs w:val="21"/>
          <w:highlight w:val="none"/>
        </w:rPr>
        <w:t>21</w:t>
      </w:r>
      <w:r>
        <w:rPr>
          <w:rFonts w:hint="eastAsia" w:ascii="宋体" w:hAnsi="宋体" w:cs="宋体"/>
          <w:b/>
          <w:szCs w:val="21"/>
          <w:highlight w:val="none"/>
        </w:rPr>
        <w:t>、开标程序</w:t>
      </w:r>
    </w:p>
    <w:p>
      <w:pPr>
        <w:pStyle w:val="29"/>
        <w:spacing w:line="480" w:lineRule="exact"/>
        <w:ind w:firstLine="420" w:firstLineChars="200"/>
        <w:rPr>
          <w:rFonts w:hAnsi="宋体"/>
          <w:highlight w:val="none"/>
        </w:rPr>
      </w:pPr>
      <w:r>
        <w:rPr>
          <w:rFonts w:hAnsi="宋体"/>
          <w:highlight w:val="none"/>
        </w:rPr>
        <w:t>21.1</w:t>
      </w:r>
      <w:r>
        <w:rPr>
          <w:rFonts w:hint="eastAsia" w:hAnsi="宋体"/>
          <w:highlight w:val="none"/>
        </w:rPr>
        <w:t>磋商由采购单位代表主持，主持人按下列程序进行：</w:t>
      </w:r>
    </w:p>
    <w:p>
      <w:pPr>
        <w:pStyle w:val="29"/>
        <w:spacing w:line="480" w:lineRule="exact"/>
        <w:ind w:left="420" w:leftChars="200"/>
        <w:rPr>
          <w:rFonts w:hAnsi="宋体" w:cs="宋体"/>
          <w:color w:val="000000"/>
          <w:highlight w:val="none"/>
        </w:rPr>
      </w:pPr>
      <w:r>
        <w:rPr>
          <w:rFonts w:hAnsi="宋体"/>
          <w:highlight w:val="none"/>
        </w:rPr>
        <w:t>21.1.1</w:t>
      </w:r>
      <w:r>
        <w:rPr>
          <w:rFonts w:hint="eastAsia" w:hAnsi="宋体" w:cs="宋体"/>
          <w:color w:val="000000"/>
          <w:highlight w:val="none"/>
        </w:rPr>
        <w:t>宣布项目名称、介绍参会人员；</w:t>
      </w:r>
    </w:p>
    <w:p>
      <w:pPr>
        <w:pStyle w:val="29"/>
        <w:spacing w:line="480" w:lineRule="exact"/>
        <w:ind w:left="420" w:leftChars="200"/>
        <w:rPr>
          <w:rFonts w:hAnsi="宋体"/>
          <w:highlight w:val="none"/>
        </w:rPr>
      </w:pPr>
      <w:r>
        <w:rPr>
          <w:rFonts w:hint="eastAsia" w:hAnsi="宋体" w:cs="宋体"/>
          <w:color w:val="000000"/>
          <w:highlight w:val="none"/>
        </w:rPr>
        <w:t>21.1.2</w:t>
      </w:r>
      <w:r>
        <w:rPr>
          <w:rFonts w:hint="eastAsia" w:hAnsi="宋体"/>
          <w:highlight w:val="none"/>
        </w:rPr>
        <w:t>宣布磋商纪律；</w:t>
      </w:r>
    </w:p>
    <w:p>
      <w:pPr>
        <w:pStyle w:val="29"/>
        <w:spacing w:line="480" w:lineRule="exact"/>
        <w:ind w:left="420" w:leftChars="200"/>
        <w:rPr>
          <w:rFonts w:hAnsi="宋体"/>
          <w:highlight w:val="none"/>
        </w:rPr>
      </w:pPr>
      <w:r>
        <w:rPr>
          <w:rFonts w:hAnsi="宋体"/>
          <w:highlight w:val="none"/>
        </w:rPr>
        <w:t>21.1.</w:t>
      </w:r>
      <w:r>
        <w:rPr>
          <w:rFonts w:hint="eastAsia" w:hAnsi="宋体"/>
          <w:highlight w:val="none"/>
        </w:rPr>
        <w:t>3由采购人代表查验供应商相关证件资料并检查响应文件的密封情况；</w:t>
      </w:r>
    </w:p>
    <w:p>
      <w:pPr>
        <w:pStyle w:val="29"/>
        <w:spacing w:line="480" w:lineRule="exact"/>
        <w:ind w:left="420" w:leftChars="200"/>
        <w:rPr>
          <w:rFonts w:hAnsi="宋体"/>
          <w:highlight w:val="none"/>
        </w:rPr>
      </w:pPr>
      <w:r>
        <w:rPr>
          <w:rFonts w:hAnsi="宋体"/>
          <w:highlight w:val="none"/>
        </w:rPr>
        <w:t>21.1.</w:t>
      </w:r>
      <w:r>
        <w:rPr>
          <w:rFonts w:hint="eastAsia" w:hAnsi="宋体"/>
          <w:highlight w:val="none"/>
        </w:rPr>
        <w:t>4</w:t>
      </w:r>
      <w:r>
        <w:rPr>
          <w:rFonts w:hint="eastAsia" w:hAnsi="宋体" w:cs="宋体"/>
          <w:highlight w:val="none"/>
        </w:rPr>
        <w:t>现场开启响应文件</w:t>
      </w:r>
      <w:r>
        <w:rPr>
          <w:rFonts w:hint="eastAsia" w:hAnsi="宋体"/>
          <w:highlight w:val="none"/>
        </w:rPr>
        <w:t>；</w:t>
      </w:r>
    </w:p>
    <w:p>
      <w:pPr>
        <w:widowControl/>
        <w:spacing w:line="500" w:lineRule="exact"/>
        <w:ind w:firstLine="420" w:firstLineChars="200"/>
        <w:jc w:val="left"/>
        <w:rPr>
          <w:rFonts w:ascii="宋体" w:hAnsi="宋体" w:cs="宋体"/>
          <w:color w:val="000000"/>
          <w:szCs w:val="21"/>
          <w:highlight w:val="none"/>
        </w:rPr>
      </w:pPr>
      <w:r>
        <w:rPr>
          <w:rFonts w:ascii="宋体" w:hAnsi="宋体" w:cs="Courier New"/>
          <w:szCs w:val="21"/>
          <w:highlight w:val="none"/>
        </w:rPr>
        <w:t>21.1.</w:t>
      </w:r>
      <w:r>
        <w:rPr>
          <w:rFonts w:hint="eastAsia" w:ascii="宋体" w:hAnsi="宋体" w:cs="Courier New"/>
          <w:szCs w:val="21"/>
          <w:highlight w:val="none"/>
        </w:rPr>
        <w:t>5采购人代表、记录人等有关人员在开标记录表上签字确认</w:t>
      </w:r>
      <w:r>
        <w:rPr>
          <w:rFonts w:hint="eastAsia" w:ascii="宋体" w:hAnsi="宋体" w:cs="宋体"/>
          <w:szCs w:val="21"/>
          <w:highlight w:val="none"/>
        </w:rPr>
        <w:t>；</w:t>
      </w:r>
    </w:p>
    <w:p>
      <w:pPr>
        <w:pStyle w:val="29"/>
        <w:spacing w:line="480" w:lineRule="exact"/>
        <w:ind w:left="420" w:leftChars="200"/>
        <w:rPr>
          <w:rFonts w:hAnsi="宋体"/>
          <w:highlight w:val="none"/>
        </w:rPr>
      </w:pPr>
      <w:r>
        <w:rPr>
          <w:rFonts w:hint="eastAsia" w:hAnsi="宋体" w:cs="宋体"/>
          <w:color w:val="000000"/>
          <w:highlight w:val="none"/>
        </w:rPr>
        <w:t>21.1.6</w:t>
      </w:r>
      <w:r>
        <w:rPr>
          <w:rFonts w:hint="eastAsia" w:hAnsi="宋体"/>
          <w:highlight w:val="none"/>
        </w:rPr>
        <w:t>暂时休会，进入评审阶段</w:t>
      </w:r>
      <w:r>
        <w:rPr>
          <w:rFonts w:hint="eastAsia" w:hAnsi="宋体" w:cs="宋体"/>
          <w:color w:val="000000"/>
          <w:highlight w:val="none"/>
        </w:rPr>
        <w:t>；</w:t>
      </w:r>
      <w:r>
        <w:rPr>
          <w:rFonts w:hint="eastAsia" w:hAnsi="宋体" w:cs="宋体"/>
          <w:color w:val="000000"/>
          <w:highlight w:val="none"/>
        </w:rPr>
        <w:cr/>
      </w:r>
      <w:r>
        <w:rPr>
          <w:rFonts w:hAnsi="宋体"/>
          <w:highlight w:val="none"/>
        </w:rPr>
        <w:t>21.1.</w:t>
      </w:r>
      <w:r>
        <w:rPr>
          <w:rFonts w:hint="eastAsia" w:hAnsi="宋体"/>
          <w:highlight w:val="none"/>
        </w:rPr>
        <w:t>7磋商小组对响应文件进行详细评审；</w:t>
      </w:r>
    </w:p>
    <w:p>
      <w:pPr>
        <w:pStyle w:val="29"/>
        <w:spacing w:line="480" w:lineRule="exact"/>
        <w:ind w:left="420" w:leftChars="200"/>
        <w:rPr>
          <w:rFonts w:hAnsi="宋体"/>
          <w:highlight w:val="none"/>
        </w:rPr>
      </w:pPr>
      <w:r>
        <w:rPr>
          <w:rFonts w:hAnsi="宋体"/>
          <w:highlight w:val="none"/>
        </w:rPr>
        <w:t>21.1.</w:t>
      </w:r>
      <w:r>
        <w:rPr>
          <w:rFonts w:hint="eastAsia" w:hAnsi="宋体"/>
          <w:highlight w:val="none"/>
        </w:rPr>
        <w:t>8磋商小组集中与各供应商分别进行磋商；</w:t>
      </w:r>
    </w:p>
    <w:p>
      <w:pPr>
        <w:pStyle w:val="29"/>
        <w:spacing w:line="480" w:lineRule="exact"/>
        <w:ind w:left="420" w:leftChars="200"/>
        <w:rPr>
          <w:rFonts w:hAnsi="宋体"/>
          <w:highlight w:val="none"/>
        </w:rPr>
      </w:pPr>
      <w:r>
        <w:rPr>
          <w:rFonts w:hAnsi="宋体"/>
          <w:highlight w:val="none"/>
        </w:rPr>
        <w:t>21.1.</w:t>
      </w:r>
      <w:r>
        <w:rPr>
          <w:rFonts w:hint="eastAsia" w:hAnsi="宋体"/>
          <w:highlight w:val="none"/>
        </w:rPr>
        <w:t>9实质性响应磋商文件的供应商进行最后报价；</w:t>
      </w:r>
    </w:p>
    <w:p>
      <w:pPr>
        <w:pStyle w:val="29"/>
        <w:spacing w:line="480" w:lineRule="exact"/>
        <w:ind w:left="420" w:leftChars="200"/>
        <w:rPr>
          <w:rFonts w:hAnsi="宋体"/>
          <w:highlight w:val="none"/>
        </w:rPr>
      </w:pPr>
      <w:r>
        <w:rPr>
          <w:rFonts w:hAnsi="宋体"/>
          <w:highlight w:val="none"/>
        </w:rPr>
        <w:t>21.1.</w:t>
      </w:r>
      <w:r>
        <w:rPr>
          <w:rFonts w:hint="eastAsia" w:hAnsi="宋体"/>
          <w:highlight w:val="none"/>
        </w:rPr>
        <w:t>10磋商小组进行综合评分并编写评审报告；</w:t>
      </w:r>
    </w:p>
    <w:p>
      <w:pPr>
        <w:pStyle w:val="29"/>
        <w:spacing w:line="480" w:lineRule="exact"/>
        <w:ind w:left="420" w:leftChars="200"/>
        <w:rPr>
          <w:rFonts w:hAnsi="宋体"/>
          <w:highlight w:val="none"/>
        </w:rPr>
      </w:pPr>
      <w:r>
        <w:rPr>
          <w:rFonts w:hAnsi="宋体"/>
          <w:highlight w:val="none"/>
        </w:rPr>
        <w:t>21.1.1</w:t>
      </w:r>
      <w:r>
        <w:rPr>
          <w:rFonts w:hint="eastAsia" w:hAnsi="宋体"/>
          <w:highlight w:val="none"/>
        </w:rPr>
        <w:t>1复会，宣布评审结果；</w:t>
      </w:r>
    </w:p>
    <w:p>
      <w:pPr>
        <w:pStyle w:val="29"/>
        <w:spacing w:line="480" w:lineRule="exact"/>
        <w:ind w:left="420" w:leftChars="200"/>
        <w:rPr>
          <w:rFonts w:hAnsi="宋体"/>
          <w:highlight w:val="none"/>
        </w:rPr>
      </w:pPr>
      <w:r>
        <w:rPr>
          <w:rFonts w:hAnsi="宋体"/>
          <w:highlight w:val="none"/>
        </w:rPr>
        <w:t>21.1.1</w:t>
      </w:r>
      <w:r>
        <w:rPr>
          <w:rFonts w:hint="eastAsia" w:hAnsi="宋体"/>
          <w:highlight w:val="none"/>
        </w:rPr>
        <w:t>2磋商结束</w:t>
      </w:r>
    </w:p>
    <w:p>
      <w:pPr>
        <w:spacing w:line="360" w:lineRule="auto"/>
        <w:ind w:firstLine="422" w:firstLineChars="200"/>
        <w:rPr>
          <w:rFonts w:ascii="宋体" w:cs="宋体"/>
          <w:b/>
          <w:szCs w:val="21"/>
          <w:highlight w:val="none"/>
        </w:rPr>
      </w:pPr>
      <w:r>
        <w:rPr>
          <w:rFonts w:ascii="宋体" w:hAnsi="宋体" w:cs="宋体"/>
          <w:b/>
          <w:szCs w:val="21"/>
          <w:highlight w:val="none"/>
        </w:rPr>
        <w:t>21.2</w:t>
      </w:r>
      <w:r>
        <w:rPr>
          <w:rFonts w:hint="eastAsia" w:ascii="宋体" w:hAnsi="宋体" w:cs="宋体"/>
          <w:b/>
          <w:szCs w:val="21"/>
          <w:highlight w:val="none"/>
        </w:rPr>
        <w:t>、查验证件</w:t>
      </w:r>
    </w:p>
    <w:p>
      <w:pPr>
        <w:spacing w:line="360" w:lineRule="auto"/>
        <w:ind w:firstLine="420" w:firstLineChars="200"/>
        <w:rPr>
          <w:rFonts w:ascii="宋体" w:hAnsi="宋体" w:cs="宋体"/>
          <w:b/>
          <w:szCs w:val="21"/>
          <w:highlight w:val="none"/>
        </w:rPr>
      </w:pPr>
      <w:r>
        <w:rPr>
          <w:rFonts w:ascii="宋体" w:hAnsi="宋体" w:cs="宋体"/>
          <w:bCs/>
          <w:szCs w:val="21"/>
          <w:highlight w:val="none"/>
        </w:rPr>
        <w:t>21.2.1</w:t>
      </w:r>
      <w:r>
        <w:rPr>
          <w:rFonts w:hint="eastAsia" w:ascii="宋体" w:hAnsi="宋体" w:cs="宋体"/>
          <w:bCs/>
          <w:szCs w:val="21"/>
          <w:highlight w:val="none"/>
        </w:rPr>
        <w:t>、采购单位审查供应商以下证件，若证件不全或不符合要求，则查验不合格,由磋商小组认定其响应无效。</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法定代表人应出示身份证明、营业执照复印件或委托代理人应出示授权书；（授权书格式见附件）。</w:t>
      </w:r>
    </w:p>
    <w:p>
      <w:pPr>
        <w:spacing w:line="360" w:lineRule="auto"/>
        <w:ind w:firstLine="422" w:firstLineChars="200"/>
        <w:rPr>
          <w:rFonts w:ascii="宋体" w:hAnsi="宋体" w:cs="宋体"/>
          <w:szCs w:val="21"/>
          <w:highlight w:val="none"/>
        </w:rPr>
      </w:pPr>
      <w:r>
        <w:rPr>
          <w:rFonts w:ascii="宋体" w:hAnsi="宋体" w:cs="宋体"/>
          <w:b/>
          <w:szCs w:val="21"/>
          <w:highlight w:val="none"/>
        </w:rPr>
        <w:t>21.2</w:t>
      </w:r>
      <w:r>
        <w:rPr>
          <w:rFonts w:hint="eastAsia" w:ascii="宋体" w:hAnsi="宋体" w:cs="宋体"/>
          <w:b/>
          <w:szCs w:val="21"/>
          <w:highlight w:val="none"/>
        </w:rPr>
        <w:t>.</w:t>
      </w:r>
      <w:r>
        <w:rPr>
          <w:rFonts w:ascii="宋体" w:hAnsi="宋体" w:cs="宋体"/>
          <w:b/>
          <w:szCs w:val="21"/>
          <w:highlight w:val="none"/>
        </w:rPr>
        <w:t>2</w:t>
      </w:r>
      <w:r>
        <w:rPr>
          <w:rFonts w:hint="eastAsia" w:ascii="宋体" w:hAnsi="宋体" w:cs="宋体"/>
          <w:b/>
          <w:szCs w:val="21"/>
          <w:highlight w:val="none"/>
        </w:rPr>
        <w:t>、</w:t>
      </w:r>
      <w:r>
        <w:rPr>
          <w:rFonts w:hint="eastAsia" w:ascii="宋体" w:hAnsi="宋体" w:cs="宋体"/>
          <w:szCs w:val="21"/>
          <w:highlight w:val="none"/>
        </w:rPr>
        <w:t>供应商必须对其响应文件中所有资料的真实性负责。若发现供应商有弄虚作假行为的，响应无效，由相关管理部门按照磋商文件相应条款对其做相应处罚。</w:t>
      </w:r>
    </w:p>
    <w:p>
      <w:pPr>
        <w:spacing w:line="360" w:lineRule="auto"/>
        <w:ind w:left="420" w:leftChars="200"/>
        <w:rPr>
          <w:rFonts w:ascii="宋体" w:cs="宋体"/>
          <w:b/>
          <w:szCs w:val="21"/>
          <w:highlight w:val="none"/>
        </w:rPr>
      </w:pPr>
      <w:r>
        <w:rPr>
          <w:rFonts w:ascii="宋体" w:hAnsi="宋体" w:cs="宋体"/>
          <w:b/>
          <w:szCs w:val="21"/>
          <w:highlight w:val="none"/>
        </w:rPr>
        <w:t>22</w:t>
      </w:r>
      <w:r>
        <w:rPr>
          <w:rFonts w:hint="eastAsia" w:ascii="宋体" w:hAnsi="宋体" w:cs="宋体"/>
          <w:b/>
          <w:szCs w:val="21"/>
          <w:highlight w:val="none"/>
        </w:rPr>
        <w:t>、响应文件的有效性</w:t>
      </w:r>
    </w:p>
    <w:p>
      <w:pPr>
        <w:spacing w:line="360" w:lineRule="auto"/>
        <w:ind w:firstLine="420" w:firstLineChars="200"/>
        <w:rPr>
          <w:rFonts w:ascii="宋体" w:cs="宋体"/>
          <w:szCs w:val="21"/>
          <w:highlight w:val="none"/>
        </w:rPr>
      </w:pPr>
      <w:r>
        <w:rPr>
          <w:rFonts w:ascii="宋体" w:hAnsi="宋体" w:cs="宋体"/>
          <w:szCs w:val="21"/>
          <w:highlight w:val="none"/>
        </w:rPr>
        <w:t>22.1</w:t>
      </w:r>
      <w:r>
        <w:rPr>
          <w:rFonts w:hint="eastAsia" w:ascii="宋体" w:hAnsi="宋体" w:cs="宋体"/>
          <w:szCs w:val="21"/>
          <w:highlight w:val="none"/>
        </w:rPr>
        <w:t>、响应文件有下列情形之一的，将不予受理：</w:t>
      </w:r>
      <w:r>
        <w:rPr>
          <w:rFonts w:ascii="宋体" w:hAnsi="宋体" w:cs="宋体"/>
          <w:szCs w:val="21"/>
          <w:highlight w:val="none"/>
        </w:rPr>
        <w:t xml:space="preserve"> </w:t>
      </w:r>
    </w:p>
    <w:p>
      <w:pPr>
        <w:spacing w:line="420" w:lineRule="exact"/>
        <w:ind w:firstLine="420" w:firstLineChars="20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）逾期送达的或者未送达至指定地点的；</w:t>
      </w:r>
      <w:r>
        <w:rPr>
          <w:rFonts w:ascii="宋体" w:hAnsi="宋体" w:cs="宋体"/>
          <w:szCs w:val="21"/>
          <w:highlight w:val="none"/>
        </w:rPr>
        <w:t xml:space="preserve"> </w:t>
      </w:r>
    </w:p>
    <w:p>
      <w:pPr>
        <w:spacing w:line="420" w:lineRule="exact"/>
        <w:ind w:firstLine="420" w:firstLineChars="20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）未按磋商文件要求包装、密封的。</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rPr>
        <w:t>、磋商过程中发现有下列情况的，由磋商小组评审后，认定为磋商响应无效：</w:t>
      </w:r>
    </w:p>
    <w:p>
      <w:pPr>
        <w:spacing w:line="420" w:lineRule="exact"/>
        <w:ind w:firstLine="420" w:firstLineChars="200"/>
        <w:rPr>
          <w:rFonts w:ascii="宋体" w:cs="宋体"/>
          <w:szCs w:val="21"/>
          <w:highlight w:val="none"/>
        </w:rPr>
      </w:pPr>
      <w:r>
        <w:rPr>
          <w:rFonts w:ascii="宋体" w:hAnsi="宋体" w:cs="宋体"/>
          <w:szCs w:val="21"/>
          <w:highlight w:val="none"/>
        </w:rPr>
        <w:t>22.2.1</w:t>
      </w:r>
      <w:r>
        <w:rPr>
          <w:rFonts w:hint="eastAsia" w:ascii="宋体" w:hAnsi="宋体" w:cs="宋体"/>
          <w:szCs w:val="21"/>
          <w:highlight w:val="none"/>
        </w:rPr>
        <w:t>、</w:t>
      </w:r>
      <w:r>
        <w:rPr>
          <w:rFonts w:hint="eastAsia" w:ascii="宋体" w:hAnsi="宋体" w:cs="宋体"/>
          <w:color w:val="000000"/>
          <w:szCs w:val="21"/>
          <w:highlight w:val="none"/>
        </w:rPr>
        <w:t>供应商未按要求参加开标会、未按要求出示材料供现场查验或经查验不合格的；</w:t>
      </w:r>
    </w:p>
    <w:p>
      <w:pPr>
        <w:spacing w:line="420" w:lineRule="exact"/>
        <w:ind w:firstLine="420" w:firstLineChars="200"/>
        <w:rPr>
          <w:rFonts w:ascii="宋体" w:hAnsi="宋体" w:cs="宋体"/>
          <w:szCs w:val="21"/>
          <w:highlight w:val="none"/>
        </w:rPr>
      </w:pPr>
      <w:r>
        <w:rPr>
          <w:rFonts w:ascii="宋体" w:hAnsi="宋体" w:cs="宋体"/>
          <w:szCs w:val="21"/>
          <w:highlight w:val="none"/>
        </w:rPr>
        <w:t>22.2.2</w:t>
      </w:r>
      <w:r>
        <w:rPr>
          <w:rFonts w:hint="eastAsia" w:ascii="宋体" w:hAnsi="宋体" w:cs="宋体"/>
          <w:szCs w:val="21"/>
          <w:highlight w:val="none"/>
        </w:rPr>
        <w:t>、</w:t>
      </w:r>
      <w:r>
        <w:rPr>
          <w:rFonts w:hint="eastAsia" w:ascii="宋体" w:hAnsi="宋体" w:cs="宋体"/>
          <w:color w:val="000000"/>
          <w:highlight w:val="none"/>
        </w:rPr>
        <w:t>磋商响应文件封面、磋商响应函、服务报价表、最后报价表、服务内容及质量响应表</w:t>
      </w:r>
      <w:r>
        <w:rPr>
          <w:rFonts w:hint="eastAsia" w:ascii="宋体" w:hAnsi="宋体" w:cs="宋体"/>
          <w:color w:val="000000"/>
          <w:szCs w:val="21"/>
          <w:highlight w:val="none"/>
        </w:rPr>
        <w:t>不符合磋商文件要求拒绝补齐签字或拒绝承诺在合同签订前加盖印章的</w:t>
      </w:r>
      <w:r>
        <w:rPr>
          <w:rFonts w:hint="eastAsia" w:ascii="宋体" w:hAnsi="宋体" w:cs="宋体"/>
          <w:szCs w:val="21"/>
          <w:highlight w:val="none"/>
        </w:rPr>
        <w:t>；</w:t>
      </w:r>
    </w:p>
    <w:p>
      <w:pPr>
        <w:spacing w:line="420" w:lineRule="exact"/>
        <w:ind w:firstLine="420" w:firstLineChars="200"/>
        <w:rPr>
          <w:rFonts w:ascii="宋体" w:cs="宋体"/>
          <w:szCs w:val="21"/>
          <w:highlight w:val="none"/>
        </w:rPr>
      </w:pPr>
      <w:r>
        <w:rPr>
          <w:rFonts w:ascii="宋体" w:hAnsi="宋体" w:cs="宋体"/>
          <w:szCs w:val="21"/>
          <w:highlight w:val="none"/>
        </w:rPr>
        <w:t>22.2.3</w:t>
      </w:r>
      <w:r>
        <w:rPr>
          <w:rFonts w:hint="eastAsia" w:ascii="宋体" w:hAnsi="宋体" w:cs="宋体"/>
          <w:szCs w:val="21"/>
          <w:highlight w:val="none"/>
        </w:rPr>
        <w:t>、磋商报价高于最高磋商限价的；</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rPr>
        <w:t>4、法律、法规及竞争性磋商文件约定的其它情形。</w:t>
      </w:r>
    </w:p>
    <w:p>
      <w:pPr>
        <w:widowControl/>
        <w:spacing w:line="500" w:lineRule="exact"/>
        <w:ind w:firstLine="420" w:firstLineChars="200"/>
        <w:jc w:val="left"/>
        <w:rPr>
          <w:rFonts w:ascii="宋体" w:hAnsi="宋体"/>
          <w:szCs w:val="21"/>
          <w:highlight w:val="none"/>
        </w:rPr>
      </w:pPr>
      <w:r>
        <w:rPr>
          <w:rFonts w:ascii="宋体" w:hAnsi="宋体" w:cs="宋体"/>
          <w:szCs w:val="21"/>
          <w:highlight w:val="none"/>
        </w:rPr>
        <w:t>22.3</w:t>
      </w:r>
      <w:r>
        <w:rPr>
          <w:rFonts w:hint="eastAsia" w:ascii="宋体" w:hAnsi="宋体" w:cs="宋体"/>
          <w:szCs w:val="21"/>
          <w:highlight w:val="none"/>
        </w:rPr>
        <w:t>、</w:t>
      </w:r>
      <w:r>
        <w:rPr>
          <w:rFonts w:hint="eastAsia" w:ascii="宋体" w:hAnsi="宋体"/>
          <w:szCs w:val="21"/>
          <w:highlight w:val="none"/>
        </w:rPr>
        <w:t>供应商存在下列情形之一，经磋商小组评审后，认定为响应无效：</w:t>
      </w:r>
    </w:p>
    <w:p>
      <w:pPr>
        <w:widowControl/>
        <w:spacing w:line="500" w:lineRule="exact"/>
        <w:jc w:val="left"/>
        <w:rPr>
          <w:rFonts w:ascii="宋体" w:hAnsi="宋体"/>
          <w:szCs w:val="21"/>
          <w:highlight w:val="none"/>
        </w:rPr>
      </w:pPr>
      <w:r>
        <w:rPr>
          <w:rFonts w:hint="eastAsia" w:ascii="宋体" w:hAnsi="宋体"/>
          <w:szCs w:val="21"/>
          <w:highlight w:val="none"/>
        </w:rPr>
        <w:t xml:space="preserve">    (1)</w:t>
      </w:r>
      <w:r>
        <w:rPr>
          <w:rFonts w:hAnsi="宋体"/>
          <w:szCs w:val="21"/>
          <w:highlight w:val="none"/>
        </w:rPr>
        <w:t>被责令停业</w:t>
      </w:r>
      <w:r>
        <w:rPr>
          <w:rFonts w:hint="eastAsia" w:hAnsi="宋体"/>
          <w:szCs w:val="21"/>
          <w:highlight w:val="none"/>
        </w:rPr>
        <w:t>且处于有效期内</w:t>
      </w:r>
      <w:r>
        <w:rPr>
          <w:rFonts w:hAnsi="宋体"/>
          <w:szCs w:val="21"/>
          <w:highlight w:val="none"/>
        </w:rPr>
        <w:t>的</w:t>
      </w:r>
      <w:r>
        <w:rPr>
          <w:rFonts w:hint="eastAsia" w:ascii="宋体" w:hAnsi="宋体"/>
          <w:szCs w:val="21"/>
          <w:highlight w:val="none"/>
        </w:rPr>
        <w:t>；</w:t>
      </w:r>
    </w:p>
    <w:p>
      <w:pPr>
        <w:widowControl/>
        <w:spacing w:line="500" w:lineRule="exact"/>
        <w:jc w:val="left"/>
        <w:rPr>
          <w:rFonts w:ascii="宋体" w:hAnsi="宋体"/>
          <w:szCs w:val="21"/>
          <w:highlight w:val="none"/>
        </w:rPr>
      </w:pPr>
      <w:r>
        <w:rPr>
          <w:rFonts w:hint="eastAsia" w:ascii="宋体" w:hAnsi="宋体"/>
          <w:szCs w:val="21"/>
          <w:highlight w:val="none"/>
        </w:rPr>
        <w:t xml:space="preserve">    (2)被安庆市行政区域内公共资源交易监管部门限制投标资格且处于有效期内；</w:t>
      </w:r>
    </w:p>
    <w:p>
      <w:pPr>
        <w:widowControl/>
        <w:spacing w:line="500" w:lineRule="exact"/>
        <w:jc w:val="left"/>
        <w:rPr>
          <w:rFonts w:ascii="宋体" w:hAnsi="宋体"/>
          <w:szCs w:val="21"/>
          <w:highlight w:val="none"/>
        </w:rPr>
      </w:pPr>
      <w:r>
        <w:rPr>
          <w:rFonts w:hint="eastAsia" w:ascii="宋体" w:hAnsi="宋体"/>
          <w:szCs w:val="21"/>
          <w:highlight w:val="none"/>
        </w:rPr>
        <w:t xml:space="preserve">    (3)财产被接管或冻结可能影响本项目正常实施的；</w:t>
      </w:r>
    </w:p>
    <w:p>
      <w:pPr>
        <w:spacing w:line="360" w:lineRule="auto"/>
        <w:ind w:firstLine="420" w:firstLineChars="200"/>
        <w:rPr>
          <w:rFonts w:ascii="宋体" w:hAnsi="宋体" w:cs="宋体"/>
          <w:szCs w:val="21"/>
          <w:highlight w:val="none"/>
        </w:rPr>
      </w:pPr>
      <w:r>
        <w:rPr>
          <w:rFonts w:hint="eastAsia" w:ascii="宋体" w:hAnsi="宋体"/>
          <w:szCs w:val="21"/>
          <w:highlight w:val="none"/>
        </w:rPr>
        <w:t>(4)法律、法规规定及磋商文件约定的其他情形</w:t>
      </w:r>
      <w:r>
        <w:rPr>
          <w:rFonts w:hint="eastAsia" w:ascii="宋体" w:hAnsi="宋体" w:cs="宋体"/>
          <w:szCs w:val="21"/>
          <w:highlight w:val="none"/>
        </w:rPr>
        <w:t>。</w:t>
      </w:r>
    </w:p>
    <w:p>
      <w:pPr>
        <w:widowControl/>
        <w:spacing w:line="500" w:lineRule="exact"/>
        <w:ind w:firstLine="420"/>
        <w:jc w:val="left"/>
        <w:rPr>
          <w:rFonts w:ascii="宋体" w:cs="宋体"/>
          <w:szCs w:val="21"/>
          <w:highlight w:val="none"/>
        </w:rPr>
      </w:pPr>
      <w:r>
        <w:rPr>
          <w:rFonts w:ascii="宋体" w:hAnsi="宋体"/>
          <w:szCs w:val="21"/>
          <w:highlight w:val="none"/>
        </w:rPr>
        <w:t>22.4 各级人民政府财政部门依法对参加政府采购活动的供应商作出的禁止参加政府采购活动等行政处罚决定在全国范围内生效。</w:t>
      </w:r>
      <w:r>
        <w:rPr>
          <w:rFonts w:hint="eastAsia" w:ascii="宋体" w:hAnsi="宋体"/>
          <w:szCs w:val="21"/>
          <w:highlight w:val="none"/>
        </w:rPr>
        <w:t>供应商受到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，其响应无效。</w:t>
      </w:r>
    </w:p>
    <w:p>
      <w:pPr>
        <w:pStyle w:val="5"/>
        <w:ind w:firstLine="551" w:firstLineChars="196"/>
        <w:rPr>
          <w:rFonts w:cs="宋体"/>
          <w:highlight w:val="none"/>
        </w:rPr>
      </w:pPr>
      <w:bookmarkStart w:id="76" w:name="_Toc22280"/>
      <w:bookmarkStart w:id="77" w:name="_Toc476584426"/>
      <w:r>
        <w:rPr>
          <w:rFonts w:hint="eastAsia" w:cs="宋体"/>
          <w:highlight w:val="none"/>
        </w:rPr>
        <w:t>六、评标</w:t>
      </w:r>
      <w:bookmarkEnd w:id="76"/>
      <w:bookmarkEnd w:id="77"/>
    </w:p>
    <w:p>
      <w:pPr>
        <w:spacing w:line="360" w:lineRule="auto"/>
        <w:ind w:firstLine="422" w:firstLineChars="200"/>
        <w:rPr>
          <w:rFonts w:ascii="宋体" w:cs="宋体"/>
          <w:szCs w:val="21"/>
          <w:highlight w:val="none"/>
        </w:rPr>
      </w:pPr>
      <w:r>
        <w:rPr>
          <w:rFonts w:ascii="宋体" w:hAnsi="宋体" w:cs="宋体"/>
          <w:b/>
          <w:szCs w:val="21"/>
          <w:highlight w:val="none"/>
        </w:rPr>
        <w:t>23</w:t>
      </w:r>
      <w:r>
        <w:rPr>
          <w:rFonts w:hint="eastAsia" w:ascii="宋体" w:hAnsi="宋体" w:cs="宋体"/>
          <w:b/>
          <w:szCs w:val="21"/>
          <w:highlight w:val="none"/>
        </w:rPr>
        <w:t>、磋商小组</w:t>
      </w:r>
      <w:r>
        <w:rPr>
          <w:rFonts w:hint="eastAsia" w:ascii="宋体" w:hAnsi="宋体" w:cs="宋体"/>
          <w:szCs w:val="21"/>
          <w:highlight w:val="none"/>
        </w:rPr>
        <w:t>：磋商</w:t>
      </w:r>
      <w:r>
        <w:rPr>
          <w:rFonts w:hint="eastAsia" w:ascii="宋体" w:hAnsi="宋体"/>
          <w:szCs w:val="21"/>
          <w:highlight w:val="none"/>
        </w:rPr>
        <w:t>小组依法组建，其中采购人代表</w:t>
      </w:r>
      <w:r>
        <w:rPr>
          <w:rFonts w:ascii="宋体" w:hAnsi="宋体"/>
          <w:szCs w:val="21"/>
          <w:highlight w:val="none"/>
        </w:rPr>
        <w:t>1</w:t>
      </w:r>
      <w:r>
        <w:rPr>
          <w:rFonts w:hint="eastAsia" w:ascii="宋体" w:hAnsi="宋体"/>
          <w:szCs w:val="21"/>
          <w:highlight w:val="none"/>
        </w:rPr>
        <w:t>人。</w:t>
      </w:r>
      <w:r>
        <w:rPr>
          <w:rFonts w:hint="eastAsia" w:ascii="宋体" w:hAnsi="宋体" w:cs="宋体"/>
          <w:szCs w:val="21"/>
          <w:highlight w:val="none"/>
        </w:rPr>
        <w:t>采购人代表不得担任磋商小组组长。磋商由磋商小组进行，评委应坚持公正、公平、诚实守信、实事求是、独立评标的原则。</w:t>
      </w:r>
    </w:p>
    <w:p>
      <w:pPr>
        <w:spacing w:line="360" w:lineRule="auto"/>
        <w:ind w:firstLine="422" w:firstLineChars="200"/>
        <w:rPr>
          <w:rFonts w:ascii="宋体" w:cs="宋体"/>
          <w:szCs w:val="21"/>
          <w:highlight w:val="none"/>
        </w:rPr>
      </w:pPr>
      <w:r>
        <w:rPr>
          <w:rFonts w:ascii="宋体" w:hAnsi="宋体" w:cs="宋体"/>
          <w:b/>
          <w:szCs w:val="21"/>
          <w:highlight w:val="none"/>
        </w:rPr>
        <w:t>24</w:t>
      </w:r>
      <w:r>
        <w:rPr>
          <w:rFonts w:hint="eastAsia" w:ascii="宋体" w:hAnsi="宋体" w:cs="宋体"/>
          <w:b/>
          <w:szCs w:val="21"/>
          <w:highlight w:val="none"/>
        </w:rPr>
        <w:t>、评标方法：</w:t>
      </w:r>
      <w:r>
        <w:rPr>
          <w:rFonts w:hint="eastAsia" w:ascii="宋体" w:hAnsi="宋体" w:cs="宋体"/>
          <w:szCs w:val="21"/>
          <w:highlight w:val="none"/>
        </w:rPr>
        <w:t>采用综合评分方法。</w:t>
      </w:r>
    </w:p>
    <w:p>
      <w:pPr>
        <w:spacing w:line="360" w:lineRule="auto"/>
        <w:ind w:firstLine="440"/>
        <w:jc w:val="left"/>
        <w:rPr>
          <w:rFonts w:ascii="宋体" w:cs="宋体"/>
          <w:b/>
          <w:szCs w:val="21"/>
          <w:highlight w:val="none"/>
        </w:rPr>
      </w:pPr>
      <w:r>
        <w:rPr>
          <w:rFonts w:ascii="宋体" w:hAnsi="宋体" w:cs="宋体"/>
          <w:b/>
          <w:szCs w:val="21"/>
          <w:highlight w:val="none"/>
        </w:rPr>
        <w:t>25</w:t>
      </w:r>
      <w:r>
        <w:rPr>
          <w:rFonts w:hint="eastAsia" w:ascii="宋体" w:hAnsi="宋体" w:cs="宋体"/>
          <w:b/>
          <w:szCs w:val="21"/>
          <w:highlight w:val="none"/>
        </w:rPr>
        <w:t>、评标程序：</w:t>
      </w:r>
      <w:r>
        <w:rPr>
          <w:rFonts w:hint="eastAsia" w:ascii="宋体" w:hAnsi="宋体" w:cs="宋体"/>
          <w:szCs w:val="21"/>
          <w:highlight w:val="none"/>
        </w:rPr>
        <w:t>评标包括响应文件符合性审查、磋商、最后报价、综合评分和确定成交候选人排序。</w:t>
      </w:r>
    </w:p>
    <w:p>
      <w:pPr>
        <w:spacing w:line="360" w:lineRule="auto"/>
        <w:rPr>
          <w:rFonts w:ascii="宋体" w:cs="宋体"/>
          <w:szCs w:val="21"/>
          <w:highlight w:val="none"/>
        </w:rPr>
      </w:pPr>
      <w:r>
        <w:rPr>
          <w:rFonts w:ascii="宋体" w:hAnsi="宋体" w:cs="宋体"/>
          <w:szCs w:val="21"/>
          <w:highlight w:val="none"/>
        </w:rPr>
        <w:t xml:space="preserve">    </w:t>
      </w:r>
      <w:r>
        <w:rPr>
          <w:rFonts w:ascii="宋体" w:hAnsi="宋体" w:cs="宋体"/>
          <w:b/>
          <w:bCs/>
          <w:szCs w:val="21"/>
          <w:highlight w:val="none"/>
        </w:rPr>
        <w:t>25.1</w:t>
      </w:r>
      <w:r>
        <w:rPr>
          <w:rFonts w:hint="eastAsia" w:ascii="宋体" w:hAnsi="宋体" w:cs="宋体"/>
          <w:b/>
          <w:bCs/>
          <w:szCs w:val="21"/>
          <w:highlight w:val="none"/>
        </w:rPr>
        <w:t>、响应文件</w:t>
      </w:r>
      <w:r>
        <w:rPr>
          <w:rFonts w:hint="eastAsia" w:ascii="宋体" w:hAnsi="宋体" w:cs="宋体"/>
          <w:b/>
          <w:bCs/>
          <w:highlight w:val="none"/>
        </w:rPr>
        <w:t>符合性审查</w:t>
      </w:r>
      <w:r>
        <w:rPr>
          <w:rFonts w:hint="eastAsia" w:ascii="宋体" w:hAnsi="宋体" w:cs="宋体"/>
          <w:b/>
          <w:bCs/>
          <w:szCs w:val="21"/>
          <w:highlight w:val="none"/>
        </w:rPr>
        <w:t>，包括但不限于以下内容：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hint="eastAsia" w:ascii="宋体" w:hAnsi="宋体"/>
                <w:szCs w:val="21"/>
                <w:highlight w:val="none"/>
              </w:rPr>
              <w:t>序号</w:t>
            </w:r>
          </w:p>
        </w:tc>
        <w:tc>
          <w:tcPr>
            <w:tcW w:w="6282" w:type="dxa"/>
          </w:tcPr>
          <w:p>
            <w:pPr>
              <w:spacing w:line="360" w:lineRule="auto"/>
              <w:jc w:val="center"/>
              <w:rPr>
                <w:rFonts w:ascii="宋体"/>
                <w:szCs w:val="21"/>
                <w:highlight w:val="none"/>
              </w:rPr>
            </w:pPr>
            <w:r>
              <w:rPr>
                <w:rFonts w:hint="eastAsia" w:ascii="宋体" w:hAnsi="宋体"/>
                <w:szCs w:val="21"/>
                <w:highlight w:val="none"/>
              </w:rPr>
              <w:t>审查内容</w:t>
            </w:r>
          </w:p>
        </w:tc>
        <w:tc>
          <w:tcPr>
            <w:tcW w:w="1440" w:type="dxa"/>
          </w:tcPr>
          <w:p>
            <w:pPr>
              <w:spacing w:line="360" w:lineRule="auto"/>
              <w:jc w:val="center"/>
              <w:rPr>
                <w:rFonts w:ascii="宋体"/>
                <w:szCs w:val="21"/>
                <w:highlight w:val="none"/>
              </w:rPr>
            </w:pPr>
            <w:r>
              <w:rPr>
                <w:rFonts w:hint="eastAsia" w:ascii="宋体" w:hAnsi="宋体"/>
                <w:szCs w:val="21"/>
                <w:highlight w:val="none"/>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ascii="宋体" w:hAnsi="宋体"/>
                <w:szCs w:val="21"/>
                <w:highlight w:val="none"/>
              </w:rPr>
              <w:t>1</w:t>
            </w:r>
          </w:p>
        </w:tc>
        <w:tc>
          <w:tcPr>
            <w:tcW w:w="6282" w:type="dxa"/>
          </w:tcPr>
          <w:p>
            <w:pPr>
              <w:spacing w:line="360" w:lineRule="auto"/>
              <w:rPr>
                <w:rFonts w:ascii="宋体"/>
                <w:szCs w:val="21"/>
                <w:highlight w:val="none"/>
              </w:rPr>
            </w:pPr>
            <w:r>
              <w:rPr>
                <w:rFonts w:hint="eastAsia" w:ascii="宋体" w:hAnsi="宋体"/>
                <w:szCs w:val="21"/>
                <w:highlight w:val="none"/>
              </w:rPr>
              <w:t>供应商资格是否符合磋商文件要求</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ascii="宋体" w:hAnsi="宋体"/>
                <w:szCs w:val="21"/>
                <w:highlight w:val="none"/>
              </w:rPr>
              <w:t>2</w:t>
            </w:r>
          </w:p>
        </w:tc>
        <w:tc>
          <w:tcPr>
            <w:tcW w:w="6282" w:type="dxa"/>
          </w:tcPr>
          <w:p>
            <w:pPr>
              <w:spacing w:line="360" w:lineRule="auto"/>
              <w:rPr>
                <w:rFonts w:ascii="宋体"/>
                <w:szCs w:val="21"/>
                <w:highlight w:val="none"/>
              </w:rPr>
            </w:pPr>
            <w:r>
              <w:rPr>
                <w:rFonts w:hint="eastAsia" w:ascii="宋体" w:hAnsi="宋体"/>
                <w:szCs w:val="21"/>
                <w:highlight w:val="none"/>
              </w:rPr>
              <w:t>响应文件是否按磋商文件的要求进行编制、签署和标记</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ascii="宋体" w:hAnsi="宋体"/>
                <w:szCs w:val="21"/>
                <w:highlight w:val="none"/>
              </w:rPr>
              <w:t>3</w:t>
            </w:r>
          </w:p>
        </w:tc>
        <w:tc>
          <w:tcPr>
            <w:tcW w:w="6282" w:type="dxa"/>
          </w:tcPr>
          <w:p>
            <w:pPr>
              <w:spacing w:line="360" w:lineRule="auto"/>
              <w:rPr>
                <w:rFonts w:ascii="宋体"/>
                <w:szCs w:val="21"/>
                <w:highlight w:val="none"/>
              </w:rPr>
            </w:pPr>
            <w:r>
              <w:rPr>
                <w:rFonts w:hint="eastAsia" w:ascii="宋体" w:hAnsi="宋体"/>
                <w:szCs w:val="21"/>
                <w:highlight w:val="none"/>
              </w:rPr>
              <w:t>磋商文件要求提交的各种资格证明文件是否真实、完整、合法、有效</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pPr>
              <w:spacing w:line="360" w:lineRule="auto"/>
              <w:jc w:val="center"/>
              <w:rPr>
                <w:rFonts w:ascii="宋体"/>
                <w:szCs w:val="21"/>
                <w:highlight w:val="none"/>
              </w:rPr>
            </w:pPr>
            <w:r>
              <w:rPr>
                <w:rFonts w:hint="eastAsia" w:ascii="宋体"/>
                <w:szCs w:val="21"/>
                <w:highlight w:val="none"/>
              </w:rPr>
              <w:t>4</w:t>
            </w:r>
          </w:p>
        </w:tc>
        <w:tc>
          <w:tcPr>
            <w:tcW w:w="6282" w:type="dxa"/>
          </w:tcPr>
          <w:p>
            <w:pPr>
              <w:spacing w:line="360" w:lineRule="auto"/>
              <w:rPr>
                <w:rFonts w:ascii="宋体"/>
                <w:szCs w:val="21"/>
                <w:highlight w:val="none"/>
              </w:rPr>
            </w:pPr>
            <w:r>
              <w:rPr>
                <w:rFonts w:hint="eastAsia" w:ascii="宋体" w:hAnsi="宋体"/>
                <w:szCs w:val="21"/>
                <w:highlight w:val="none"/>
              </w:rPr>
              <w:t>所提供的服务是否有缺少</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hint="eastAsia" w:ascii="宋体"/>
                <w:szCs w:val="21"/>
                <w:highlight w:val="none"/>
              </w:rPr>
              <w:t>5</w:t>
            </w:r>
          </w:p>
        </w:tc>
        <w:tc>
          <w:tcPr>
            <w:tcW w:w="6282" w:type="dxa"/>
          </w:tcPr>
          <w:p>
            <w:pPr>
              <w:spacing w:line="360" w:lineRule="auto"/>
              <w:rPr>
                <w:rFonts w:ascii="宋体"/>
                <w:szCs w:val="21"/>
                <w:highlight w:val="none"/>
              </w:rPr>
            </w:pPr>
            <w:r>
              <w:rPr>
                <w:rFonts w:hint="eastAsia" w:ascii="宋体" w:hAnsi="宋体"/>
                <w:szCs w:val="21"/>
                <w:highlight w:val="none"/>
              </w:rPr>
              <w:t>磋商响应</w:t>
            </w:r>
            <w:r>
              <w:rPr>
                <w:rFonts w:hint="eastAsia" w:ascii="宋体" w:hAnsi="宋体" w:cs="宋体"/>
                <w:szCs w:val="21"/>
                <w:highlight w:val="none"/>
              </w:rPr>
              <w:t>服务内容及质量是否完全响应或优于</w:t>
            </w:r>
            <w:r>
              <w:rPr>
                <w:rFonts w:hint="eastAsia" w:ascii="宋体" w:hAnsi="宋体"/>
                <w:szCs w:val="21"/>
                <w:highlight w:val="none"/>
              </w:rPr>
              <w:t>磋商文件要求</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hint="eastAsia" w:ascii="宋体"/>
                <w:szCs w:val="21"/>
                <w:highlight w:val="none"/>
              </w:rPr>
              <w:t>6</w:t>
            </w:r>
          </w:p>
        </w:tc>
        <w:tc>
          <w:tcPr>
            <w:tcW w:w="6282" w:type="dxa"/>
          </w:tcPr>
          <w:p>
            <w:pPr>
              <w:spacing w:line="360" w:lineRule="auto"/>
              <w:rPr>
                <w:rFonts w:ascii="宋体"/>
                <w:szCs w:val="21"/>
                <w:highlight w:val="none"/>
              </w:rPr>
            </w:pPr>
            <w:r>
              <w:rPr>
                <w:rFonts w:hint="eastAsia" w:ascii="宋体" w:hAnsi="宋体"/>
                <w:szCs w:val="21"/>
                <w:highlight w:val="none"/>
              </w:rPr>
              <w:t>服务及技术方案是否完整、可行且完全响应或优于磋商文件要求</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hint="eastAsia" w:ascii="宋体"/>
                <w:szCs w:val="21"/>
                <w:highlight w:val="none"/>
              </w:rPr>
              <w:t>7</w:t>
            </w:r>
          </w:p>
        </w:tc>
        <w:tc>
          <w:tcPr>
            <w:tcW w:w="6282" w:type="dxa"/>
          </w:tcPr>
          <w:p>
            <w:pPr>
              <w:spacing w:line="360" w:lineRule="auto"/>
              <w:rPr>
                <w:rFonts w:ascii="宋体"/>
                <w:szCs w:val="21"/>
                <w:highlight w:val="none"/>
              </w:rPr>
            </w:pPr>
            <w:r>
              <w:rPr>
                <w:rFonts w:hint="eastAsia" w:ascii="宋体" w:hAnsi="宋体"/>
                <w:szCs w:val="21"/>
                <w:highlight w:val="none"/>
              </w:rPr>
              <w:t>响应文件对法律、法规和竞争性磋商文件其他明确要求的符合性</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Borders>
              <w:bottom w:val="single" w:color="auto" w:sz="4" w:space="0"/>
            </w:tcBorders>
          </w:tcPr>
          <w:p>
            <w:pPr>
              <w:spacing w:line="360" w:lineRule="auto"/>
              <w:jc w:val="center"/>
              <w:rPr>
                <w:rFonts w:ascii="宋体"/>
                <w:szCs w:val="21"/>
                <w:highlight w:val="none"/>
              </w:rPr>
            </w:pPr>
            <w:r>
              <w:rPr>
                <w:rFonts w:hint="eastAsia" w:ascii="宋体"/>
                <w:szCs w:val="21"/>
                <w:highlight w:val="none"/>
              </w:rPr>
              <w:t>8</w:t>
            </w:r>
          </w:p>
        </w:tc>
        <w:tc>
          <w:tcPr>
            <w:tcW w:w="6282" w:type="dxa"/>
            <w:tcBorders>
              <w:bottom w:val="single" w:color="auto" w:sz="4" w:space="0"/>
            </w:tcBorders>
          </w:tcPr>
          <w:p>
            <w:pPr>
              <w:spacing w:line="360" w:lineRule="auto"/>
              <w:rPr>
                <w:rFonts w:ascii="宋体"/>
                <w:szCs w:val="21"/>
                <w:highlight w:val="none"/>
              </w:rPr>
            </w:pPr>
            <w:r>
              <w:rPr>
                <w:rFonts w:hint="eastAsia" w:ascii="Dotum" w:hAnsi="Dotum"/>
                <w:szCs w:val="21"/>
                <w:highlight w:val="none"/>
              </w:rPr>
              <w:t>单位负责人为同一人或者存在控股、管理关系的不同单位是否同时参加本项目响应</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highlight w:val="none"/>
              </w:rPr>
            </w:pPr>
            <w:r>
              <w:rPr>
                <w:rFonts w:hint="eastAsia" w:ascii="宋体"/>
                <w:szCs w:val="21"/>
                <w:highlight w:val="none"/>
              </w:rPr>
              <w:t>9</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highlight w:val="none"/>
              </w:rPr>
            </w:pPr>
            <w:r>
              <w:rPr>
                <w:rFonts w:hint="eastAsia" w:ascii="Dotum" w:hAnsi="Dotum"/>
                <w:szCs w:val="21"/>
                <w:highlight w:val="none"/>
              </w:rPr>
              <w:t>响应文件是否有采购人不能接受的条件</w:t>
            </w:r>
          </w:p>
        </w:tc>
        <w:tc>
          <w:tcPr>
            <w:tcW w:w="1440" w:type="dxa"/>
            <w:tcBorders>
              <w:left w:val="single" w:color="auto" w:sz="4" w:space="0"/>
            </w:tcBorders>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highlight w:val="none"/>
              </w:rPr>
            </w:pPr>
            <w:r>
              <w:rPr>
                <w:rFonts w:hint="eastAsia" w:ascii="宋体" w:hAnsi="宋体"/>
                <w:szCs w:val="21"/>
                <w:highlight w:val="none"/>
              </w:rPr>
              <w:t>10</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highlight w:val="none"/>
              </w:rPr>
            </w:pPr>
            <w:r>
              <w:rPr>
                <w:rFonts w:hint="eastAsia" w:ascii="Dotum" w:hAnsi="Dotum"/>
                <w:szCs w:val="21"/>
                <w:highlight w:val="none"/>
              </w:rPr>
              <w:t>响应文件是否存在磋商文件中约定的无效响应文件的其他情况</w:t>
            </w:r>
          </w:p>
        </w:tc>
        <w:tc>
          <w:tcPr>
            <w:tcW w:w="1440" w:type="dxa"/>
            <w:tcBorders>
              <w:left w:val="single" w:color="auto" w:sz="4" w:space="0"/>
            </w:tcBorders>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highlight w:val="none"/>
              </w:rPr>
            </w:pPr>
            <w:r>
              <w:rPr>
                <w:rFonts w:hint="eastAsia" w:ascii="Dotum" w:hAnsi="Dotum"/>
                <w:szCs w:val="21"/>
                <w:highlight w:val="none"/>
              </w:rPr>
              <w:t>响应文件是否符合磋商文件</w:t>
            </w:r>
          </w:p>
        </w:tc>
        <w:tc>
          <w:tcPr>
            <w:tcW w:w="1440" w:type="dxa"/>
            <w:tcBorders>
              <w:left w:val="single" w:color="auto" w:sz="4" w:space="0"/>
            </w:tcBorders>
          </w:tcPr>
          <w:p>
            <w:pPr>
              <w:spacing w:line="360" w:lineRule="auto"/>
              <w:rPr>
                <w:rFonts w:ascii="宋体"/>
                <w:szCs w:val="21"/>
                <w:highlight w:val="none"/>
              </w:rPr>
            </w:pPr>
          </w:p>
        </w:tc>
      </w:tr>
    </w:tbl>
    <w:p>
      <w:pPr>
        <w:widowControl/>
        <w:spacing w:line="360" w:lineRule="auto"/>
        <w:ind w:firstLine="405"/>
        <w:jc w:val="left"/>
        <w:rPr>
          <w:rFonts w:ascii="宋体" w:cs="宋体"/>
          <w:b/>
          <w:szCs w:val="21"/>
          <w:highlight w:val="none"/>
        </w:rPr>
      </w:pPr>
      <w:r>
        <w:rPr>
          <w:rFonts w:hint="eastAsia" w:ascii="宋体" w:hAnsi="宋体" w:cs="宋体"/>
          <w:b/>
          <w:szCs w:val="21"/>
          <w:highlight w:val="none"/>
        </w:rPr>
        <w:t>备注</w:t>
      </w:r>
      <w:r>
        <w:rPr>
          <w:rFonts w:hint="eastAsia" w:ascii="宋体" w:cs="宋体"/>
          <w:b/>
          <w:szCs w:val="21"/>
          <w:highlight w:val="none"/>
        </w:rPr>
        <w:t>：</w:t>
      </w:r>
      <w:r>
        <w:rPr>
          <w:rFonts w:hint="eastAsia" w:ascii="宋体" w:hAnsi="宋体"/>
          <w:b/>
          <w:szCs w:val="21"/>
          <w:highlight w:val="none"/>
        </w:rPr>
        <w:t>磋商文件要求（评分细则要求的除外）在响应文件中提供复印件或影印件或扫描件的，若在响应文件中未提供响应复印件或影印件或扫描件，由成交人在签订合同前提交给采购人，否则视为成交人自动放弃成交资格。</w:t>
      </w:r>
    </w:p>
    <w:p>
      <w:pPr>
        <w:spacing w:line="360" w:lineRule="auto"/>
        <w:ind w:firstLine="413" w:firstLineChars="196"/>
        <w:rPr>
          <w:rFonts w:ascii="宋体" w:hAnsi="宋体"/>
          <w:b/>
          <w:szCs w:val="21"/>
          <w:highlight w:val="none"/>
        </w:rPr>
      </w:pPr>
      <w:r>
        <w:rPr>
          <w:rFonts w:ascii="宋体" w:hAnsi="宋体"/>
          <w:b/>
          <w:szCs w:val="21"/>
          <w:highlight w:val="none"/>
        </w:rPr>
        <w:t xml:space="preserve"> 25.2</w:t>
      </w:r>
      <w:r>
        <w:rPr>
          <w:rFonts w:hint="eastAsia" w:ascii="宋体" w:hAnsi="宋体"/>
          <w:b/>
          <w:szCs w:val="21"/>
          <w:highlight w:val="none"/>
        </w:rPr>
        <w:t>、磋商</w:t>
      </w:r>
    </w:p>
    <w:p>
      <w:pPr>
        <w:adjustRightInd w:val="0"/>
        <w:spacing w:line="360" w:lineRule="auto"/>
        <w:textAlignment w:val="baseline"/>
        <w:rPr>
          <w:szCs w:val="21"/>
          <w:highlight w:val="none"/>
        </w:rPr>
      </w:pPr>
      <w:r>
        <w:rPr>
          <w:rFonts w:ascii="宋体" w:hAnsi="宋体"/>
          <w:szCs w:val="21"/>
          <w:highlight w:val="none"/>
        </w:rPr>
        <w:t xml:space="preserve">     25.2.1</w:t>
      </w:r>
      <w:r>
        <w:rPr>
          <w:rFonts w:hint="eastAsia" w:ascii="宋体" w:hAnsi="宋体"/>
          <w:szCs w:val="21"/>
          <w:highlight w:val="none"/>
        </w:rPr>
        <w:t>所</w:t>
      </w:r>
      <w:r>
        <w:rPr>
          <w:rFonts w:hint="eastAsia"/>
          <w:szCs w:val="21"/>
          <w:highlight w:val="none"/>
        </w:rPr>
        <w:t>有通过符合性审查的供应商均可以参加磋商。</w:t>
      </w:r>
      <w:r>
        <w:rPr>
          <w:rFonts w:hint="eastAsia" w:ascii="宋体" w:hAnsi="宋体"/>
          <w:szCs w:val="21"/>
          <w:highlight w:val="none"/>
        </w:rPr>
        <w:t>磋商小组所有成员应当集中与单一供应商分别进行磋商，给予每个正在参加磋商的供应商相同的机会。</w:t>
      </w:r>
      <w:r>
        <w:rPr>
          <w:rFonts w:hint="eastAsia"/>
          <w:szCs w:val="21"/>
          <w:highlight w:val="none"/>
        </w:rPr>
        <w:t>磋商内容为</w:t>
      </w:r>
      <w:r>
        <w:rPr>
          <w:rFonts w:hint="eastAsia" w:hAnsi="宋体" w:cs="宋体"/>
          <w:szCs w:val="21"/>
          <w:highlight w:val="none"/>
        </w:rPr>
        <w:t>根据磋商文件要求，就供应商</w:t>
      </w:r>
      <w:r>
        <w:rPr>
          <w:rFonts w:hint="eastAsia"/>
          <w:szCs w:val="21"/>
          <w:highlight w:val="none"/>
        </w:rPr>
        <w:t>响应文件中提供的方案等进行磋商。</w:t>
      </w:r>
    </w:p>
    <w:p>
      <w:pPr>
        <w:adjustRightInd w:val="0"/>
        <w:spacing w:line="480" w:lineRule="exact"/>
        <w:ind w:left="178" w:leftChars="85" w:firstLine="420" w:firstLineChars="200"/>
        <w:textAlignment w:val="baseline"/>
        <w:rPr>
          <w:rFonts w:ascii="宋体" w:hAnsi="宋体"/>
          <w:szCs w:val="21"/>
          <w:highlight w:val="none"/>
        </w:rPr>
      </w:pPr>
      <w:r>
        <w:rPr>
          <w:rFonts w:ascii="宋体" w:hAnsi="宋体"/>
          <w:szCs w:val="21"/>
          <w:highlight w:val="none"/>
        </w:rPr>
        <w:t>25.2.2</w:t>
      </w:r>
      <w:r>
        <w:rPr>
          <w:rFonts w:hint="eastAsia" w:ascii="宋体" w:hAnsi="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highlight w:val="none"/>
        </w:rPr>
        <w:t xml:space="preserve"> </w:t>
      </w:r>
    </w:p>
    <w:p>
      <w:pPr>
        <w:adjustRightInd w:val="0"/>
        <w:spacing w:line="480" w:lineRule="exact"/>
        <w:ind w:left="178" w:leftChars="85" w:firstLine="420" w:firstLineChars="200"/>
        <w:textAlignment w:val="baseline"/>
        <w:rPr>
          <w:rFonts w:ascii="宋体" w:hAnsi="宋体"/>
          <w:szCs w:val="21"/>
          <w:highlight w:val="none"/>
        </w:rPr>
      </w:pPr>
      <w:r>
        <w:rPr>
          <w:rFonts w:ascii="宋体" w:hAnsi="宋体"/>
          <w:szCs w:val="21"/>
          <w:highlight w:val="none"/>
        </w:rPr>
        <w:t>25.2.3</w:t>
      </w:r>
      <w:r>
        <w:rPr>
          <w:rFonts w:hint="eastAsia" w:ascii="宋体" w:hAnsi="宋体"/>
          <w:szCs w:val="21"/>
          <w:highlight w:val="none"/>
        </w:rPr>
        <w:t>对磋商文件作出的实质性变动是磋商文件的有效组成部分，磋商小组及时以书面形式同时通知所有参加磋商的供应商。</w:t>
      </w:r>
      <w:r>
        <w:rPr>
          <w:rFonts w:ascii="宋体" w:hAnsi="宋体"/>
          <w:szCs w:val="21"/>
          <w:highlight w:val="none"/>
        </w:rPr>
        <w:t xml:space="preserve"> </w:t>
      </w:r>
    </w:p>
    <w:p>
      <w:pPr>
        <w:adjustRightInd w:val="0"/>
        <w:spacing w:line="480" w:lineRule="exact"/>
        <w:ind w:left="178" w:leftChars="85" w:firstLine="420" w:firstLineChars="200"/>
        <w:textAlignment w:val="baseline"/>
        <w:rPr>
          <w:szCs w:val="21"/>
          <w:highlight w:val="none"/>
        </w:rPr>
      </w:pPr>
      <w:r>
        <w:rPr>
          <w:rFonts w:ascii="宋体" w:hAnsi="宋体"/>
          <w:szCs w:val="21"/>
          <w:highlight w:val="none"/>
        </w:rPr>
        <w:t>25.2.4</w:t>
      </w:r>
      <w:r>
        <w:rPr>
          <w:rFonts w:hint="eastAsia" w:ascii="宋体" w:hAnsi="宋体"/>
          <w:szCs w:val="21"/>
          <w:highlight w:val="none"/>
        </w:rPr>
        <w:t>供应商按照磋商文件的变动情况和磋商小组的要求自主决定是否修改响应文件，如修改响应文件，</w:t>
      </w:r>
      <w:r>
        <w:rPr>
          <w:rFonts w:hint="eastAsia"/>
          <w:szCs w:val="21"/>
          <w:highlight w:val="none"/>
        </w:rPr>
        <w:t>供应商应当按照磋商文件的变动情况和磋商小组的要求重新提交响应文件，并由其法定代表人或授权代表签字或者加盖公章。由授权代表签字的，</w:t>
      </w:r>
      <w:r>
        <w:rPr>
          <w:rFonts w:hint="eastAsia"/>
          <w:szCs w:val="21"/>
          <w:highlight w:val="none"/>
        </w:rPr>
        <w:t>应当附授权书。</w:t>
      </w:r>
    </w:p>
    <w:p>
      <w:pPr>
        <w:adjustRightInd w:val="0"/>
        <w:spacing w:line="480" w:lineRule="exact"/>
        <w:ind w:left="178" w:leftChars="85" w:firstLine="422" w:firstLineChars="200"/>
        <w:textAlignment w:val="baseline"/>
        <w:rPr>
          <w:rFonts w:ascii="宋体"/>
          <w:b/>
          <w:bCs/>
          <w:szCs w:val="21"/>
          <w:highlight w:val="none"/>
        </w:rPr>
      </w:pPr>
      <w:r>
        <w:rPr>
          <w:rFonts w:ascii="宋体" w:hAnsi="宋体"/>
          <w:b/>
          <w:bCs/>
          <w:szCs w:val="21"/>
          <w:highlight w:val="none"/>
        </w:rPr>
        <w:t>25.3</w:t>
      </w:r>
      <w:r>
        <w:rPr>
          <w:rFonts w:hint="eastAsia" w:ascii="宋体" w:hAnsi="宋体"/>
          <w:b/>
          <w:bCs/>
          <w:szCs w:val="21"/>
          <w:highlight w:val="none"/>
        </w:rPr>
        <w:t>最后报价</w:t>
      </w:r>
    </w:p>
    <w:p>
      <w:pPr>
        <w:adjustRightInd w:val="0"/>
        <w:spacing w:line="480" w:lineRule="exact"/>
        <w:ind w:left="178" w:leftChars="85" w:firstLine="420" w:firstLineChars="200"/>
        <w:textAlignment w:val="baseline"/>
        <w:rPr>
          <w:rFonts w:ascii="宋体" w:hAnsi="宋体"/>
          <w:szCs w:val="21"/>
          <w:highlight w:val="none"/>
        </w:rPr>
      </w:pPr>
      <w:r>
        <w:rPr>
          <w:rFonts w:hint="eastAsia" w:ascii="宋体" w:hAnsi="宋体"/>
          <w:szCs w:val="21"/>
          <w:highlight w:val="none"/>
        </w:rPr>
        <w:t>若经磋商后需更改响应文件报价部分的，允许供应商作最后修改，修改结果是供应商响应文件的有效组成部分。最后修改必须由其法定代表人或授权代表签字或者加盖公章。</w:t>
      </w:r>
    </w:p>
    <w:p>
      <w:pPr>
        <w:widowControl/>
        <w:spacing w:line="500" w:lineRule="exact"/>
        <w:ind w:left="210" w:leftChars="100" w:firstLine="422" w:firstLineChars="200"/>
        <w:jc w:val="left"/>
        <w:rPr>
          <w:rFonts w:ascii="宋体" w:hAnsi="宋体"/>
          <w:szCs w:val="21"/>
          <w:highlight w:val="none"/>
        </w:rPr>
      </w:pPr>
      <w:r>
        <w:rPr>
          <w:rFonts w:hint="eastAsia" w:ascii="宋体" w:hAnsi="宋体"/>
          <w:b/>
          <w:szCs w:val="21"/>
          <w:highlight w:val="none"/>
        </w:rPr>
        <w:t>供应商磋商响应报价与公布的预算价（或最高磋商限价)相比降幅过小，或供应商磋商响应报价明显缺乏竞争性的，磋商小组可以否决所有磋商响应文件。</w:t>
      </w:r>
    </w:p>
    <w:p>
      <w:pPr>
        <w:spacing w:line="480" w:lineRule="exact"/>
        <w:ind w:firstLine="422" w:firstLineChars="200"/>
        <w:rPr>
          <w:rFonts w:ascii="宋体"/>
          <w:b/>
          <w:bCs/>
          <w:szCs w:val="21"/>
          <w:highlight w:val="none"/>
        </w:rPr>
      </w:pPr>
      <w:r>
        <w:rPr>
          <w:rFonts w:ascii="宋体" w:hAnsi="宋体"/>
          <w:b/>
          <w:bCs/>
          <w:szCs w:val="21"/>
          <w:highlight w:val="none"/>
        </w:rPr>
        <w:t>25.4</w:t>
      </w:r>
      <w:r>
        <w:rPr>
          <w:rFonts w:hint="eastAsia" w:ascii="宋体" w:hAnsi="宋体"/>
          <w:b/>
          <w:bCs/>
          <w:szCs w:val="21"/>
          <w:highlight w:val="none"/>
        </w:rPr>
        <w:t>综合评审</w:t>
      </w:r>
    </w:p>
    <w:p>
      <w:pPr>
        <w:spacing w:line="480" w:lineRule="exact"/>
        <w:ind w:firstLine="420" w:firstLineChars="200"/>
        <w:rPr>
          <w:rFonts w:ascii="宋体"/>
          <w:szCs w:val="21"/>
          <w:highlight w:val="none"/>
          <w:lang w:val="zh-CN"/>
        </w:rPr>
      </w:pPr>
      <w:r>
        <w:rPr>
          <w:rFonts w:ascii="宋体" w:hAnsi="宋体"/>
          <w:szCs w:val="21"/>
          <w:highlight w:val="none"/>
        </w:rPr>
        <w:t xml:space="preserve"> </w:t>
      </w:r>
      <w:r>
        <w:rPr>
          <w:rFonts w:hint="eastAsia" w:ascii="宋体" w:hAnsi="宋体"/>
          <w:szCs w:val="21"/>
          <w:highlight w:val="none"/>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hAnsi="宋体"/>
          <w:szCs w:val="21"/>
          <w:highlight w:val="none"/>
          <w:lang w:val="zh-CN"/>
        </w:rPr>
      </w:pPr>
      <w:r>
        <w:rPr>
          <w:rFonts w:hint="eastAsia" w:ascii="宋体" w:hAnsi="宋体"/>
          <w:szCs w:val="21"/>
          <w:highlight w:val="none"/>
          <w:lang w:val="zh-CN"/>
        </w:rPr>
        <w:t>评审办法：综合评分法，是指响应文件满足磋商文件全部实质性要求且按评审因素的量化指标评审得分最高的供应商为成交候选供应商的评审方法。</w:t>
      </w:r>
    </w:p>
    <w:tbl>
      <w:tblPr>
        <w:tblStyle w:val="60"/>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65"/>
        <w:gridCol w:w="6889"/>
        <w:gridCol w:w="641"/>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19" w:type="dxa"/>
            <w:shd w:val="clear" w:color="auto" w:fill="F1F1F1"/>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065" w:type="dxa"/>
            <w:shd w:val="clear" w:color="auto" w:fill="F1F1F1"/>
            <w:vAlign w:val="center"/>
          </w:tcPr>
          <w:p>
            <w:pPr>
              <w:jc w:val="center"/>
              <w:rPr>
                <w:rFonts w:ascii="宋体" w:hAnsi="宋体" w:cs="宋体"/>
                <w:b/>
                <w:szCs w:val="21"/>
                <w:highlight w:val="none"/>
              </w:rPr>
            </w:pPr>
            <w:r>
              <w:rPr>
                <w:rFonts w:hint="eastAsia" w:ascii="宋体" w:hAnsi="宋体" w:cs="宋体"/>
                <w:b/>
                <w:szCs w:val="21"/>
                <w:highlight w:val="none"/>
              </w:rPr>
              <w:t>评分内容</w:t>
            </w:r>
          </w:p>
        </w:tc>
        <w:tc>
          <w:tcPr>
            <w:tcW w:w="6889" w:type="dxa"/>
            <w:shd w:val="clear" w:color="auto" w:fill="F1F1F1"/>
            <w:vAlign w:val="center"/>
          </w:tcPr>
          <w:p>
            <w:pPr>
              <w:jc w:val="center"/>
              <w:rPr>
                <w:rFonts w:ascii="宋体" w:hAnsi="宋体" w:cs="宋体"/>
                <w:b/>
                <w:szCs w:val="21"/>
                <w:highlight w:val="none"/>
              </w:rPr>
            </w:pPr>
            <w:r>
              <w:rPr>
                <w:rFonts w:hint="eastAsia" w:ascii="宋体" w:hAnsi="宋体" w:cs="宋体"/>
                <w:b/>
                <w:szCs w:val="21"/>
                <w:highlight w:val="none"/>
              </w:rPr>
              <w:t>评分标准</w:t>
            </w:r>
          </w:p>
        </w:tc>
        <w:tc>
          <w:tcPr>
            <w:tcW w:w="641" w:type="dxa"/>
            <w:shd w:val="clear" w:color="auto" w:fill="F1F1F1"/>
            <w:vAlign w:val="center"/>
          </w:tcPr>
          <w:p>
            <w:pPr>
              <w:jc w:val="center"/>
              <w:rPr>
                <w:rFonts w:ascii="宋体" w:hAnsi="宋体" w:cs="宋体"/>
                <w:b/>
                <w:szCs w:val="21"/>
                <w:highlight w:val="none"/>
              </w:rPr>
            </w:pPr>
            <w:r>
              <w:rPr>
                <w:rFonts w:hint="eastAsia" w:ascii="宋体" w:hAnsi="宋体" w:cs="宋体"/>
                <w:b/>
                <w:szCs w:val="21"/>
                <w:highlight w:val="none"/>
              </w:rPr>
              <w:t>满分</w:t>
            </w:r>
          </w:p>
        </w:tc>
        <w:tc>
          <w:tcPr>
            <w:tcW w:w="729" w:type="dxa"/>
            <w:shd w:val="clear" w:color="auto" w:fill="F1F1F1"/>
            <w:vAlign w:val="center"/>
          </w:tcPr>
          <w:p>
            <w:pPr>
              <w:jc w:val="center"/>
              <w:rPr>
                <w:rFonts w:ascii="宋体" w:hAnsi="宋体" w:cs="宋体"/>
                <w:b/>
                <w:szCs w:val="21"/>
                <w:highlight w:val="none"/>
              </w:rPr>
            </w:pPr>
            <w:r>
              <w:rPr>
                <w:rFonts w:hint="eastAsia" w:ascii="宋体" w:hAnsi="宋体" w:cs="宋体"/>
                <w:b/>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1</w:t>
            </w:r>
          </w:p>
        </w:tc>
        <w:tc>
          <w:tcPr>
            <w:tcW w:w="1065"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服务方案</w:t>
            </w:r>
          </w:p>
        </w:tc>
        <w:tc>
          <w:tcPr>
            <w:tcW w:w="6889" w:type="dxa"/>
            <w:vAlign w:val="center"/>
          </w:tcPr>
          <w:p>
            <w:pPr>
              <w:spacing w:line="500" w:lineRule="exact"/>
              <w:rPr>
                <w:rFonts w:ascii="宋体" w:hAnsi="宋体" w:cs="宋体"/>
                <w:szCs w:val="21"/>
                <w:highlight w:val="none"/>
              </w:rPr>
            </w:pPr>
            <w:r>
              <w:rPr>
                <w:rFonts w:hint="eastAsia" w:ascii="宋体" w:hAnsi="宋体" w:cs="宋体"/>
                <w:szCs w:val="21"/>
                <w:highlight w:val="none"/>
              </w:rPr>
              <w:t>1、服务方案工作范围清晰，具有完整的测评服务方案、项目实施计划、项目管理方案、风险说明及风险规避处置措施，测评内容可行性合理。评委对各家服务方案进行横向比较：</w:t>
            </w:r>
          </w:p>
          <w:p>
            <w:pPr>
              <w:spacing w:line="500" w:lineRule="exact"/>
              <w:rPr>
                <w:rFonts w:ascii="宋体" w:hAnsi="宋体" w:cs="宋体"/>
                <w:szCs w:val="21"/>
                <w:highlight w:val="none"/>
              </w:rPr>
            </w:pPr>
            <w:r>
              <w:rPr>
                <w:rFonts w:hint="eastAsia" w:ascii="宋体" w:hAnsi="宋体" w:cs="宋体"/>
                <w:szCs w:val="21"/>
                <w:highlight w:val="none"/>
              </w:rPr>
              <w:t>①方案全面、合理、准确，能很好满足</w:t>
            </w:r>
            <w:r>
              <w:rPr>
                <w:rFonts w:hint="eastAsia" w:ascii="宋体" w:hAnsi="宋体" w:cs="宋体"/>
                <w:szCs w:val="21"/>
                <w:highlight w:val="none"/>
                <w:lang w:val="en-US" w:eastAsia="zh-CN"/>
              </w:rPr>
              <w:t>磋商</w:t>
            </w:r>
            <w:r>
              <w:rPr>
                <w:rFonts w:hint="eastAsia" w:ascii="宋体" w:hAnsi="宋体" w:cs="宋体"/>
                <w:szCs w:val="21"/>
                <w:highlight w:val="none"/>
              </w:rPr>
              <w:t>文件要求，得10分；</w:t>
            </w:r>
          </w:p>
          <w:p>
            <w:pPr>
              <w:spacing w:line="500" w:lineRule="exact"/>
              <w:rPr>
                <w:rFonts w:ascii="宋体" w:hAnsi="宋体" w:cs="宋体"/>
                <w:szCs w:val="21"/>
                <w:highlight w:val="none"/>
              </w:rPr>
            </w:pPr>
            <w:r>
              <w:rPr>
                <w:rFonts w:hint="eastAsia" w:ascii="宋体" w:hAnsi="宋体" w:cs="宋体"/>
                <w:szCs w:val="21"/>
                <w:highlight w:val="none"/>
              </w:rPr>
              <w:t>②方案较合理、准确，能较好满足</w:t>
            </w:r>
            <w:r>
              <w:rPr>
                <w:rFonts w:hint="eastAsia" w:ascii="宋体" w:hAnsi="宋体" w:cs="宋体"/>
                <w:szCs w:val="21"/>
                <w:highlight w:val="none"/>
                <w:lang w:val="en-US" w:eastAsia="zh-CN"/>
              </w:rPr>
              <w:t>磋商</w:t>
            </w:r>
            <w:r>
              <w:rPr>
                <w:rFonts w:hint="eastAsia" w:ascii="宋体" w:hAnsi="宋体" w:cs="宋体"/>
                <w:szCs w:val="21"/>
                <w:highlight w:val="none"/>
              </w:rPr>
              <w:t>文件要求，得8分；</w:t>
            </w:r>
          </w:p>
          <w:p>
            <w:pPr>
              <w:spacing w:line="500" w:lineRule="exact"/>
              <w:rPr>
                <w:rFonts w:ascii="宋体" w:hAnsi="宋体" w:cs="宋体"/>
                <w:szCs w:val="21"/>
                <w:highlight w:val="none"/>
              </w:rPr>
            </w:pPr>
            <w:r>
              <w:rPr>
                <w:rFonts w:hint="eastAsia" w:ascii="宋体" w:hAnsi="宋体" w:cs="宋体"/>
                <w:szCs w:val="21"/>
                <w:highlight w:val="none"/>
              </w:rPr>
              <w:t>③方案基本合理、准确，基本满足</w:t>
            </w:r>
            <w:r>
              <w:rPr>
                <w:rFonts w:hint="eastAsia" w:ascii="宋体" w:hAnsi="宋体" w:cs="宋体"/>
                <w:szCs w:val="21"/>
                <w:highlight w:val="none"/>
                <w:lang w:val="en-US" w:eastAsia="zh-CN"/>
              </w:rPr>
              <w:t>磋商</w:t>
            </w:r>
            <w:r>
              <w:rPr>
                <w:rFonts w:hint="eastAsia" w:ascii="宋体" w:hAnsi="宋体" w:cs="宋体"/>
                <w:szCs w:val="21"/>
                <w:highlight w:val="none"/>
              </w:rPr>
              <w:t>文件要求，得6分；</w:t>
            </w:r>
          </w:p>
          <w:p>
            <w:pPr>
              <w:spacing w:line="500" w:lineRule="exact"/>
              <w:rPr>
                <w:rFonts w:ascii="宋体" w:hAnsi="宋体" w:cs="宋体"/>
                <w:szCs w:val="21"/>
                <w:highlight w:val="none"/>
              </w:rPr>
            </w:pPr>
            <w:r>
              <w:rPr>
                <w:rFonts w:hint="eastAsia" w:ascii="宋体" w:hAnsi="宋体" w:cs="宋体"/>
                <w:szCs w:val="21"/>
                <w:highlight w:val="none"/>
              </w:rPr>
              <w:t>④差或未提供不得分。</w:t>
            </w:r>
          </w:p>
          <w:p>
            <w:pPr>
              <w:spacing w:line="500" w:lineRule="exact"/>
              <w:rPr>
                <w:rFonts w:ascii="宋体" w:hAnsi="宋体" w:cs="宋体"/>
                <w:szCs w:val="21"/>
                <w:highlight w:val="none"/>
              </w:rPr>
            </w:pPr>
            <w:r>
              <w:rPr>
                <w:rFonts w:hint="eastAsia" w:ascii="宋体" w:hAnsi="宋体" w:cs="宋体"/>
                <w:szCs w:val="21"/>
                <w:highlight w:val="none"/>
              </w:rPr>
              <w:t>2、培训宣贯方案：工作范围清晰，具有完整的培训计划、培训方案以及线上线下结合的培训方案和配套工具，提供实际培训、宣贯案例介绍。评委对各家培训宣贯方案进行横向比较：</w:t>
            </w:r>
          </w:p>
          <w:p>
            <w:pPr>
              <w:spacing w:line="500" w:lineRule="exact"/>
              <w:rPr>
                <w:rFonts w:ascii="宋体" w:hAnsi="宋体" w:cs="宋体"/>
                <w:szCs w:val="21"/>
                <w:highlight w:val="none"/>
              </w:rPr>
            </w:pPr>
            <w:r>
              <w:rPr>
                <w:rFonts w:hint="eastAsia" w:ascii="宋体" w:hAnsi="宋体" w:cs="宋体"/>
                <w:szCs w:val="21"/>
                <w:highlight w:val="none"/>
              </w:rPr>
              <w:t>①方案全面、合理、准确，能很好满足</w:t>
            </w:r>
            <w:r>
              <w:rPr>
                <w:rFonts w:hint="eastAsia" w:ascii="宋体" w:hAnsi="宋体" w:cs="宋体"/>
                <w:szCs w:val="21"/>
                <w:highlight w:val="none"/>
                <w:lang w:val="en-US" w:eastAsia="zh-CN"/>
              </w:rPr>
              <w:t>磋商</w:t>
            </w:r>
            <w:r>
              <w:rPr>
                <w:rFonts w:hint="eastAsia" w:ascii="宋体" w:hAnsi="宋体" w:cs="宋体"/>
                <w:szCs w:val="21"/>
                <w:highlight w:val="none"/>
              </w:rPr>
              <w:t>文件要求，得10分；</w:t>
            </w:r>
          </w:p>
          <w:p>
            <w:pPr>
              <w:spacing w:line="500" w:lineRule="exact"/>
              <w:rPr>
                <w:rFonts w:ascii="宋体" w:hAnsi="宋体" w:cs="宋体"/>
                <w:szCs w:val="21"/>
                <w:highlight w:val="none"/>
              </w:rPr>
            </w:pPr>
            <w:r>
              <w:rPr>
                <w:rFonts w:hint="eastAsia" w:ascii="宋体" w:hAnsi="宋体" w:cs="宋体"/>
                <w:szCs w:val="21"/>
                <w:highlight w:val="none"/>
              </w:rPr>
              <w:t>②方案较合理、准确，能较好满足</w:t>
            </w:r>
            <w:r>
              <w:rPr>
                <w:rFonts w:hint="eastAsia" w:ascii="宋体" w:hAnsi="宋体" w:cs="宋体"/>
                <w:szCs w:val="21"/>
                <w:highlight w:val="none"/>
                <w:lang w:val="en-US" w:eastAsia="zh-CN"/>
              </w:rPr>
              <w:t>磋商</w:t>
            </w:r>
            <w:r>
              <w:rPr>
                <w:rFonts w:hint="eastAsia" w:ascii="宋体" w:hAnsi="宋体" w:cs="宋体"/>
                <w:szCs w:val="21"/>
                <w:highlight w:val="none"/>
              </w:rPr>
              <w:t>文件要求，得8分；</w:t>
            </w:r>
          </w:p>
          <w:p>
            <w:pPr>
              <w:spacing w:line="500" w:lineRule="exact"/>
              <w:rPr>
                <w:rFonts w:ascii="宋体" w:hAnsi="宋体" w:cs="宋体"/>
                <w:szCs w:val="21"/>
                <w:highlight w:val="none"/>
              </w:rPr>
            </w:pPr>
            <w:r>
              <w:rPr>
                <w:rFonts w:hint="eastAsia" w:ascii="宋体" w:hAnsi="宋体" w:cs="宋体"/>
                <w:szCs w:val="21"/>
                <w:highlight w:val="none"/>
              </w:rPr>
              <w:t>③方案基本合理、准确，基本满足</w:t>
            </w:r>
            <w:r>
              <w:rPr>
                <w:rFonts w:hint="eastAsia" w:ascii="宋体" w:hAnsi="宋体" w:cs="宋体"/>
                <w:szCs w:val="21"/>
                <w:highlight w:val="none"/>
                <w:lang w:val="en-US" w:eastAsia="zh-CN"/>
              </w:rPr>
              <w:t>磋商</w:t>
            </w:r>
            <w:r>
              <w:rPr>
                <w:rFonts w:hint="eastAsia" w:ascii="宋体" w:hAnsi="宋体" w:cs="宋体"/>
                <w:szCs w:val="21"/>
                <w:highlight w:val="none"/>
              </w:rPr>
              <w:t>文件要求，得6分；</w:t>
            </w:r>
          </w:p>
          <w:p>
            <w:pPr>
              <w:spacing w:line="500" w:lineRule="exact"/>
              <w:rPr>
                <w:rFonts w:ascii="宋体" w:hAnsi="宋体" w:cs="宋体"/>
                <w:szCs w:val="21"/>
                <w:highlight w:val="none"/>
              </w:rPr>
            </w:pPr>
            <w:r>
              <w:rPr>
                <w:rFonts w:hint="eastAsia" w:ascii="宋体" w:hAnsi="宋体" w:cs="宋体"/>
                <w:szCs w:val="21"/>
                <w:highlight w:val="none"/>
              </w:rPr>
              <w:t>④差或未提供不得分。</w:t>
            </w:r>
          </w:p>
        </w:tc>
        <w:tc>
          <w:tcPr>
            <w:tcW w:w="641"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20</w:t>
            </w:r>
          </w:p>
        </w:tc>
        <w:tc>
          <w:tcPr>
            <w:tcW w:w="729" w:type="dxa"/>
            <w:vAlign w:val="center"/>
          </w:tcPr>
          <w:p>
            <w:pPr>
              <w:spacing w:line="5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vAlign w:val="center"/>
          </w:tcPr>
          <w:p>
            <w:pPr>
              <w:spacing w:line="500" w:lineRule="exact"/>
              <w:jc w:val="center"/>
              <w:rPr>
                <w:rFonts w:ascii="宋体" w:hAnsi="宋体" w:cs="宋体"/>
                <w:szCs w:val="21"/>
                <w:highlight w:val="none"/>
              </w:rPr>
            </w:pPr>
            <w:r>
              <w:rPr>
                <w:rFonts w:ascii="宋体" w:hAnsi="宋体" w:cs="宋体"/>
                <w:szCs w:val="21"/>
                <w:highlight w:val="none"/>
              </w:rPr>
              <w:t>2</w:t>
            </w:r>
          </w:p>
        </w:tc>
        <w:tc>
          <w:tcPr>
            <w:tcW w:w="1065"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供应商业绩</w:t>
            </w:r>
          </w:p>
        </w:tc>
        <w:tc>
          <w:tcPr>
            <w:tcW w:w="6889" w:type="dxa"/>
            <w:vAlign w:val="center"/>
          </w:tcPr>
          <w:p>
            <w:pPr>
              <w:spacing w:line="500" w:lineRule="exact"/>
              <w:rPr>
                <w:rFonts w:ascii="宋体" w:hAnsi="宋体" w:cs="宋体"/>
                <w:szCs w:val="21"/>
                <w:highlight w:val="none"/>
              </w:rPr>
            </w:pPr>
            <w:r>
              <w:rPr>
                <w:rFonts w:hint="eastAsia" w:ascii="宋体" w:hAnsi="宋体" w:cs="宋体"/>
                <w:szCs w:val="21"/>
                <w:highlight w:val="none"/>
              </w:rPr>
              <w:t>供应商自2018年01月01日以来</w:t>
            </w:r>
            <w:r>
              <w:rPr>
                <w:rFonts w:hint="eastAsia" w:ascii="宋体" w:hAnsi="宋体" w:cs="宋体"/>
                <w:b/>
                <w:bCs/>
                <w:szCs w:val="21"/>
                <w:highlight w:val="none"/>
              </w:rPr>
              <w:t>（以合同签订日期为准）</w:t>
            </w:r>
            <w:r>
              <w:rPr>
                <w:rFonts w:hint="eastAsia" w:ascii="宋体" w:hAnsi="宋体" w:cs="宋体"/>
                <w:szCs w:val="21"/>
                <w:highlight w:val="none"/>
              </w:rPr>
              <w:t>提供等保测评服务业绩的，每提供一个得</w:t>
            </w:r>
            <w:r>
              <w:rPr>
                <w:rFonts w:ascii="宋体" w:hAnsi="宋体" w:cs="宋体"/>
                <w:szCs w:val="21"/>
                <w:highlight w:val="none"/>
              </w:rPr>
              <w:t>5</w:t>
            </w:r>
            <w:r>
              <w:rPr>
                <w:rFonts w:hint="eastAsia" w:ascii="宋体" w:hAnsi="宋体" w:cs="宋体"/>
                <w:szCs w:val="21"/>
                <w:highlight w:val="none"/>
              </w:rPr>
              <w:t>分；最高得</w:t>
            </w:r>
            <w:r>
              <w:rPr>
                <w:rFonts w:ascii="宋体" w:hAnsi="宋体" w:cs="宋体"/>
                <w:szCs w:val="21"/>
                <w:highlight w:val="none"/>
              </w:rPr>
              <w:t>25</w:t>
            </w:r>
            <w:r>
              <w:rPr>
                <w:rFonts w:hint="eastAsia" w:ascii="宋体" w:hAnsi="宋体" w:cs="宋体"/>
                <w:szCs w:val="21"/>
                <w:highlight w:val="none"/>
              </w:rPr>
              <w:t>分。</w:t>
            </w:r>
          </w:p>
          <w:p>
            <w:pPr>
              <w:spacing w:line="500" w:lineRule="exact"/>
              <w:rPr>
                <w:rFonts w:ascii="宋体" w:hAnsi="宋体" w:cs="宋体"/>
                <w:b/>
                <w:bCs/>
                <w:szCs w:val="21"/>
                <w:highlight w:val="none"/>
              </w:rPr>
            </w:pPr>
            <w:r>
              <w:rPr>
                <w:rFonts w:hint="eastAsia" w:ascii="宋体" w:hAnsi="宋体" w:cs="宋体"/>
                <w:b/>
                <w:bCs/>
                <w:szCs w:val="21"/>
                <w:highlight w:val="none"/>
              </w:rPr>
              <w:t>注：</w:t>
            </w:r>
          </w:p>
          <w:p>
            <w:pPr>
              <w:spacing w:line="500" w:lineRule="exact"/>
              <w:rPr>
                <w:rFonts w:ascii="宋体" w:hAnsi="宋体" w:cs="宋体"/>
                <w:b/>
                <w:bCs/>
                <w:szCs w:val="21"/>
                <w:highlight w:val="none"/>
              </w:rPr>
            </w:pPr>
            <w:r>
              <w:rPr>
                <w:rFonts w:hint="eastAsia" w:ascii="宋体" w:hAnsi="宋体" w:cs="宋体"/>
                <w:b/>
                <w:bCs/>
                <w:szCs w:val="21"/>
                <w:highlight w:val="none"/>
              </w:rPr>
              <w:t>①提供合同复印件或扫描件或影印件并加盖供应商公章。</w:t>
            </w:r>
          </w:p>
          <w:p>
            <w:pPr>
              <w:spacing w:line="500" w:lineRule="exact"/>
              <w:rPr>
                <w:rFonts w:ascii="宋体" w:hAnsi="宋体" w:cs="宋体"/>
                <w:b/>
                <w:bCs/>
                <w:szCs w:val="21"/>
                <w:highlight w:val="none"/>
              </w:rPr>
            </w:pPr>
            <w:r>
              <w:rPr>
                <w:rFonts w:hint="eastAsia" w:ascii="宋体" w:hAnsi="宋体" w:cs="宋体"/>
                <w:b/>
                <w:bCs/>
                <w:szCs w:val="21"/>
                <w:highlight w:val="none"/>
              </w:rPr>
              <w:t>②提供由合同甲方（采购人）出具的合同履约验收完成的证明材料，需加盖合同甲方（采购人）公章；</w:t>
            </w:r>
          </w:p>
          <w:p>
            <w:pPr>
              <w:spacing w:line="500" w:lineRule="exact"/>
              <w:rPr>
                <w:rFonts w:ascii="宋体" w:hAnsi="宋体" w:cs="宋体"/>
                <w:b/>
                <w:bCs/>
                <w:szCs w:val="21"/>
                <w:highlight w:val="none"/>
              </w:rPr>
            </w:pPr>
            <w:r>
              <w:rPr>
                <w:rFonts w:hint="eastAsia" w:ascii="宋体" w:hAnsi="宋体" w:cs="宋体"/>
                <w:b/>
                <w:bCs/>
                <w:szCs w:val="21"/>
                <w:highlight w:val="none"/>
              </w:rPr>
              <w:t>③上述材料响应文件中须同时提供，缺少任一材料则该业绩不得分。</w:t>
            </w:r>
          </w:p>
        </w:tc>
        <w:tc>
          <w:tcPr>
            <w:tcW w:w="641" w:type="dxa"/>
            <w:vAlign w:val="center"/>
          </w:tcPr>
          <w:p>
            <w:pPr>
              <w:spacing w:line="500" w:lineRule="exact"/>
              <w:jc w:val="center"/>
              <w:rPr>
                <w:rFonts w:ascii="宋体" w:hAnsi="宋体" w:cs="宋体"/>
                <w:szCs w:val="21"/>
                <w:highlight w:val="none"/>
              </w:rPr>
            </w:pPr>
            <w:r>
              <w:rPr>
                <w:rFonts w:ascii="宋体" w:hAnsi="宋体" w:cs="宋体"/>
                <w:szCs w:val="21"/>
                <w:highlight w:val="none"/>
              </w:rPr>
              <w:t>25</w:t>
            </w:r>
          </w:p>
        </w:tc>
        <w:tc>
          <w:tcPr>
            <w:tcW w:w="729" w:type="dxa"/>
            <w:vAlign w:val="center"/>
          </w:tcPr>
          <w:p>
            <w:pPr>
              <w:spacing w:line="5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vAlign w:val="center"/>
          </w:tcPr>
          <w:p>
            <w:pPr>
              <w:spacing w:line="500" w:lineRule="exact"/>
              <w:jc w:val="center"/>
              <w:rPr>
                <w:rFonts w:ascii="宋体" w:hAnsi="宋体" w:cs="宋体"/>
                <w:szCs w:val="21"/>
                <w:highlight w:val="none"/>
              </w:rPr>
            </w:pPr>
            <w:r>
              <w:rPr>
                <w:rFonts w:ascii="宋体" w:hAnsi="宋体" w:cs="宋体"/>
                <w:szCs w:val="21"/>
                <w:highlight w:val="none"/>
              </w:rPr>
              <w:t>3</w:t>
            </w:r>
          </w:p>
        </w:tc>
        <w:tc>
          <w:tcPr>
            <w:tcW w:w="1065"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供应商实力</w:t>
            </w:r>
          </w:p>
        </w:tc>
        <w:tc>
          <w:tcPr>
            <w:tcW w:w="6889" w:type="dxa"/>
            <w:vAlign w:val="center"/>
          </w:tcPr>
          <w:p>
            <w:pPr>
              <w:spacing w:line="500" w:lineRule="exact"/>
              <w:rPr>
                <w:rFonts w:ascii="宋体" w:hAnsi="宋体" w:cs="宋体"/>
                <w:szCs w:val="21"/>
                <w:highlight w:val="none"/>
              </w:rPr>
            </w:pPr>
            <w:r>
              <w:rPr>
                <w:rFonts w:hint="eastAsia" w:ascii="宋体" w:hAnsi="宋体" w:cs="宋体"/>
                <w:szCs w:val="21"/>
                <w:highlight w:val="none"/>
              </w:rPr>
              <w:t>1、</w:t>
            </w:r>
            <w:r>
              <w:rPr>
                <w:rFonts w:hint="eastAsia" w:ascii="宋体" w:hAnsi="宋体"/>
                <w:szCs w:val="21"/>
                <w:highlight w:val="none"/>
              </w:rPr>
              <w:t>供应商具有ISO9001质量管理体系认证证书、ISO/IEC 27001信息安全管理体系认证证书、ISO/IEC20000信息技术服务管理体系认证证书、ISO14001环境管理体系认证证书和ISO45001职业健康安全管理体系认证证书且认证覆盖业务范围包括网络安全等级保护测评的，每提供一个证书得1分，本小项最多得5分。</w:t>
            </w:r>
          </w:p>
          <w:p>
            <w:pPr>
              <w:spacing w:line="500" w:lineRule="exact"/>
              <w:rPr>
                <w:rFonts w:ascii="宋体" w:hAnsi="宋体" w:cs="宋体"/>
                <w:szCs w:val="21"/>
                <w:highlight w:val="none"/>
              </w:rPr>
            </w:pPr>
            <w:r>
              <w:rPr>
                <w:rFonts w:hint="eastAsia" w:ascii="宋体" w:hAnsi="宋体" w:cs="宋体"/>
                <w:b/>
                <w:bCs/>
                <w:szCs w:val="21"/>
                <w:highlight w:val="none"/>
              </w:rPr>
              <w:t>注：响应文件中须提供证书复印件或扫描件或影印件。</w:t>
            </w:r>
          </w:p>
          <w:p>
            <w:pPr>
              <w:spacing w:line="500" w:lineRule="exact"/>
              <w:rPr>
                <w:rFonts w:ascii="宋体" w:hAnsi="宋体" w:cs="宋体"/>
                <w:szCs w:val="21"/>
                <w:highlight w:val="none"/>
              </w:rPr>
            </w:pPr>
            <w:r>
              <w:rPr>
                <w:rFonts w:hint="eastAsia" w:ascii="宋体" w:hAnsi="宋体" w:cs="宋体"/>
                <w:szCs w:val="21"/>
                <w:highlight w:val="none"/>
              </w:rPr>
              <w:t>2、供应商具有ISO22301业务连续性管理体系认证证书</w:t>
            </w:r>
            <w:bookmarkStart w:id="78" w:name="OLE_LINK1"/>
            <w:r>
              <w:rPr>
                <w:rFonts w:hint="eastAsia" w:ascii="宋体" w:hAnsi="宋体" w:cs="宋体"/>
                <w:szCs w:val="21"/>
                <w:highlight w:val="none"/>
              </w:rPr>
              <w:t>且认证覆盖的业务范围包括网络安全等级保护测评的</w:t>
            </w:r>
            <w:bookmarkEnd w:id="78"/>
            <w:r>
              <w:rPr>
                <w:rFonts w:hint="eastAsia" w:ascii="宋体" w:hAnsi="宋体" w:cs="宋体"/>
                <w:szCs w:val="21"/>
                <w:highlight w:val="none"/>
              </w:rPr>
              <w:t>，</w:t>
            </w:r>
            <w:r>
              <w:rPr>
                <w:rFonts w:hint="eastAsia" w:ascii="宋体" w:hAnsi="宋体" w:cs="宋体"/>
                <w:bCs/>
                <w:szCs w:val="21"/>
                <w:highlight w:val="none"/>
                <w:lang w:val="zh-CN"/>
              </w:rPr>
              <w:t>得5分，</w:t>
            </w:r>
            <w:r>
              <w:rPr>
                <w:rFonts w:hint="eastAsia" w:ascii="宋体" w:hAnsi="宋体" w:cs="宋体"/>
                <w:szCs w:val="21"/>
                <w:highlight w:val="none"/>
              </w:rPr>
              <w:t>否则不得分。</w:t>
            </w:r>
          </w:p>
          <w:p>
            <w:pPr>
              <w:spacing w:line="500" w:lineRule="exact"/>
              <w:rPr>
                <w:rFonts w:ascii="宋体" w:hAnsi="宋体" w:cs="宋体"/>
                <w:szCs w:val="21"/>
                <w:highlight w:val="none"/>
              </w:rPr>
            </w:pPr>
            <w:r>
              <w:rPr>
                <w:rFonts w:hint="eastAsia" w:ascii="宋体" w:hAnsi="宋体" w:cs="宋体"/>
                <w:b/>
                <w:bCs/>
                <w:szCs w:val="21"/>
                <w:highlight w:val="none"/>
              </w:rPr>
              <w:t>注：响应文件中须提供证书复印件或扫描件或影印件。</w:t>
            </w:r>
          </w:p>
          <w:p>
            <w:pPr>
              <w:spacing w:line="500" w:lineRule="exact"/>
              <w:rPr>
                <w:rFonts w:ascii="宋体" w:hAnsi="宋体" w:cs="宋体"/>
                <w:szCs w:val="21"/>
                <w:highlight w:val="none"/>
              </w:rPr>
            </w:pPr>
            <w:r>
              <w:rPr>
                <w:rFonts w:hint="eastAsia" w:ascii="宋体" w:hAnsi="宋体" w:cs="宋体"/>
                <w:szCs w:val="21"/>
                <w:highlight w:val="none"/>
              </w:rPr>
              <w:t>3、自2018年1月1日以来，供应商获得过国家网络安全等级保护协调小组办公室颁发的“全国网络安全等级保护测评机构先进单位”称号的，得5分</w:t>
            </w:r>
            <w:r>
              <w:rPr>
                <w:rFonts w:hint="eastAsia" w:ascii="宋体" w:hAnsi="宋体" w:cs="宋体"/>
                <w:bCs/>
                <w:color w:val="000000"/>
                <w:szCs w:val="21"/>
                <w:highlight w:val="none"/>
                <w:lang w:val="zh-CN"/>
              </w:rPr>
              <w:t>，</w:t>
            </w:r>
            <w:r>
              <w:rPr>
                <w:rFonts w:hint="eastAsia" w:ascii="宋体" w:hAnsi="宋体" w:cs="宋体"/>
                <w:szCs w:val="21"/>
                <w:highlight w:val="none"/>
              </w:rPr>
              <w:t>否则不得分。</w:t>
            </w:r>
          </w:p>
          <w:p>
            <w:pPr>
              <w:spacing w:line="500" w:lineRule="exact"/>
              <w:rPr>
                <w:rFonts w:ascii="宋体" w:hAnsi="宋体" w:cs="宋体"/>
                <w:bCs/>
                <w:color w:val="000000"/>
                <w:szCs w:val="21"/>
                <w:highlight w:val="none"/>
                <w:lang w:val="zh-CN"/>
              </w:rPr>
            </w:pPr>
            <w:r>
              <w:rPr>
                <w:rFonts w:hint="eastAsia" w:ascii="宋体" w:hAnsi="宋体" w:cs="宋体"/>
                <w:b/>
                <w:bCs/>
                <w:szCs w:val="21"/>
                <w:highlight w:val="none"/>
              </w:rPr>
              <w:t>注：响应文件中须提供相关证明材料。</w:t>
            </w:r>
          </w:p>
          <w:p>
            <w:pPr>
              <w:spacing w:line="500" w:lineRule="exact"/>
              <w:rPr>
                <w:rFonts w:ascii="宋体" w:hAnsi="宋体" w:cs="宋体"/>
                <w:szCs w:val="21"/>
                <w:highlight w:val="none"/>
              </w:rPr>
            </w:pPr>
            <w:r>
              <w:rPr>
                <w:rFonts w:hint="eastAsia" w:ascii="宋体" w:hAnsi="宋体" w:cs="宋体"/>
                <w:szCs w:val="21"/>
                <w:highlight w:val="none"/>
              </w:rPr>
              <w:t>4、供应商具有信息技术服务运行维护标准符合性证书（ITSS）的，得</w:t>
            </w:r>
            <w:r>
              <w:rPr>
                <w:rFonts w:ascii="宋体" w:hAnsi="宋体" w:cs="宋体"/>
                <w:szCs w:val="21"/>
                <w:highlight w:val="none"/>
              </w:rPr>
              <w:t>5</w:t>
            </w:r>
            <w:r>
              <w:rPr>
                <w:rFonts w:hint="eastAsia" w:ascii="宋体" w:hAnsi="宋体" w:cs="宋体"/>
                <w:szCs w:val="21"/>
                <w:highlight w:val="none"/>
              </w:rPr>
              <w:t>分，否则不得分。</w:t>
            </w:r>
          </w:p>
          <w:p>
            <w:pPr>
              <w:spacing w:line="500" w:lineRule="exact"/>
              <w:rPr>
                <w:rFonts w:ascii="宋体" w:hAnsi="宋体" w:cs="宋体"/>
                <w:bCs/>
                <w:color w:val="000000"/>
                <w:szCs w:val="21"/>
                <w:highlight w:val="none"/>
                <w:lang w:val="zh-CN"/>
              </w:rPr>
            </w:pPr>
            <w:r>
              <w:rPr>
                <w:rFonts w:hint="eastAsia" w:ascii="宋体" w:hAnsi="宋体" w:cs="宋体"/>
                <w:b/>
                <w:bCs/>
                <w:szCs w:val="21"/>
                <w:highlight w:val="none"/>
              </w:rPr>
              <w:t>注：响应文件中须提供</w:t>
            </w:r>
            <w:r>
              <w:rPr>
                <w:rFonts w:hint="eastAsia" w:ascii="宋体" w:hAnsi="宋体" w:cs="宋体"/>
                <w:b/>
                <w:szCs w:val="21"/>
                <w:highlight w:val="none"/>
              </w:rPr>
              <w:t>证书复印件或扫描件或影印件</w:t>
            </w:r>
            <w:r>
              <w:rPr>
                <w:rFonts w:hint="eastAsia" w:ascii="宋体" w:hAnsi="宋体" w:cs="宋体"/>
                <w:b/>
                <w:bCs/>
                <w:szCs w:val="21"/>
                <w:highlight w:val="none"/>
              </w:rPr>
              <w:t>。</w:t>
            </w:r>
          </w:p>
        </w:tc>
        <w:tc>
          <w:tcPr>
            <w:tcW w:w="641"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0</w:t>
            </w:r>
          </w:p>
        </w:tc>
        <w:tc>
          <w:tcPr>
            <w:tcW w:w="729" w:type="dxa"/>
            <w:vAlign w:val="center"/>
          </w:tcPr>
          <w:p>
            <w:pPr>
              <w:spacing w:line="5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4</w:t>
            </w:r>
          </w:p>
        </w:tc>
        <w:tc>
          <w:tcPr>
            <w:tcW w:w="1065"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项目人员</w:t>
            </w:r>
          </w:p>
        </w:tc>
        <w:tc>
          <w:tcPr>
            <w:tcW w:w="6889" w:type="dxa"/>
            <w:vAlign w:val="center"/>
          </w:tcPr>
          <w:p>
            <w:pPr>
              <w:spacing w:line="480" w:lineRule="exact"/>
              <w:rPr>
                <w:rFonts w:ascii="宋体" w:hAnsi="宋体" w:cs="宋体"/>
                <w:szCs w:val="21"/>
                <w:highlight w:val="none"/>
              </w:rPr>
            </w:pPr>
            <w:r>
              <w:rPr>
                <w:rFonts w:hint="eastAsia" w:ascii="宋体" w:hAnsi="宋体" w:cs="宋体"/>
                <w:szCs w:val="21"/>
                <w:highlight w:val="none"/>
              </w:rPr>
              <w:t>供应商针对本项目需求拟配备的项目团队应设置质量经理、项目经理等，具体评审指标如下：</w:t>
            </w:r>
          </w:p>
          <w:p>
            <w:pPr>
              <w:spacing w:line="480" w:lineRule="exact"/>
              <w:rPr>
                <w:rFonts w:ascii="宋体" w:hAnsi="宋体" w:cs="宋体"/>
                <w:b/>
                <w:bCs/>
                <w:szCs w:val="21"/>
                <w:highlight w:val="none"/>
              </w:rPr>
            </w:pPr>
            <w:r>
              <w:rPr>
                <w:rFonts w:hint="eastAsia" w:ascii="宋体" w:hAnsi="宋体" w:cs="宋体"/>
                <w:b/>
                <w:bCs/>
                <w:szCs w:val="21"/>
                <w:highlight w:val="none"/>
              </w:rPr>
              <w:t>1、质量经理（1人，本小项满分5分）：</w:t>
            </w:r>
          </w:p>
          <w:p>
            <w:pPr>
              <w:numPr>
                <w:ilvl w:val="0"/>
                <w:numId w:val="7"/>
              </w:numPr>
              <w:spacing w:line="480" w:lineRule="exact"/>
              <w:rPr>
                <w:rFonts w:ascii="宋体" w:hAnsi="宋体" w:cs="宋体"/>
                <w:szCs w:val="21"/>
                <w:highlight w:val="none"/>
              </w:rPr>
            </w:pPr>
            <w:r>
              <w:rPr>
                <w:rFonts w:ascii="宋体" w:hAnsi="宋体" w:cs="宋体"/>
                <w:szCs w:val="21"/>
                <w:highlight w:val="none"/>
              </w:rPr>
              <w:t>具有</w:t>
            </w:r>
            <w:r>
              <w:rPr>
                <w:rFonts w:hint="eastAsia" w:ascii="宋体" w:hAnsi="宋体" w:cs="宋体"/>
                <w:szCs w:val="21"/>
                <w:highlight w:val="none"/>
              </w:rPr>
              <w:t>中级（含）以上等级测评师</w:t>
            </w:r>
            <w:r>
              <w:rPr>
                <w:rFonts w:ascii="宋体" w:hAnsi="宋体" w:cs="宋体"/>
                <w:szCs w:val="21"/>
                <w:highlight w:val="none"/>
              </w:rPr>
              <w:t>证书，得1分；</w:t>
            </w:r>
          </w:p>
          <w:p>
            <w:pPr>
              <w:numPr>
                <w:ilvl w:val="0"/>
                <w:numId w:val="7"/>
              </w:numPr>
              <w:spacing w:line="480" w:lineRule="exact"/>
              <w:rPr>
                <w:rFonts w:ascii="宋体" w:hAnsi="宋体" w:cs="宋体"/>
                <w:szCs w:val="21"/>
                <w:highlight w:val="none"/>
              </w:rPr>
            </w:pPr>
            <w:r>
              <w:rPr>
                <w:rFonts w:hint="eastAsia" w:ascii="宋体" w:hAnsi="宋体" w:cs="宋体"/>
                <w:szCs w:val="21"/>
                <w:highlight w:val="none"/>
              </w:rPr>
              <w:t>具有注册信息安全专业人员（CISP）证书，得</w:t>
            </w:r>
            <w:r>
              <w:rPr>
                <w:rFonts w:ascii="宋体" w:hAnsi="宋体" w:cs="宋体"/>
                <w:szCs w:val="21"/>
                <w:highlight w:val="none"/>
              </w:rPr>
              <w:t>2</w:t>
            </w:r>
            <w:r>
              <w:rPr>
                <w:rFonts w:hint="eastAsia" w:ascii="宋体" w:hAnsi="宋体" w:cs="宋体"/>
                <w:szCs w:val="21"/>
                <w:highlight w:val="none"/>
              </w:rPr>
              <w:t>分；</w:t>
            </w:r>
          </w:p>
          <w:p>
            <w:pPr>
              <w:numPr>
                <w:ilvl w:val="0"/>
                <w:numId w:val="7"/>
              </w:numPr>
              <w:spacing w:line="480" w:lineRule="exact"/>
              <w:rPr>
                <w:rFonts w:ascii="宋体" w:hAnsi="宋体" w:cs="宋体"/>
                <w:szCs w:val="21"/>
                <w:highlight w:val="none"/>
              </w:rPr>
            </w:pPr>
            <w:r>
              <w:rPr>
                <w:rFonts w:ascii="宋体" w:hAnsi="宋体" w:cs="宋体"/>
                <w:szCs w:val="21"/>
                <w:highlight w:val="none"/>
              </w:rPr>
              <w:t>具有重要信息系统</w:t>
            </w:r>
            <w:r>
              <w:rPr>
                <w:rFonts w:hint="eastAsia" w:ascii="宋体" w:hAnsi="宋体" w:cs="宋体"/>
                <w:szCs w:val="21"/>
                <w:highlight w:val="none"/>
              </w:rPr>
              <w:t>保护</w:t>
            </w:r>
            <w:r>
              <w:rPr>
                <w:rFonts w:ascii="宋体" w:hAnsi="宋体" w:cs="宋体"/>
                <w:szCs w:val="21"/>
                <w:highlight w:val="none"/>
              </w:rPr>
              <w:t>人员（</w:t>
            </w:r>
            <w:r>
              <w:rPr>
                <w:rFonts w:hint="eastAsia" w:ascii="宋体" w:hAnsi="宋体" w:cs="宋体"/>
                <w:szCs w:val="21"/>
                <w:highlight w:val="none"/>
              </w:rPr>
              <w:t>证书类别：</w:t>
            </w:r>
            <w:r>
              <w:rPr>
                <w:rFonts w:ascii="宋体" w:hAnsi="宋体" w:cs="宋体"/>
                <w:szCs w:val="21"/>
                <w:highlight w:val="none"/>
              </w:rPr>
              <w:t>CIIP-T）证书，得2分；</w:t>
            </w:r>
          </w:p>
          <w:p>
            <w:pPr>
              <w:spacing w:line="480" w:lineRule="exact"/>
              <w:rPr>
                <w:rFonts w:ascii="宋体" w:hAnsi="宋体" w:cs="宋体"/>
                <w:b/>
                <w:bCs/>
                <w:szCs w:val="21"/>
                <w:highlight w:val="none"/>
              </w:rPr>
            </w:pPr>
            <w:r>
              <w:rPr>
                <w:rFonts w:hint="eastAsia" w:ascii="宋体" w:hAnsi="宋体" w:cs="宋体"/>
                <w:b/>
                <w:bCs/>
                <w:szCs w:val="21"/>
                <w:highlight w:val="none"/>
              </w:rPr>
              <w:t>2、项目经理（1人，本小项满分5分）：</w:t>
            </w:r>
          </w:p>
          <w:p>
            <w:pPr>
              <w:numPr>
                <w:ilvl w:val="0"/>
                <w:numId w:val="8"/>
              </w:numPr>
              <w:spacing w:line="480" w:lineRule="exact"/>
              <w:rPr>
                <w:rFonts w:ascii="宋体" w:hAnsi="宋体" w:cs="宋体"/>
                <w:szCs w:val="21"/>
                <w:highlight w:val="none"/>
              </w:rPr>
            </w:pPr>
            <w:r>
              <w:rPr>
                <w:rFonts w:hint="eastAsia" w:ascii="宋体" w:hAnsi="宋体" w:cs="宋体"/>
                <w:szCs w:val="21"/>
                <w:highlight w:val="none"/>
              </w:rPr>
              <w:t>具有高级测评师</w:t>
            </w:r>
            <w:r>
              <w:rPr>
                <w:rFonts w:ascii="宋体" w:hAnsi="宋体" w:cs="宋体"/>
                <w:szCs w:val="21"/>
                <w:highlight w:val="none"/>
              </w:rPr>
              <w:t>证书，得1分；</w:t>
            </w:r>
          </w:p>
          <w:p>
            <w:pPr>
              <w:numPr>
                <w:ilvl w:val="0"/>
                <w:numId w:val="8"/>
              </w:numPr>
              <w:spacing w:line="480" w:lineRule="exact"/>
              <w:rPr>
                <w:rFonts w:ascii="宋体" w:hAnsi="宋体" w:cs="宋体"/>
                <w:szCs w:val="21"/>
                <w:highlight w:val="none"/>
              </w:rPr>
            </w:pPr>
            <w:r>
              <w:rPr>
                <w:rFonts w:hint="eastAsia" w:ascii="宋体" w:hAnsi="宋体" w:cs="宋体"/>
                <w:szCs w:val="21"/>
                <w:highlight w:val="none"/>
              </w:rPr>
              <w:t>具有注册信息安全认证讲师（CISI）证书，得</w:t>
            </w:r>
            <w:r>
              <w:rPr>
                <w:rFonts w:ascii="宋体" w:hAnsi="宋体" w:cs="宋体"/>
                <w:szCs w:val="21"/>
                <w:highlight w:val="none"/>
              </w:rPr>
              <w:t>2</w:t>
            </w:r>
            <w:r>
              <w:rPr>
                <w:rFonts w:hint="eastAsia" w:ascii="宋体" w:hAnsi="宋体" w:cs="宋体"/>
                <w:szCs w:val="21"/>
                <w:highlight w:val="none"/>
              </w:rPr>
              <w:t>分；</w:t>
            </w:r>
          </w:p>
          <w:p>
            <w:pPr>
              <w:numPr>
                <w:ilvl w:val="0"/>
                <w:numId w:val="8"/>
              </w:numPr>
              <w:spacing w:line="480" w:lineRule="exact"/>
              <w:rPr>
                <w:rFonts w:ascii="宋体" w:hAnsi="宋体" w:cs="宋体"/>
                <w:szCs w:val="21"/>
                <w:highlight w:val="none"/>
              </w:rPr>
            </w:pPr>
            <w:r>
              <w:rPr>
                <w:rFonts w:ascii="宋体" w:hAnsi="宋体" w:cs="宋体"/>
                <w:szCs w:val="21"/>
                <w:highlight w:val="none"/>
              </w:rPr>
              <w:t>具有</w:t>
            </w:r>
            <w:r>
              <w:rPr>
                <w:rFonts w:hint="eastAsia" w:ascii="宋体" w:hAnsi="宋体" w:cs="宋体"/>
                <w:szCs w:val="21"/>
                <w:highlight w:val="none"/>
              </w:rPr>
              <w:t>信息安全保障人员认证（</w:t>
            </w:r>
            <w:r>
              <w:rPr>
                <w:rFonts w:ascii="宋体" w:hAnsi="宋体" w:cs="宋体"/>
                <w:szCs w:val="21"/>
                <w:highlight w:val="none"/>
              </w:rPr>
              <w:t>CISAW</w:t>
            </w:r>
            <w:r>
              <w:rPr>
                <w:rFonts w:hint="eastAsia" w:ascii="宋体" w:hAnsi="宋体" w:cs="宋体"/>
                <w:szCs w:val="21"/>
                <w:highlight w:val="none"/>
              </w:rPr>
              <w:t>）证书</w:t>
            </w:r>
            <w:r>
              <w:rPr>
                <w:rFonts w:ascii="宋体" w:hAnsi="宋体" w:cs="宋体"/>
                <w:szCs w:val="21"/>
                <w:highlight w:val="none"/>
              </w:rPr>
              <w:t>，</w:t>
            </w:r>
            <w:r>
              <w:rPr>
                <w:rFonts w:hint="eastAsia" w:ascii="宋体" w:hAnsi="宋体" w:cs="宋体"/>
                <w:szCs w:val="21"/>
                <w:highlight w:val="none"/>
              </w:rPr>
              <w:t>且认证方向为风险管理和安全运维方向的，</w:t>
            </w:r>
            <w:r>
              <w:rPr>
                <w:rFonts w:ascii="宋体" w:hAnsi="宋体" w:cs="宋体"/>
                <w:szCs w:val="21"/>
                <w:highlight w:val="none"/>
              </w:rPr>
              <w:t>得2分。</w:t>
            </w:r>
          </w:p>
          <w:p>
            <w:pPr>
              <w:spacing w:line="480" w:lineRule="exact"/>
              <w:rPr>
                <w:rFonts w:ascii="宋体" w:hAnsi="宋体" w:cs="宋体"/>
                <w:b/>
                <w:bCs/>
                <w:szCs w:val="21"/>
                <w:highlight w:val="none"/>
              </w:rPr>
            </w:pPr>
            <w:r>
              <w:rPr>
                <w:rFonts w:hint="eastAsia" w:ascii="宋体" w:hAnsi="宋体" w:cs="宋体"/>
                <w:szCs w:val="21"/>
                <w:highlight w:val="none"/>
              </w:rPr>
              <w:t>3、</w:t>
            </w:r>
            <w:r>
              <w:rPr>
                <w:rFonts w:hint="eastAsia" w:ascii="宋体" w:hAnsi="宋体" w:cs="宋体"/>
                <w:b/>
                <w:bCs/>
                <w:szCs w:val="21"/>
                <w:highlight w:val="none"/>
              </w:rPr>
              <w:t>项目组其他成员</w:t>
            </w:r>
            <w:r>
              <w:rPr>
                <w:rFonts w:hint="eastAsia" w:ascii="宋体" w:hAnsi="宋体" w:cs="宋体"/>
                <w:b/>
                <w:szCs w:val="21"/>
                <w:highlight w:val="none"/>
              </w:rPr>
              <w:t>（本小项满分5分）</w:t>
            </w:r>
            <w:r>
              <w:rPr>
                <w:rFonts w:hint="eastAsia" w:ascii="宋体" w:hAnsi="宋体" w:cs="宋体"/>
                <w:b/>
                <w:bCs/>
                <w:szCs w:val="21"/>
                <w:highlight w:val="none"/>
              </w:rPr>
              <w:t>：</w:t>
            </w:r>
          </w:p>
          <w:p>
            <w:pPr>
              <w:spacing w:line="480" w:lineRule="exact"/>
              <w:rPr>
                <w:rFonts w:ascii="宋体" w:hAnsi="宋体" w:cs="宋体"/>
                <w:szCs w:val="21"/>
                <w:highlight w:val="none"/>
              </w:rPr>
            </w:pPr>
            <w:r>
              <w:rPr>
                <w:rFonts w:hint="eastAsia" w:ascii="宋体" w:hAnsi="宋体" w:cs="宋体"/>
                <w:szCs w:val="21"/>
                <w:highlight w:val="none"/>
              </w:rPr>
              <w:t>项目组其他成员（不包括质量经理、项目经理）具有初级（含）以上等级测评师证书，每提供一名得1.5分，最多得3分；每提供1名具有注册信息安全专业人员（CISP）证书或网络安全能力认证培训讲师（CCS</w:t>
            </w:r>
            <w:r>
              <w:rPr>
                <w:rFonts w:ascii="宋体" w:hAnsi="宋体" w:cs="宋体"/>
                <w:szCs w:val="21"/>
                <w:highlight w:val="none"/>
              </w:rPr>
              <w:t>C</w:t>
            </w:r>
            <w:r>
              <w:rPr>
                <w:rFonts w:hint="eastAsia" w:ascii="宋体" w:hAnsi="宋体" w:cs="宋体"/>
                <w:szCs w:val="21"/>
                <w:highlight w:val="none"/>
              </w:rPr>
              <w:t>）证书或信息安全保障人员认证（CISAW）证书，得1分，最多得2分。</w:t>
            </w:r>
          </w:p>
          <w:p>
            <w:pPr>
              <w:spacing w:line="480" w:lineRule="exact"/>
              <w:rPr>
                <w:rFonts w:ascii="宋体" w:hAnsi="宋体" w:cs="宋体"/>
                <w:b/>
                <w:bCs/>
                <w:szCs w:val="21"/>
                <w:highlight w:val="none"/>
              </w:rPr>
            </w:pPr>
            <w:r>
              <w:rPr>
                <w:rFonts w:hint="eastAsia" w:ascii="宋体" w:hAnsi="宋体" w:cs="宋体"/>
                <w:b/>
                <w:bCs/>
                <w:szCs w:val="21"/>
                <w:highlight w:val="none"/>
              </w:rPr>
              <w:t>备注：响应文件中提供以下证明材料：</w:t>
            </w:r>
          </w:p>
          <w:p>
            <w:pPr>
              <w:spacing w:line="480" w:lineRule="exact"/>
              <w:rPr>
                <w:rFonts w:ascii="宋体" w:hAnsi="宋体" w:cs="宋体"/>
                <w:b/>
                <w:bCs/>
                <w:szCs w:val="21"/>
                <w:highlight w:val="none"/>
              </w:rPr>
            </w:pPr>
            <w:r>
              <w:rPr>
                <w:rFonts w:hint="eastAsia" w:ascii="宋体" w:hAnsi="宋体" w:cs="宋体"/>
                <w:b/>
                <w:bCs/>
                <w:szCs w:val="21"/>
                <w:highlight w:val="none"/>
              </w:rPr>
              <w:t>①以上证书复印件或扫描件或影印件；</w:t>
            </w:r>
          </w:p>
          <w:p>
            <w:pPr>
              <w:spacing w:line="480" w:lineRule="exact"/>
              <w:rPr>
                <w:rFonts w:hint="eastAsia" w:ascii="宋体" w:hAnsi="宋体" w:eastAsia="宋体" w:cs="宋体"/>
                <w:szCs w:val="21"/>
                <w:highlight w:val="none"/>
                <w:lang w:eastAsia="zh-CN"/>
              </w:rPr>
            </w:pPr>
            <w:r>
              <w:rPr>
                <w:rFonts w:ascii="宋体" w:hAnsi="宋体" w:cs="宋体"/>
                <w:b/>
                <w:bCs/>
                <w:szCs w:val="21"/>
                <w:highlight w:val="none"/>
              </w:rPr>
              <w:t>②</w:t>
            </w:r>
            <w:r>
              <w:rPr>
                <w:rFonts w:hint="eastAsia" w:ascii="宋体" w:hAnsi="宋体" w:cs="宋体"/>
                <w:b/>
                <w:bCs/>
                <w:szCs w:val="21"/>
                <w:highlight w:val="none"/>
              </w:rPr>
              <w:t>响应人为以上</w:t>
            </w:r>
            <w:r>
              <w:rPr>
                <w:rFonts w:ascii="宋体" w:hAnsi="宋体" w:cs="宋体"/>
                <w:b/>
                <w:bCs/>
                <w:szCs w:val="21"/>
                <w:highlight w:val="none"/>
              </w:rPr>
              <w:t>人员</w:t>
            </w:r>
            <w:r>
              <w:rPr>
                <w:rFonts w:hint="eastAsia" w:ascii="宋体" w:hAnsi="宋体" w:cs="宋体"/>
                <w:b/>
                <w:bCs/>
                <w:szCs w:val="21"/>
                <w:highlight w:val="none"/>
              </w:rPr>
              <w:t>缴纳的近三个月中任意一个月（9月或10月或</w:t>
            </w:r>
            <w:r>
              <w:rPr>
                <w:rFonts w:hint="eastAsia" w:ascii="宋体" w:hAnsi="宋体" w:cs="宋体"/>
                <w:b/>
                <w:bCs/>
                <w:szCs w:val="21"/>
                <w:highlight w:val="none"/>
                <w:lang w:val="en-US" w:eastAsia="zh-CN"/>
              </w:rPr>
              <w:t>11</w:t>
            </w:r>
            <w:r>
              <w:rPr>
                <w:rFonts w:hint="eastAsia" w:ascii="宋体" w:hAnsi="宋体" w:cs="宋体"/>
                <w:b/>
                <w:bCs/>
                <w:szCs w:val="21"/>
                <w:highlight w:val="none"/>
              </w:rPr>
              <w:t>月）的社保证明材料</w:t>
            </w:r>
            <w:r>
              <w:rPr>
                <w:rFonts w:hint="eastAsia" w:ascii="宋体" w:hAnsi="宋体" w:cs="宋体"/>
                <w:b/>
                <w:bCs/>
                <w:szCs w:val="21"/>
                <w:highlight w:val="none"/>
                <w:lang w:eastAsia="zh-CN"/>
              </w:rPr>
              <w:t>。</w:t>
            </w:r>
          </w:p>
        </w:tc>
        <w:tc>
          <w:tcPr>
            <w:tcW w:w="641"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15</w:t>
            </w:r>
          </w:p>
        </w:tc>
        <w:tc>
          <w:tcPr>
            <w:tcW w:w="729" w:type="dxa"/>
            <w:vAlign w:val="center"/>
          </w:tcPr>
          <w:p>
            <w:pPr>
              <w:spacing w:line="5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5</w:t>
            </w:r>
          </w:p>
        </w:tc>
        <w:tc>
          <w:tcPr>
            <w:tcW w:w="1065"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售后服务能力</w:t>
            </w:r>
          </w:p>
        </w:tc>
        <w:tc>
          <w:tcPr>
            <w:tcW w:w="6889" w:type="dxa"/>
            <w:vAlign w:val="center"/>
          </w:tcPr>
          <w:p>
            <w:pPr>
              <w:spacing w:line="500" w:lineRule="exact"/>
              <w:rPr>
                <w:rFonts w:ascii="宋体" w:hAnsi="宋体" w:cs="宋体"/>
                <w:szCs w:val="21"/>
                <w:highlight w:val="none"/>
              </w:rPr>
            </w:pPr>
            <w:r>
              <w:rPr>
                <w:rFonts w:hint="eastAsia" w:ascii="宋体" w:hAnsi="宋体" w:cs="宋体"/>
                <w:szCs w:val="21"/>
                <w:highlight w:val="none"/>
              </w:rPr>
              <w:t>1、供应商在完成测评工作后应为甲方提供常态化的安全技术支撑、网络与信息安全培训、宣贯服务，提供售后服务承诺，评委对各家售后服务内容进行横向比较：售后服务内容详实具体得5分、售后服务内容较具体得4分、售后服务内容一般得3分、差或未提供不得分。</w:t>
            </w:r>
          </w:p>
          <w:p>
            <w:pPr>
              <w:spacing w:line="500" w:lineRule="exact"/>
              <w:rPr>
                <w:rFonts w:ascii="宋体" w:hAnsi="宋体" w:cs="宋体"/>
                <w:szCs w:val="21"/>
                <w:highlight w:val="none"/>
              </w:rPr>
            </w:pPr>
            <w:r>
              <w:rPr>
                <w:rFonts w:hint="eastAsia" w:ascii="宋体" w:hAnsi="宋体" w:cs="宋体"/>
                <w:szCs w:val="21"/>
                <w:highlight w:val="none"/>
              </w:rPr>
              <w:t>2、供应商具有国家信息安全水平考试运营中心颁发的国家信息安全水平考试（NISP）授权认证机构证书的，得5分。</w:t>
            </w:r>
          </w:p>
          <w:p>
            <w:pPr>
              <w:spacing w:line="500" w:lineRule="exact"/>
              <w:rPr>
                <w:rFonts w:ascii="宋体" w:hAnsi="宋体" w:cs="宋体"/>
                <w:szCs w:val="21"/>
                <w:highlight w:val="none"/>
              </w:rPr>
            </w:pPr>
            <w:r>
              <w:rPr>
                <w:rFonts w:hint="eastAsia" w:ascii="宋体" w:hAnsi="宋体" w:cs="宋体"/>
                <w:b/>
                <w:bCs/>
                <w:szCs w:val="21"/>
                <w:highlight w:val="none"/>
              </w:rPr>
              <w:t>注：响应文件中须提供证书复印件或扫描件或影印件。</w:t>
            </w:r>
          </w:p>
        </w:tc>
        <w:tc>
          <w:tcPr>
            <w:tcW w:w="641" w:type="dxa"/>
            <w:vAlign w:val="center"/>
          </w:tcPr>
          <w:p>
            <w:pPr>
              <w:spacing w:line="500" w:lineRule="exact"/>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0</w:t>
            </w:r>
          </w:p>
        </w:tc>
        <w:tc>
          <w:tcPr>
            <w:tcW w:w="729" w:type="dxa"/>
            <w:vAlign w:val="center"/>
          </w:tcPr>
          <w:p>
            <w:pPr>
              <w:spacing w:line="5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19" w:type="dxa"/>
            <w:vAlign w:val="center"/>
          </w:tcPr>
          <w:p>
            <w:pPr>
              <w:spacing w:line="500" w:lineRule="exact"/>
              <w:jc w:val="center"/>
              <w:rPr>
                <w:rFonts w:ascii="宋体" w:hAnsi="宋体" w:cs="宋体"/>
                <w:szCs w:val="21"/>
                <w:highlight w:val="none"/>
              </w:rPr>
            </w:pPr>
            <w:r>
              <w:rPr>
                <w:rFonts w:hint="eastAsia" w:ascii="宋体" w:hAnsi="宋体" w:cs="宋体"/>
                <w:szCs w:val="21"/>
                <w:highlight w:val="none"/>
              </w:rPr>
              <w:t>6</w:t>
            </w:r>
          </w:p>
        </w:tc>
        <w:tc>
          <w:tcPr>
            <w:tcW w:w="1065" w:type="dxa"/>
            <w:vAlign w:val="center"/>
          </w:tcPr>
          <w:p>
            <w:pPr>
              <w:spacing w:line="500" w:lineRule="exact"/>
              <w:jc w:val="center"/>
              <w:rPr>
                <w:rFonts w:ascii="宋体" w:hAnsi="宋体" w:cs="宋体"/>
                <w:szCs w:val="21"/>
                <w:highlight w:val="none"/>
              </w:rPr>
            </w:pPr>
            <w:r>
              <w:rPr>
                <w:rFonts w:hint="eastAsia" w:ascii="宋体" w:hAnsi="宋体"/>
                <w:sz w:val="22"/>
                <w:szCs w:val="22"/>
                <w:highlight w:val="none"/>
              </w:rPr>
              <w:t>报价</w:t>
            </w:r>
          </w:p>
        </w:tc>
        <w:tc>
          <w:tcPr>
            <w:tcW w:w="6889" w:type="dxa"/>
            <w:vAlign w:val="center"/>
          </w:tcPr>
          <w:p>
            <w:pPr>
              <w:spacing w:line="500" w:lineRule="exact"/>
              <w:ind w:firstLine="420" w:firstLineChars="200"/>
              <w:rPr>
                <w:rFonts w:ascii="宋体" w:hAnsi="宋体"/>
                <w:szCs w:val="21"/>
                <w:highlight w:val="none"/>
              </w:rPr>
            </w:pPr>
            <w:r>
              <w:rPr>
                <w:rFonts w:ascii="宋体" w:hAnsi="宋体"/>
                <w:szCs w:val="21"/>
                <w:highlight w:val="none"/>
              </w:rPr>
              <w:t>价格分统一采用低价优先法，即满足磋商文件要求且报价最低的最后磋商报价为磋商基准价，其价格分</w:t>
            </w:r>
            <w:r>
              <w:rPr>
                <w:rFonts w:ascii="宋体" w:hAnsi="宋体"/>
                <w:b/>
                <w:szCs w:val="21"/>
                <w:highlight w:val="none"/>
              </w:rPr>
              <w:t>为满分</w:t>
            </w:r>
            <w:r>
              <w:rPr>
                <w:rFonts w:hint="eastAsia" w:ascii="宋体" w:hAnsi="宋体"/>
                <w:b/>
                <w:szCs w:val="21"/>
                <w:highlight w:val="none"/>
              </w:rPr>
              <w:t>1</w:t>
            </w:r>
            <w:r>
              <w:rPr>
                <w:rFonts w:ascii="宋体" w:hAnsi="宋体"/>
                <w:b/>
                <w:szCs w:val="21"/>
                <w:highlight w:val="none"/>
              </w:rPr>
              <w:t>0分。</w:t>
            </w:r>
            <w:r>
              <w:rPr>
                <w:rFonts w:ascii="宋体" w:hAnsi="宋体"/>
                <w:szCs w:val="21"/>
                <w:highlight w:val="none"/>
              </w:rPr>
              <w:t xml:space="preserve">其他供应商的价格分统一按照下列公式计算： </w:t>
            </w:r>
          </w:p>
          <w:p>
            <w:pPr>
              <w:spacing w:line="500" w:lineRule="exact"/>
              <w:ind w:firstLine="420" w:firstLineChars="200"/>
              <w:rPr>
                <w:rFonts w:ascii="宋体" w:hAnsi="宋体"/>
                <w:szCs w:val="21"/>
                <w:highlight w:val="none"/>
              </w:rPr>
            </w:pPr>
            <w:r>
              <w:rPr>
                <w:rFonts w:ascii="宋体" w:hAnsi="宋体"/>
                <w:szCs w:val="21"/>
                <w:highlight w:val="none"/>
              </w:rPr>
              <w:t>磋商报价得分＝（磋商基准价/最后磋商报价）×</w:t>
            </w:r>
            <w:r>
              <w:rPr>
                <w:rFonts w:hint="eastAsia" w:ascii="宋体" w:hAnsi="宋体"/>
                <w:szCs w:val="21"/>
                <w:highlight w:val="none"/>
              </w:rPr>
              <w:t>1</w:t>
            </w:r>
            <w:r>
              <w:rPr>
                <w:rFonts w:ascii="宋体" w:hAnsi="宋体"/>
                <w:szCs w:val="21"/>
                <w:highlight w:val="none"/>
              </w:rPr>
              <w:t>0％×100 。</w:t>
            </w:r>
          </w:p>
          <w:p>
            <w:pPr>
              <w:spacing w:line="500" w:lineRule="exact"/>
              <w:rPr>
                <w:rFonts w:ascii="宋体" w:hAnsi="宋体"/>
                <w:szCs w:val="21"/>
                <w:highlight w:val="none"/>
              </w:rPr>
            </w:pPr>
            <w:r>
              <w:rPr>
                <w:rFonts w:ascii="宋体" w:hAnsi="宋体"/>
                <w:szCs w:val="21"/>
                <w:highlight w:val="none"/>
              </w:rPr>
              <w:t>（报价分计算至小数点后第二位，小数点后第三位四舍五入；）</w:t>
            </w:r>
          </w:p>
        </w:tc>
        <w:tc>
          <w:tcPr>
            <w:tcW w:w="641" w:type="dxa"/>
            <w:vAlign w:val="center"/>
          </w:tcPr>
          <w:p>
            <w:pPr>
              <w:spacing w:line="500" w:lineRule="exact"/>
              <w:jc w:val="center"/>
              <w:rPr>
                <w:rFonts w:ascii="宋体" w:hAnsi="宋体"/>
                <w:szCs w:val="21"/>
                <w:highlight w:val="none"/>
              </w:rPr>
            </w:pPr>
            <w:r>
              <w:rPr>
                <w:rFonts w:ascii="宋体" w:hAnsi="宋体" w:cs="宋体"/>
                <w:szCs w:val="21"/>
                <w:highlight w:val="none"/>
              </w:rPr>
              <w:t>1</w:t>
            </w:r>
            <w:r>
              <w:rPr>
                <w:rFonts w:hint="eastAsia" w:ascii="宋体" w:hAnsi="宋体" w:cs="宋体"/>
                <w:szCs w:val="21"/>
                <w:highlight w:val="none"/>
              </w:rPr>
              <w:t>0</w:t>
            </w:r>
          </w:p>
        </w:tc>
        <w:tc>
          <w:tcPr>
            <w:tcW w:w="729" w:type="dxa"/>
            <w:vAlign w:val="center"/>
          </w:tcPr>
          <w:p>
            <w:pPr>
              <w:spacing w:line="500" w:lineRule="exact"/>
              <w:jc w:val="center"/>
              <w:rPr>
                <w:rFonts w:ascii="宋体" w:hAnsi="宋体" w:cs="宋体"/>
                <w:szCs w:val="21"/>
                <w:highlight w:val="none"/>
              </w:rPr>
            </w:pPr>
          </w:p>
        </w:tc>
      </w:tr>
    </w:tbl>
    <w:p>
      <w:pPr>
        <w:rPr>
          <w:highlight w:val="none"/>
        </w:rPr>
      </w:pPr>
    </w:p>
    <w:p>
      <w:pPr>
        <w:spacing w:line="360" w:lineRule="auto"/>
        <w:ind w:firstLine="422" w:firstLineChars="200"/>
        <w:rPr>
          <w:rFonts w:ascii="宋体" w:hAnsi="宋体" w:cs="宋体"/>
          <w:b/>
          <w:szCs w:val="21"/>
          <w:highlight w:val="none"/>
        </w:rPr>
      </w:pPr>
    </w:p>
    <w:p>
      <w:pPr>
        <w:spacing w:line="360" w:lineRule="auto"/>
        <w:ind w:firstLine="422" w:firstLineChars="200"/>
        <w:rPr>
          <w:rFonts w:ascii="宋体" w:cs="宋体"/>
          <w:b/>
          <w:szCs w:val="21"/>
          <w:highlight w:val="none"/>
        </w:rPr>
      </w:pPr>
      <w:r>
        <w:rPr>
          <w:rFonts w:hint="eastAsia" w:ascii="宋体" w:hAnsi="宋体" w:cs="宋体"/>
          <w:b/>
          <w:szCs w:val="21"/>
          <w:highlight w:val="none"/>
        </w:rPr>
        <w:t>备注：</w:t>
      </w:r>
    </w:p>
    <w:p>
      <w:pPr>
        <w:spacing w:line="360" w:lineRule="auto"/>
        <w:ind w:firstLine="422" w:firstLineChars="200"/>
        <w:rPr>
          <w:rFonts w:ascii="宋体" w:cs="宋体"/>
          <w:b/>
          <w:snapToGrid w:val="0"/>
          <w:kern w:val="0"/>
          <w:szCs w:val="21"/>
          <w:highlight w:val="none"/>
        </w:rPr>
      </w:pPr>
      <w:r>
        <w:rPr>
          <w:rFonts w:hint="eastAsia" w:ascii="宋体" w:hAnsi="宋体" w:cs="宋体"/>
          <w:b/>
          <w:szCs w:val="21"/>
          <w:highlight w:val="none"/>
        </w:rPr>
        <w:t>（</w:t>
      </w:r>
      <w:r>
        <w:rPr>
          <w:rFonts w:ascii="宋体" w:hAnsi="宋体" w:cs="宋体"/>
          <w:b/>
          <w:szCs w:val="21"/>
          <w:highlight w:val="none"/>
        </w:rPr>
        <w:t>1</w:t>
      </w:r>
      <w:r>
        <w:rPr>
          <w:rFonts w:hint="eastAsia" w:ascii="宋体" w:hAnsi="宋体" w:cs="宋体"/>
          <w:b/>
          <w:szCs w:val="21"/>
          <w:highlight w:val="none"/>
        </w:rPr>
        <w:t>）各磋商小组成员按以上评分项目进行评判，</w:t>
      </w:r>
      <w:r>
        <w:rPr>
          <w:rFonts w:hint="eastAsia" w:ascii="宋体" w:hAnsi="宋体" w:cs="宋体"/>
          <w:b/>
          <w:snapToGrid w:val="0"/>
          <w:kern w:val="0"/>
          <w:szCs w:val="21"/>
          <w:highlight w:val="none"/>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0" w:firstLineChars="147"/>
        <w:rPr>
          <w:rFonts w:ascii="宋体" w:cs="宋体"/>
          <w:b/>
          <w:color w:val="FF0000"/>
          <w:szCs w:val="21"/>
          <w:highlight w:val="none"/>
        </w:rPr>
      </w:pPr>
      <w:r>
        <w:rPr>
          <w:rFonts w:hint="eastAsia" w:ascii="宋体" w:hAnsi="宋体" w:cs="宋体"/>
          <w:b/>
          <w:szCs w:val="21"/>
          <w:highlight w:val="none"/>
        </w:rPr>
        <w:t>（2）供应商提供的业绩证明材料要能清晰反映业绩评分的实质内容，否则磋商小组不予认可。</w:t>
      </w:r>
    </w:p>
    <w:p>
      <w:pPr>
        <w:spacing w:line="360" w:lineRule="auto"/>
        <w:ind w:firstLine="316" w:firstLineChars="150"/>
        <w:rPr>
          <w:rFonts w:ascii="宋体"/>
          <w:szCs w:val="21"/>
          <w:highlight w:val="none"/>
        </w:rPr>
      </w:pPr>
      <w:r>
        <w:rPr>
          <w:rFonts w:hint="eastAsia" w:ascii="宋体" w:hAnsi="宋体" w:cs="宋体"/>
          <w:b/>
          <w:szCs w:val="21"/>
          <w:highlight w:val="none"/>
        </w:rPr>
        <w:t>（3）以上评分项中要求供应商提供复印件或影印件等相关证明材料的，相关证明材料均须加盖供应商公章，否则该项均不得分。</w:t>
      </w:r>
      <w:r>
        <w:rPr>
          <w:rFonts w:ascii="宋体" w:hAnsi="宋体"/>
          <w:szCs w:val="21"/>
          <w:highlight w:val="none"/>
        </w:rPr>
        <w:t xml:space="preserve">  </w:t>
      </w:r>
    </w:p>
    <w:p>
      <w:pPr>
        <w:spacing w:line="480" w:lineRule="exact"/>
        <w:rPr>
          <w:rFonts w:ascii="宋体"/>
          <w:szCs w:val="21"/>
          <w:highlight w:val="none"/>
        </w:rPr>
      </w:pPr>
      <w:r>
        <w:rPr>
          <w:rFonts w:ascii="宋体" w:hAnsi="宋体"/>
          <w:szCs w:val="21"/>
          <w:highlight w:val="none"/>
        </w:rPr>
        <w:t xml:space="preserve">  </w:t>
      </w:r>
      <w:r>
        <w:rPr>
          <w:rFonts w:ascii="宋体" w:hAnsi="宋体"/>
          <w:b/>
          <w:bCs/>
          <w:szCs w:val="21"/>
          <w:highlight w:val="none"/>
        </w:rPr>
        <w:t xml:space="preserve"> 2</w:t>
      </w:r>
      <w:r>
        <w:rPr>
          <w:rFonts w:hint="eastAsia" w:ascii="宋体" w:hAnsi="宋体"/>
          <w:b/>
          <w:bCs/>
          <w:szCs w:val="21"/>
          <w:highlight w:val="none"/>
        </w:rPr>
        <w:t>6</w:t>
      </w:r>
      <w:r>
        <w:rPr>
          <w:rFonts w:ascii="宋体" w:hAnsi="宋体"/>
          <w:b/>
          <w:bCs/>
          <w:szCs w:val="21"/>
          <w:highlight w:val="none"/>
        </w:rPr>
        <w:t xml:space="preserve"> </w:t>
      </w:r>
      <w:r>
        <w:rPr>
          <w:rFonts w:hint="eastAsia" w:ascii="宋体" w:hAnsi="宋体"/>
          <w:b/>
          <w:bCs/>
          <w:szCs w:val="21"/>
          <w:highlight w:val="none"/>
        </w:rPr>
        <w:t>澄清及错误修正</w:t>
      </w:r>
    </w:p>
    <w:p>
      <w:pPr>
        <w:spacing w:line="480" w:lineRule="exact"/>
        <w:ind w:firstLine="420" w:firstLineChars="200"/>
        <w:rPr>
          <w:rFonts w:ascii="宋体" w:hAnsi="宋体"/>
          <w:szCs w:val="21"/>
          <w:highlight w:val="none"/>
          <w:lang w:val="zh-CN"/>
        </w:rPr>
      </w:pPr>
      <w:r>
        <w:rPr>
          <w:rFonts w:hint="eastAsia"/>
          <w:szCs w:val="21"/>
          <w:highlight w:val="none"/>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highlight w:val="none"/>
          <w:lang w:val="zh-CN"/>
        </w:rPr>
        <w:t>提出的澄清、说明或补正。</w:t>
      </w:r>
    </w:p>
    <w:p>
      <w:pPr>
        <w:autoSpaceDE w:val="0"/>
        <w:autoSpaceDN w:val="0"/>
        <w:adjustRightInd w:val="0"/>
        <w:snapToGrid w:val="0"/>
        <w:spacing w:line="480" w:lineRule="exact"/>
        <w:ind w:firstLine="411" w:firstLineChars="196"/>
        <w:rPr>
          <w:rFonts w:ascii="宋体" w:hAnsi="宋体"/>
          <w:b/>
          <w:bCs/>
          <w:szCs w:val="21"/>
          <w:highlight w:val="none"/>
        </w:rPr>
      </w:pPr>
      <w:r>
        <w:rPr>
          <w:rFonts w:hint="eastAsia" w:ascii="宋体" w:hAnsi="宋体"/>
          <w:szCs w:val="21"/>
          <w:highlight w:val="none"/>
        </w:rPr>
        <w:t>27、</w:t>
      </w:r>
      <w:r>
        <w:rPr>
          <w:rFonts w:hint="eastAsia" w:ascii="宋体" w:hAnsi="宋体"/>
          <w:b/>
          <w:bCs/>
          <w:szCs w:val="21"/>
          <w:highlight w:val="none"/>
        </w:rPr>
        <w:t>确定成交供应商</w:t>
      </w:r>
    </w:p>
    <w:p>
      <w:pPr>
        <w:widowControl/>
        <w:spacing w:line="500" w:lineRule="exact"/>
        <w:ind w:firstLine="420"/>
        <w:jc w:val="left"/>
        <w:rPr>
          <w:rStyle w:val="70"/>
          <w:color w:val="000000" w:themeColor="text1"/>
          <w:szCs w:val="21"/>
          <w:highlight w:val="none"/>
        </w:rPr>
      </w:pPr>
      <w:r>
        <w:rPr>
          <w:rFonts w:hint="eastAsia" w:ascii="宋体" w:hAnsi="宋体"/>
          <w:szCs w:val="21"/>
          <w:highlight w:val="none"/>
        </w:rPr>
        <w:t>磋商小组查询排序前三名的供应商信用记录，供应商存在不良信用记录的，磋商小组</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highlight w:val="none"/>
        </w:rPr>
        <w:fldChar w:fldCharType="separate"/>
      </w:r>
      <w:r>
        <w:rPr>
          <w:rStyle w:val="70"/>
          <w:rFonts w:hint="eastAsia"/>
          <w:color w:val="000000" w:themeColor="text1"/>
          <w:szCs w:val="21"/>
          <w:highlight w:val="none"/>
          <w:u w:val="none"/>
        </w:rPr>
        <w:t>不得将其推荐为成交候选人，依序递补，并再次对递补的供应商进行核查。</w:t>
      </w:r>
      <w:r>
        <w:rPr>
          <w:rStyle w:val="70"/>
          <w:rFonts w:hint="eastAsia"/>
          <w:color w:val="000000" w:themeColor="text1"/>
          <w:szCs w:val="21"/>
          <w:highlight w:val="none"/>
          <w:u w:val="none"/>
        </w:rPr>
        <w:fldChar w:fldCharType="end"/>
      </w:r>
    </w:p>
    <w:p>
      <w:pPr>
        <w:widowControl/>
        <w:spacing w:line="500" w:lineRule="exact"/>
        <w:ind w:firstLine="420"/>
        <w:jc w:val="left"/>
        <w:rPr>
          <w:rFonts w:ascii="宋体" w:hAnsi="宋体"/>
          <w:szCs w:val="21"/>
          <w:highlight w:val="none"/>
        </w:rPr>
      </w:pPr>
      <w:r>
        <w:rPr>
          <w:rFonts w:ascii="宋体" w:hAnsi="宋体"/>
          <w:szCs w:val="21"/>
          <w:highlight w:val="none"/>
        </w:rPr>
        <w:t>27.1</w:t>
      </w:r>
      <w:r>
        <w:rPr>
          <w:rFonts w:hint="eastAsia" w:ascii="宋体" w:hAnsi="宋体"/>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highlight w:val="none"/>
        </w:rPr>
      </w:pPr>
      <w:r>
        <w:rPr>
          <w:rFonts w:hint="eastAsia" w:ascii="宋体" w:hAnsi="宋体"/>
          <w:szCs w:val="21"/>
          <w:highlight w:val="none"/>
        </w:rPr>
        <w:t>2</w:t>
      </w:r>
      <w:r>
        <w:rPr>
          <w:rFonts w:ascii="宋体" w:hAnsi="宋体"/>
          <w:szCs w:val="21"/>
          <w:highlight w:val="none"/>
        </w:rPr>
        <w:t>7.2</w:t>
      </w:r>
      <w:r>
        <w:rPr>
          <w:rFonts w:hint="eastAsia" w:ascii="宋体" w:hAnsi="宋体"/>
          <w:szCs w:val="21"/>
          <w:highlight w:val="none"/>
        </w:rPr>
        <w:t>信用信息查询渠道：中国政府采购网（www.ccgp.gov.cn）、“信用中国”网站（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highlight w:val="none"/>
        </w:rPr>
        <w:t>www.creditchina.gov.cn</w:t>
      </w:r>
      <w:r>
        <w:rPr>
          <w:rFonts w:hint="eastAsia"/>
          <w:highlight w:val="none"/>
        </w:rPr>
        <w:fldChar w:fldCharType="end"/>
      </w:r>
      <w:r>
        <w:rPr>
          <w:rFonts w:hint="eastAsia" w:ascii="宋体" w:hAnsi="宋体"/>
          <w:szCs w:val="21"/>
          <w:highlight w:val="none"/>
        </w:rPr>
        <w:t>）。</w:t>
      </w:r>
    </w:p>
    <w:p>
      <w:pPr>
        <w:spacing w:line="480" w:lineRule="exact"/>
        <w:ind w:firstLine="420" w:firstLineChars="200"/>
        <w:rPr>
          <w:rFonts w:ascii="宋体"/>
          <w:szCs w:val="21"/>
          <w:highlight w:val="none"/>
          <w:lang w:val="zh-CN"/>
        </w:rPr>
      </w:pPr>
      <w:r>
        <w:rPr>
          <w:rFonts w:hint="eastAsia" w:ascii="宋体" w:hAnsi="宋体"/>
          <w:szCs w:val="21"/>
          <w:highlight w:val="none"/>
        </w:rPr>
        <w:t>磋商小组应当对通过失信核查的供应商根据综合评分情况，按照评审得分由高到低顺序推荐</w:t>
      </w:r>
      <w:r>
        <w:rPr>
          <w:rFonts w:ascii="宋体" w:hAnsi="宋体"/>
          <w:szCs w:val="21"/>
          <w:highlight w:val="none"/>
        </w:rPr>
        <w:t>3</w:t>
      </w:r>
      <w:r>
        <w:rPr>
          <w:rFonts w:hint="eastAsia" w:ascii="宋体" w:hAnsi="宋体"/>
          <w:szCs w:val="21"/>
          <w:highlight w:val="none"/>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highlight w:val="none"/>
        </w:rPr>
      </w:pPr>
      <w:r>
        <w:rPr>
          <w:rFonts w:ascii="宋体" w:hAnsi="宋体" w:cs="宋体"/>
          <w:b/>
          <w:szCs w:val="21"/>
          <w:highlight w:val="none"/>
        </w:rPr>
        <w:t>2</w:t>
      </w:r>
      <w:r>
        <w:rPr>
          <w:rFonts w:hint="eastAsia" w:ascii="宋体" w:hAnsi="宋体" w:cs="宋体"/>
          <w:b/>
          <w:szCs w:val="21"/>
          <w:highlight w:val="none"/>
        </w:rPr>
        <w:t>8、开标评标异常情况处理</w:t>
      </w:r>
    </w:p>
    <w:p>
      <w:pPr>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8</w:t>
      </w:r>
      <w:r>
        <w:rPr>
          <w:rFonts w:ascii="宋体" w:hAnsi="宋体" w:cs="宋体"/>
          <w:szCs w:val="21"/>
          <w:highlight w:val="none"/>
        </w:rPr>
        <w:t>.1</w:t>
      </w:r>
      <w:r>
        <w:rPr>
          <w:rFonts w:hint="eastAsia" w:ascii="宋体" w:hAnsi="宋体" w:cs="宋体"/>
          <w:szCs w:val="21"/>
          <w:highlight w:val="none"/>
        </w:rPr>
        <w:t>、在磋商采购中，出现下列情况之一的，应予废标，采购单位重新组织采购：</w:t>
      </w:r>
    </w:p>
    <w:p>
      <w:pPr>
        <w:spacing w:line="360" w:lineRule="auto"/>
        <w:ind w:firstLine="420" w:firstLineChars="200"/>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符合专业条件的供应商或者对磋商文件作实质响应的供应商不足三家的；</w:t>
      </w:r>
    </w:p>
    <w:p>
      <w:pPr>
        <w:spacing w:line="360" w:lineRule="auto"/>
        <w:ind w:firstLine="420" w:firstLineChars="200"/>
        <w:rPr>
          <w:rFonts w:ascii="宋体" w:cs="宋体"/>
          <w:szCs w:val="21"/>
          <w:highlight w:val="none"/>
        </w:rPr>
      </w:pPr>
      <w:r>
        <w:rPr>
          <w:rFonts w:ascii="宋体" w:hAnsi="宋体" w:cs="宋体"/>
          <w:szCs w:val="21"/>
          <w:highlight w:val="none"/>
        </w:rPr>
        <w:t>(2)</w:t>
      </w:r>
      <w:r>
        <w:rPr>
          <w:rFonts w:ascii="宋体" w:hAnsi="宋体" w:cs="宋体"/>
          <w:szCs w:val="21"/>
          <w:highlight w:val="none"/>
        </w:rPr>
        <w:tab/>
      </w:r>
      <w:r>
        <w:rPr>
          <w:rFonts w:hint="eastAsia" w:ascii="宋体" w:hAnsi="宋体" w:cs="宋体"/>
          <w:szCs w:val="21"/>
          <w:highlight w:val="none"/>
        </w:rPr>
        <w:t>出现影响采购公正的违法、违规行为的；</w:t>
      </w:r>
    </w:p>
    <w:p>
      <w:pPr>
        <w:spacing w:line="360" w:lineRule="auto"/>
        <w:ind w:firstLine="420" w:firstLineChars="200"/>
        <w:rPr>
          <w:rFonts w:ascii="宋体" w:cs="宋体"/>
          <w:szCs w:val="21"/>
          <w:highlight w:val="none"/>
        </w:rPr>
      </w:pPr>
      <w:r>
        <w:rPr>
          <w:rFonts w:ascii="宋体" w:hAnsi="宋体" w:cs="宋体"/>
          <w:szCs w:val="21"/>
          <w:highlight w:val="none"/>
        </w:rPr>
        <w:t>(3)</w:t>
      </w:r>
      <w:r>
        <w:rPr>
          <w:rFonts w:ascii="宋体" w:hAnsi="宋体" w:cs="宋体"/>
          <w:szCs w:val="21"/>
          <w:highlight w:val="none"/>
        </w:rPr>
        <w:tab/>
      </w:r>
      <w:r>
        <w:rPr>
          <w:rFonts w:hint="eastAsia" w:ascii="宋体" w:hAnsi="宋体" w:cs="宋体"/>
          <w:szCs w:val="21"/>
          <w:highlight w:val="none"/>
        </w:rPr>
        <w:t>供应商的报价均超过了最高磋商限价，采购人不能支付的；</w:t>
      </w:r>
    </w:p>
    <w:p>
      <w:pPr>
        <w:spacing w:line="360" w:lineRule="auto"/>
        <w:ind w:firstLine="420" w:firstLineChars="200"/>
        <w:rPr>
          <w:rFonts w:ascii="宋体" w:hAnsi="宋体" w:cs="宋体"/>
          <w:szCs w:val="21"/>
          <w:highlight w:val="none"/>
        </w:rPr>
      </w:pPr>
      <w:r>
        <w:rPr>
          <w:rFonts w:ascii="宋体" w:hAnsi="宋体" w:cs="宋体"/>
          <w:szCs w:val="21"/>
          <w:highlight w:val="none"/>
        </w:rPr>
        <w:t>(4)</w:t>
      </w:r>
      <w:r>
        <w:rPr>
          <w:rFonts w:ascii="宋体" w:hAnsi="宋体" w:cs="宋体"/>
          <w:szCs w:val="21"/>
          <w:highlight w:val="none"/>
        </w:rPr>
        <w:tab/>
      </w:r>
      <w:r>
        <w:rPr>
          <w:rFonts w:hint="eastAsia" w:ascii="宋体" w:hAnsi="宋体" w:cs="宋体"/>
          <w:szCs w:val="21"/>
          <w:highlight w:val="none"/>
        </w:rPr>
        <w:t>因重大变故，采购任务取消的。</w:t>
      </w:r>
    </w:p>
    <w:p>
      <w:pPr>
        <w:spacing w:line="360" w:lineRule="auto"/>
        <w:ind w:firstLine="422" w:firstLineChars="200"/>
        <w:rPr>
          <w:rFonts w:ascii="宋体" w:cs="宋体"/>
          <w:b/>
          <w:szCs w:val="21"/>
          <w:highlight w:val="none"/>
        </w:rPr>
      </w:pPr>
      <w:r>
        <w:rPr>
          <w:rFonts w:hint="eastAsia" w:ascii="宋体" w:hAnsi="宋体" w:cs="宋体"/>
          <w:b/>
          <w:szCs w:val="21"/>
          <w:highlight w:val="none"/>
        </w:rPr>
        <w:t>29、评标过程的保密性</w:t>
      </w:r>
    </w:p>
    <w:p>
      <w:pPr>
        <w:spacing w:line="360" w:lineRule="auto"/>
        <w:ind w:firstLine="420" w:firstLineChars="200"/>
        <w:rPr>
          <w:rFonts w:ascii="宋体" w:cs="宋体"/>
          <w:szCs w:val="21"/>
          <w:highlight w:val="none"/>
        </w:rPr>
      </w:pPr>
      <w:r>
        <w:rPr>
          <w:rFonts w:hint="eastAsia" w:ascii="宋体" w:hAnsi="宋体" w:cs="宋体"/>
          <w:szCs w:val="21"/>
          <w:highlight w:val="none"/>
        </w:rPr>
        <w:t>29</w:t>
      </w:r>
      <w:r>
        <w:rPr>
          <w:rFonts w:ascii="宋体" w:hAnsi="宋体" w:cs="宋体"/>
          <w:szCs w:val="21"/>
          <w:highlight w:val="none"/>
        </w:rPr>
        <w:t>.1</w:t>
      </w:r>
      <w:r>
        <w:rPr>
          <w:rFonts w:hint="eastAsia" w:ascii="宋体" w:hAnsi="宋体" w:cs="宋体"/>
          <w:szCs w:val="21"/>
          <w:highlight w:val="none"/>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highlight w:val="none"/>
        </w:rPr>
      </w:pPr>
      <w:r>
        <w:rPr>
          <w:rFonts w:hint="eastAsia" w:ascii="宋体" w:hAnsi="宋体" w:cs="宋体"/>
          <w:szCs w:val="21"/>
          <w:highlight w:val="none"/>
        </w:rPr>
        <w:t>29</w:t>
      </w:r>
      <w:r>
        <w:rPr>
          <w:rFonts w:ascii="宋体" w:hAnsi="宋体" w:cs="宋体"/>
          <w:szCs w:val="21"/>
          <w:highlight w:val="none"/>
        </w:rPr>
        <w:t>.2</w:t>
      </w:r>
      <w:r>
        <w:rPr>
          <w:rFonts w:hint="eastAsia" w:ascii="宋体" w:hAnsi="宋体" w:cs="宋体"/>
          <w:szCs w:val="21"/>
          <w:highlight w:val="none"/>
        </w:rPr>
        <w:t>、在评标过程中，供应商如向磋商小组成员施加任何影响，都将会导致其响应文件被拒绝。</w:t>
      </w:r>
    </w:p>
    <w:p>
      <w:pPr>
        <w:spacing w:line="360" w:lineRule="auto"/>
        <w:ind w:firstLine="420" w:firstLineChars="200"/>
        <w:rPr>
          <w:rFonts w:ascii="宋体" w:cs="宋体"/>
          <w:szCs w:val="21"/>
          <w:highlight w:val="none"/>
        </w:rPr>
      </w:pPr>
      <w:bookmarkStart w:id="79" w:name="_Toc23618"/>
      <w:r>
        <w:rPr>
          <w:rFonts w:hint="eastAsia" w:ascii="宋体" w:hAnsi="宋体" w:cs="宋体"/>
          <w:szCs w:val="21"/>
          <w:highlight w:val="none"/>
        </w:rPr>
        <w:t>29</w:t>
      </w:r>
      <w:r>
        <w:rPr>
          <w:rFonts w:ascii="宋体" w:hAnsi="宋体" w:cs="宋体"/>
          <w:szCs w:val="21"/>
          <w:highlight w:val="none"/>
        </w:rPr>
        <w:t>.3</w:t>
      </w:r>
      <w:r>
        <w:rPr>
          <w:rFonts w:hint="eastAsia" w:ascii="宋体" w:hAnsi="宋体" w:cs="宋体"/>
          <w:szCs w:val="21"/>
          <w:highlight w:val="none"/>
        </w:rPr>
        <w:t>、成交人确定后，采购单位不对未成交人就评标过程及未能成交原因做出任何解释。未成交人不得向磋商小组组成人员或其他有关人员询问评标过程的情况和要求提供材料。</w:t>
      </w:r>
      <w:bookmarkEnd w:id="79"/>
    </w:p>
    <w:p>
      <w:pPr>
        <w:widowControl/>
        <w:spacing w:line="500" w:lineRule="exact"/>
        <w:ind w:firstLine="420" w:firstLineChars="200"/>
        <w:jc w:val="left"/>
        <w:rPr>
          <w:rFonts w:ascii="宋体" w:hAnsi="宋体" w:cs="宋体"/>
          <w:szCs w:val="21"/>
          <w:highlight w:val="none"/>
        </w:rPr>
      </w:pPr>
      <w:bookmarkStart w:id="80" w:name="_Toc13514"/>
      <w:bookmarkStart w:id="81" w:name="_Toc476584427"/>
      <w:r>
        <w:rPr>
          <w:rFonts w:hint="eastAsia" w:ascii="宋体" w:hAnsi="宋体" w:cs="宋体"/>
          <w:highlight w:val="none"/>
        </w:rPr>
        <w:t>2</w:t>
      </w:r>
      <w:r>
        <w:rPr>
          <w:rFonts w:hint="eastAsia" w:ascii="宋体" w:hAnsi="宋体" w:cs="宋体"/>
          <w:szCs w:val="21"/>
          <w:highlight w:val="none"/>
        </w:rPr>
        <w:t>9</w:t>
      </w:r>
      <w:r>
        <w:rPr>
          <w:rFonts w:ascii="宋体" w:hAnsi="宋体" w:cs="宋体"/>
          <w:szCs w:val="21"/>
          <w:highlight w:val="none"/>
        </w:rPr>
        <w:t>.4</w:t>
      </w:r>
      <w:r>
        <w:rPr>
          <w:rFonts w:hint="eastAsia" w:ascii="宋体" w:hAnsi="宋体" w:cs="宋体"/>
          <w:szCs w:val="21"/>
          <w:highlight w:val="none"/>
        </w:rPr>
        <w:t>、服务费</w:t>
      </w:r>
      <w:bookmarkEnd w:id="80"/>
      <w:bookmarkEnd w:id="81"/>
      <w:r>
        <w:rPr>
          <w:rFonts w:hint="eastAsia" w:ascii="宋体" w:hAnsi="宋体" w:cs="宋体"/>
          <w:szCs w:val="21"/>
          <w:highlight w:val="none"/>
        </w:rPr>
        <w:t>：成交人应在收到缴费通知后三日内按磋商文件要求缴纳服务费</w:t>
      </w:r>
      <w:r>
        <w:rPr>
          <w:rFonts w:hint="eastAsia" w:ascii="宋体" w:hAnsi="宋体"/>
          <w:szCs w:val="21"/>
          <w:highlight w:val="none"/>
        </w:rPr>
        <w:t>，完成缴费后请</w:t>
      </w:r>
      <w:r>
        <w:rPr>
          <w:rFonts w:ascii="宋体" w:hAnsi="宋体"/>
          <w:szCs w:val="21"/>
          <w:highlight w:val="none"/>
        </w:rPr>
        <w:t>在</w:t>
      </w:r>
      <w:r>
        <w:rPr>
          <w:rFonts w:hint="eastAsia" w:ascii="宋体" w:hAnsi="宋体"/>
          <w:szCs w:val="21"/>
          <w:highlight w:val="none"/>
        </w:rPr>
        <w:t>7</w:t>
      </w:r>
      <w:r>
        <w:rPr>
          <w:rFonts w:ascii="宋体" w:hAnsi="宋体"/>
          <w:szCs w:val="21"/>
          <w:highlight w:val="none"/>
        </w:rPr>
        <w:t>个工作日内前来开具增值税发票，逾期按普票开具，不再开具专票。</w:t>
      </w:r>
    </w:p>
    <w:p>
      <w:pPr>
        <w:widowControl/>
        <w:spacing w:line="360" w:lineRule="auto"/>
        <w:ind w:firstLine="405"/>
        <w:jc w:val="left"/>
        <w:rPr>
          <w:rFonts w:ascii="宋体" w:hAnsi="宋体" w:cs="宋体"/>
          <w:szCs w:val="21"/>
          <w:highlight w:val="none"/>
        </w:rPr>
      </w:pPr>
      <w:r>
        <w:rPr>
          <w:rFonts w:hint="eastAsia" w:ascii="宋体" w:hAnsi="宋体" w:cs="宋体"/>
          <w:szCs w:val="21"/>
          <w:highlight w:val="none"/>
        </w:rPr>
        <w:t>服务费按差额定率累进法计算。以成交价计算基数，按下表约定的货物标准的80%收取。</w:t>
      </w:r>
    </w:p>
    <w:tbl>
      <w:tblPr>
        <w:tblStyle w:val="6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highlight w:val="none"/>
              </w:rPr>
            </w:pPr>
            <w:r>
              <w:rPr>
                <w:rFonts w:ascii="宋体" w:hAnsi="宋体" w:cs="宋体"/>
                <w:szCs w:val="21"/>
                <w:highlight w:val="none"/>
              </w:rPr>
              <w:pict>
                <v:line id="Line 2" o:spid="_x0000_s2050" o:spt="20" style="position:absolute;left:0pt;margin-left:-5.35pt;margin-top:1.05pt;height:38.85pt;width:143.95pt;z-index:251660288;mso-width-relative:page;mso-height-relative:page;" coordsize="21600,21600">
                  <v:path arrowok="t"/>
                  <v:fill focussize="0,0"/>
                  <v:stroke/>
                  <v:imagedata o:title=""/>
                  <o:lock v:ext="edit"/>
                </v:line>
              </w:pict>
            </w:r>
            <w:r>
              <w:rPr>
                <w:rFonts w:hint="eastAsia" w:ascii="宋体" w:hAnsi="宋体" w:cs="宋体"/>
                <w:szCs w:val="21"/>
                <w:highlight w:val="none"/>
              </w:rPr>
              <w:t xml:space="preserve">          费率</w:t>
            </w:r>
          </w:p>
          <w:p>
            <w:pPr>
              <w:rPr>
                <w:rFonts w:ascii="宋体" w:hAnsi="宋体" w:cs="宋体"/>
                <w:szCs w:val="21"/>
                <w:highlight w:val="none"/>
              </w:rPr>
            </w:pPr>
            <w:r>
              <w:rPr>
                <w:rFonts w:hint="eastAsia" w:ascii="宋体" w:hAnsi="宋体" w:cs="宋体"/>
                <w:szCs w:val="21"/>
                <w:highlight w:val="none"/>
              </w:rPr>
              <w:t>成交价</w:t>
            </w:r>
          </w:p>
        </w:tc>
        <w:tc>
          <w:tcPr>
            <w:tcW w:w="1755" w:type="dxa"/>
            <w:vAlign w:val="center"/>
          </w:tcPr>
          <w:p>
            <w:pPr>
              <w:ind w:firstLine="105" w:firstLineChars="50"/>
              <w:jc w:val="center"/>
              <w:rPr>
                <w:rFonts w:ascii="宋体" w:hAnsi="宋体" w:cs="宋体"/>
                <w:szCs w:val="21"/>
                <w:highlight w:val="none"/>
              </w:rPr>
            </w:pPr>
            <w:r>
              <w:rPr>
                <w:rFonts w:hint="eastAsia" w:ascii="宋体" w:hAnsi="宋体" w:cs="宋体"/>
                <w:szCs w:val="21"/>
                <w:highlight w:val="none"/>
              </w:rPr>
              <w:t>货物招标</w:t>
            </w:r>
          </w:p>
        </w:tc>
        <w:tc>
          <w:tcPr>
            <w:tcW w:w="1682" w:type="dxa"/>
            <w:vAlign w:val="center"/>
          </w:tcPr>
          <w:p>
            <w:pPr>
              <w:jc w:val="center"/>
              <w:rPr>
                <w:rFonts w:ascii="宋体" w:hAnsi="宋体" w:cs="宋体"/>
                <w:szCs w:val="21"/>
                <w:highlight w:val="none"/>
              </w:rPr>
            </w:pPr>
            <w:r>
              <w:rPr>
                <w:rFonts w:hint="eastAsia" w:ascii="宋体" w:hAnsi="宋体" w:cs="宋体"/>
                <w:szCs w:val="21"/>
                <w:highlight w:val="none"/>
              </w:rPr>
              <w:t>服务招标</w:t>
            </w:r>
          </w:p>
        </w:tc>
        <w:tc>
          <w:tcPr>
            <w:tcW w:w="2186" w:type="dxa"/>
            <w:vAlign w:val="center"/>
          </w:tcPr>
          <w:p>
            <w:pPr>
              <w:jc w:val="center"/>
              <w:rPr>
                <w:rFonts w:ascii="宋体" w:hAnsi="宋体" w:cs="宋体"/>
                <w:szCs w:val="21"/>
                <w:highlight w:val="none"/>
              </w:rPr>
            </w:pPr>
            <w:r>
              <w:rPr>
                <w:rFonts w:hint="eastAsia" w:ascii="宋体" w:hAnsi="宋体" w:cs="宋体"/>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highlight w:val="none"/>
              </w:rPr>
            </w:pPr>
            <w:r>
              <w:rPr>
                <w:rFonts w:hint="eastAsia" w:ascii="宋体" w:hAnsi="宋体" w:cs="宋体"/>
                <w:szCs w:val="21"/>
                <w:highlight w:val="none"/>
              </w:rPr>
              <w:t>100万元以下</w:t>
            </w:r>
          </w:p>
        </w:tc>
        <w:tc>
          <w:tcPr>
            <w:tcW w:w="1755" w:type="dxa"/>
          </w:tcPr>
          <w:p>
            <w:pPr>
              <w:jc w:val="center"/>
              <w:rPr>
                <w:rFonts w:ascii="宋体" w:hAnsi="宋体" w:cs="宋体"/>
                <w:szCs w:val="21"/>
                <w:highlight w:val="none"/>
              </w:rPr>
            </w:pPr>
            <w:r>
              <w:rPr>
                <w:rFonts w:hint="eastAsia" w:ascii="宋体" w:hAnsi="宋体" w:cs="宋体"/>
                <w:kern w:val="0"/>
                <w:szCs w:val="21"/>
                <w:highlight w:val="none"/>
              </w:rPr>
              <w:t>1.5%</w:t>
            </w:r>
          </w:p>
        </w:tc>
        <w:tc>
          <w:tcPr>
            <w:tcW w:w="1682"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1.5%</w:t>
            </w:r>
          </w:p>
        </w:tc>
        <w:tc>
          <w:tcPr>
            <w:tcW w:w="2186"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highlight w:val="none"/>
              </w:rPr>
            </w:pPr>
            <w:r>
              <w:rPr>
                <w:rFonts w:hint="eastAsia" w:ascii="宋体" w:hAnsi="宋体" w:cs="宋体"/>
                <w:szCs w:val="21"/>
                <w:highlight w:val="none"/>
              </w:rPr>
              <w:t>100～500万元</w:t>
            </w:r>
          </w:p>
        </w:tc>
        <w:tc>
          <w:tcPr>
            <w:tcW w:w="1755"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1.1%</w:t>
            </w:r>
          </w:p>
        </w:tc>
        <w:tc>
          <w:tcPr>
            <w:tcW w:w="1682"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0.8%</w:t>
            </w:r>
          </w:p>
        </w:tc>
        <w:tc>
          <w:tcPr>
            <w:tcW w:w="2186"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highlight w:val="none"/>
              </w:rPr>
            </w:pPr>
            <w:r>
              <w:rPr>
                <w:rFonts w:hint="eastAsia" w:ascii="宋体" w:hAnsi="宋体" w:cs="宋体"/>
                <w:szCs w:val="21"/>
                <w:highlight w:val="none"/>
              </w:rPr>
              <w:t>500～1000万元</w:t>
            </w:r>
          </w:p>
        </w:tc>
        <w:tc>
          <w:tcPr>
            <w:tcW w:w="1755" w:type="dxa"/>
          </w:tcPr>
          <w:p>
            <w:pPr>
              <w:jc w:val="center"/>
              <w:rPr>
                <w:rFonts w:ascii="宋体" w:hAnsi="宋体" w:cs="宋体"/>
                <w:szCs w:val="21"/>
                <w:highlight w:val="none"/>
              </w:rPr>
            </w:pPr>
            <w:r>
              <w:rPr>
                <w:rFonts w:hint="eastAsia" w:ascii="宋体" w:hAnsi="宋体" w:cs="宋体"/>
                <w:kern w:val="0"/>
                <w:szCs w:val="21"/>
                <w:highlight w:val="none"/>
              </w:rPr>
              <w:t>0.8%</w:t>
            </w:r>
          </w:p>
        </w:tc>
        <w:tc>
          <w:tcPr>
            <w:tcW w:w="1682"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0.45%</w:t>
            </w:r>
          </w:p>
        </w:tc>
        <w:tc>
          <w:tcPr>
            <w:tcW w:w="2186"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highlight w:val="none"/>
              </w:rPr>
            </w:pPr>
            <w:r>
              <w:rPr>
                <w:rFonts w:hint="eastAsia" w:ascii="宋体" w:hAnsi="宋体" w:cs="宋体"/>
                <w:szCs w:val="21"/>
                <w:highlight w:val="none"/>
              </w:rPr>
              <w:t>1000～5000万元</w:t>
            </w:r>
          </w:p>
        </w:tc>
        <w:tc>
          <w:tcPr>
            <w:tcW w:w="1755"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0.5%</w:t>
            </w:r>
          </w:p>
        </w:tc>
        <w:tc>
          <w:tcPr>
            <w:tcW w:w="1682"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0.25%</w:t>
            </w:r>
          </w:p>
        </w:tc>
        <w:tc>
          <w:tcPr>
            <w:tcW w:w="2186"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highlight w:val="none"/>
              </w:rPr>
            </w:pPr>
            <w:r>
              <w:rPr>
                <w:rFonts w:hint="eastAsia" w:ascii="宋体" w:hAnsi="宋体" w:cs="宋体"/>
                <w:szCs w:val="21"/>
                <w:highlight w:val="none"/>
              </w:rPr>
              <w:t>5000万元～1亿元</w:t>
            </w:r>
          </w:p>
        </w:tc>
        <w:tc>
          <w:tcPr>
            <w:tcW w:w="1755"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0.25%</w:t>
            </w:r>
          </w:p>
        </w:tc>
        <w:tc>
          <w:tcPr>
            <w:tcW w:w="1682"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0.1%</w:t>
            </w:r>
          </w:p>
        </w:tc>
        <w:tc>
          <w:tcPr>
            <w:tcW w:w="2186" w:type="dxa"/>
          </w:tcPr>
          <w:p>
            <w:pPr>
              <w:ind w:firstLine="210" w:firstLineChars="100"/>
              <w:jc w:val="center"/>
              <w:rPr>
                <w:rFonts w:ascii="宋体" w:hAnsi="宋体" w:cs="宋体"/>
                <w:szCs w:val="21"/>
                <w:highlight w:val="none"/>
              </w:rPr>
            </w:pPr>
            <w:r>
              <w:rPr>
                <w:rFonts w:hint="eastAsia" w:ascii="宋体" w:hAnsi="宋体" w:cs="宋体"/>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highlight w:val="none"/>
              </w:rPr>
            </w:pPr>
            <w:r>
              <w:rPr>
                <w:rFonts w:hint="eastAsia" w:ascii="宋体" w:hAnsi="宋体" w:cs="宋体"/>
                <w:szCs w:val="21"/>
                <w:highlight w:val="none"/>
              </w:rPr>
              <w:t>1～5亿元</w:t>
            </w:r>
          </w:p>
        </w:tc>
        <w:tc>
          <w:tcPr>
            <w:tcW w:w="1755" w:type="dxa"/>
          </w:tcPr>
          <w:p>
            <w:pPr>
              <w:ind w:firstLine="210" w:firstLineChars="100"/>
              <w:jc w:val="center"/>
              <w:rPr>
                <w:rFonts w:ascii="宋体" w:hAnsi="宋体" w:cs="宋体"/>
                <w:szCs w:val="21"/>
                <w:highlight w:val="none"/>
              </w:rPr>
            </w:pPr>
            <w:r>
              <w:rPr>
                <w:rFonts w:hint="eastAsia" w:ascii="宋体" w:hAnsi="宋体" w:cs="宋体"/>
                <w:szCs w:val="21"/>
                <w:highlight w:val="none"/>
              </w:rPr>
              <w:t>0.05%</w:t>
            </w:r>
          </w:p>
        </w:tc>
        <w:tc>
          <w:tcPr>
            <w:tcW w:w="1682" w:type="dxa"/>
          </w:tcPr>
          <w:p>
            <w:pPr>
              <w:jc w:val="center"/>
              <w:rPr>
                <w:rFonts w:ascii="宋体" w:hAnsi="宋体" w:cs="宋体"/>
                <w:szCs w:val="21"/>
                <w:highlight w:val="none"/>
              </w:rPr>
            </w:pPr>
            <w:r>
              <w:rPr>
                <w:rFonts w:hint="eastAsia" w:ascii="宋体" w:hAnsi="宋体" w:cs="宋体"/>
                <w:szCs w:val="21"/>
                <w:highlight w:val="none"/>
              </w:rPr>
              <w:t>0.05%</w:t>
            </w:r>
          </w:p>
        </w:tc>
        <w:tc>
          <w:tcPr>
            <w:tcW w:w="2186" w:type="dxa"/>
          </w:tcPr>
          <w:p>
            <w:pPr>
              <w:jc w:val="center"/>
              <w:rPr>
                <w:rFonts w:ascii="宋体" w:hAnsi="宋体" w:cs="宋体"/>
                <w:szCs w:val="21"/>
                <w:highlight w:val="none"/>
              </w:rPr>
            </w:pPr>
            <w:r>
              <w:rPr>
                <w:rFonts w:hint="eastAsia" w:ascii="宋体" w:hAnsi="宋体" w:cs="宋体"/>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highlight w:val="none"/>
              </w:rPr>
            </w:pPr>
            <w:r>
              <w:rPr>
                <w:rFonts w:hint="eastAsia" w:ascii="宋体" w:hAnsi="宋体" w:cs="宋体"/>
                <w:szCs w:val="21"/>
                <w:highlight w:val="none"/>
              </w:rPr>
              <w:t>5～10亿元</w:t>
            </w:r>
          </w:p>
        </w:tc>
        <w:tc>
          <w:tcPr>
            <w:tcW w:w="1755" w:type="dxa"/>
          </w:tcPr>
          <w:p>
            <w:pPr>
              <w:ind w:firstLine="105" w:firstLineChars="50"/>
              <w:jc w:val="center"/>
              <w:rPr>
                <w:rFonts w:ascii="宋体" w:hAnsi="宋体" w:cs="宋体"/>
                <w:szCs w:val="21"/>
                <w:highlight w:val="none"/>
              </w:rPr>
            </w:pPr>
            <w:r>
              <w:rPr>
                <w:rFonts w:hint="eastAsia" w:ascii="宋体" w:hAnsi="宋体" w:cs="宋体"/>
                <w:szCs w:val="21"/>
                <w:highlight w:val="none"/>
              </w:rPr>
              <w:t>0.035%</w:t>
            </w:r>
          </w:p>
        </w:tc>
        <w:tc>
          <w:tcPr>
            <w:tcW w:w="1682" w:type="dxa"/>
          </w:tcPr>
          <w:p>
            <w:pPr>
              <w:jc w:val="center"/>
              <w:rPr>
                <w:rFonts w:ascii="宋体" w:hAnsi="宋体" w:cs="宋体"/>
                <w:szCs w:val="21"/>
                <w:highlight w:val="none"/>
              </w:rPr>
            </w:pPr>
            <w:r>
              <w:rPr>
                <w:rFonts w:hint="eastAsia" w:ascii="宋体" w:hAnsi="宋体" w:cs="宋体"/>
                <w:szCs w:val="21"/>
                <w:highlight w:val="none"/>
              </w:rPr>
              <w:t>0.035%</w:t>
            </w:r>
          </w:p>
        </w:tc>
        <w:tc>
          <w:tcPr>
            <w:tcW w:w="2186" w:type="dxa"/>
          </w:tcPr>
          <w:p>
            <w:pPr>
              <w:ind w:firstLine="105" w:firstLineChars="50"/>
              <w:jc w:val="center"/>
              <w:rPr>
                <w:rFonts w:ascii="宋体" w:hAnsi="宋体" w:cs="宋体"/>
                <w:szCs w:val="21"/>
                <w:highlight w:val="none"/>
              </w:rPr>
            </w:pPr>
            <w:r>
              <w:rPr>
                <w:rFonts w:hint="eastAsia" w:ascii="宋体" w:hAnsi="宋体" w:cs="宋体"/>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highlight w:val="none"/>
              </w:rPr>
            </w:pPr>
            <w:r>
              <w:rPr>
                <w:rFonts w:hint="eastAsia" w:ascii="宋体" w:hAnsi="宋体" w:cs="宋体"/>
                <w:szCs w:val="21"/>
                <w:highlight w:val="none"/>
              </w:rPr>
              <w:t>10～50亿元</w:t>
            </w:r>
          </w:p>
        </w:tc>
        <w:tc>
          <w:tcPr>
            <w:tcW w:w="1755" w:type="dxa"/>
          </w:tcPr>
          <w:p>
            <w:pPr>
              <w:ind w:firstLine="105" w:firstLineChars="50"/>
              <w:jc w:val="center"/>
              <w:rPr>
                <w:rFonts w:ascii="宋体" w:hAnsi="宋体" w:cs="宋体"/>
                <w:szCs w:val="21"/>
                <w:highlight w:val="none"/>
              </w:rPr>
            </w:pPr>
            <w:r>
              <w:rPr>
                <w:rFonts w:hint="eastAsia" w:ascii="宋体" w:hAnsi="宋体" w:cs="宋体"/>
                <w:szCs w:val="21"/>
                <w:highlight w:val="none"/>
              </w:rPr>
              <w:t>0.008%</w:t>
            </w:r>
          </w:p>
        </w:tc>
        <w:tc>
          <w:tcPr>
            <w:tcW w:w="1682" w:type="dxa"/>
          </w:tcPr>
          <w:p>
            <w:pPr>
              <w:ind w:firstLine="210" w:firstLineChars="100"/>
              <w:jc w:val="center"/>
              <w:rPr>
                <w:rFonts w:ascii="宋体" w:hAnsi="宋体" w:cs="宋体"/>
                <w:szCs w:val="21"/>
                <w:highlight w:val="none"/>
              </w:rPr>
            </w:pPr>
            <w:r>
              <w:rPr>
                <w:rFonts w:hint="eastAsia" w:ascii="宋体" w:hAnsi="宋体" w:cs="宋体"/>
                <w:szCs w:val="21"/>
                <w:highlight w:val="none"/>
              </w:rPr>
              <w:t>0.008%</w:t>
            </w:r>
          </w:p>
        </w:tc>
        <w:tc>
          <w:tcPr>
            <w:tcW w:w="2186" w:type="dxa"/>
          </w:tcPr>
          <w:p>
            <w:pPr>
              <w:ind w:firstLine="105" w:firstLineChars="50"/>
              <w:jc w:val="center"/>
              <w:rPr>
                <w:rFonts w:ascii="宋体" w:hAnsi="宋体" w:cs="宋体"/>
                <w:szCs w:val="21"/>
                <w:highlight w:val="none"/>
              </w:rPr>
            </w:pPr>
            <w:r>
              <w:rPr>
                <w:rFonts w:hint="eastAsia" w:ascii="宋体" w:hAnsi="宋体" w:cs="宋体"/>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highlight w:val="none"/>
              </w:rPr>
            </w:pPr>
            <w:r>
              <w:rPr>
                <w:rFonts w:hint="eastAsia" w:ascii="宋体" w:hAnsi="宋体" w:cs="宋体"/>
                <w:szCs w:val="21"/>
                <w:highlight w:val="none"/>
              </w:rPr>
              <w:t>50～100亿元</w:t>
            </w:r>
          </w:p>
        </w:tc>
        <w:tc>
          <w:tcPr>
            <w:tcW w:w="1755" w:type="dxa"/>
          </w:tcPr>
          <w:p>
            <w:pPr>
              <w:jc w:val="center"/>
              <w:rPr>
                <w:rFonts w:ascii="宋体" w:hAnsi="宋体" w:cs="宋体"/>
                <w:szCs w:val="21"/>
                <w:highlight w:val="none"/>
              </w:rPr>
            </w:pPr>
            <w:r>
              <w:rPr>
                <w:rFonts w:hint="eastAsia" w:ascii="宋体" w:hAnsi="宋体" w:cs="宋体"/>
                <w:szCs w:val="21"/>
                <w:highlight w:val="none"/>
              </w:rPr>
              <w:t>0.006%</w:t>
            </w:r>
          </w:p>
        </w:tc>
        <w:tc>
          <w:tcPr>
            <w:tcW w:w="1682" w:type="dxa"/>
          </w:tcPr>
          <w:p>
            <w:pPr>
              <w:ind w:firstLine="210" w:firstLineChars="100"/>
              <w:jc w:val="center"/>
              <w:rPr>
                <w:rFonts w:ascii="宋体" w:hAnsi="宋体" w:cs="宋体"/>
                <w:szCs w:val="21"/>
                <w:highlight w:val="none"/>
              </w:rPr>
            </w:pPr>
            <w:r>
              <w:rPr>
                <w:rFonts w:hint="eastAsia" w:ascii="宋体" w:hAnsi="宋体" w:cs="宋体"/>
                <w:szCs w:val="21"/>
                <w:highlight w:val="none"/>
              </w:rPr>
              <w:t>0.006%</w:t>
            </w:r>
          </w:p>
        </w:tc>
        <w:tc>
          <w:tcPr>
            <w:tcW w:w="2186" w:type="dxa"/>
          </w:tcPr>
          <w:p>
            <w:pPr>
              <w:ind w:firstLine="105" w:firstLineChars="50"/>
              <w:jc w:val="center"/>
              <w:rPr>
                <w:rFonts w:ascii="宋体" w:hAnsi="宋体" w:cs="宋体"/>
                <w:szCs w:val="21"/>
                <w:highlight w:val="none"/>
              </w:rPr>
            </w:pPr>
            <w:r>
              <w:rPr>
                <w:rFonts w:hint="eastAsia" w:ascii="宋体" w:hAnsi="宋体" w:cs="宋体"/>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highlight w:val="none"/>
              </w:rPr>
            </w:pPr>
            <w:r>
              <w:rPr>
                <w:rFonts w:hint="eastAsia" w:ascii="宋体" w:hAnsi="宋体" w:cs="宋体"/>
                <w:szCs w:val="21"/>
                <w:highlight w:val="none"/>
              </w:rPr>
              <w:t>100亿以上</w:t>
            </w:r>
          </w:p>
        </w:tc>
        <w:tc>
          <w:tcPr>
            <w:tcW w:w="1755" w:type="dxa"/>
          </w:tcPr>
          <w:p>
            <w:pPr>
              <w:jc w:val="center"/>
              <w:rPr>
                <w:rFonts w:ascii="宋体" w:hAnsi="宋体" w:cs="宋体"/>
                <w:szCs w:val="21"/>
                <w:highlight w:val="none"/>
              </w:rPr>
            </w:pPr>
            <w:r>
              <w:rPr>
                <w:rFonts w:hint="eastAsia" w:ascii="宋体" w:hAnsi="宋体" w:cs="宋体"/>
                <w:szCs w:val="21"/>
                <w:highlight w:val="none"/>
              </w:rPr>
              <w:t>0.004%</w:t>
            </w:r>
          </w:p>
        </w:tc>
        <w:tc>
          <w:tcPr>
            <w:tcW w:w="1682" w:type="dxa"/>
          </w:tcPr>
          <w:p>
            <w:pPr>
              <w:ind w:firstLine="210" w:firstLineChars="100"/>
              <w:jc w:val="center"/>
              <w:rPr>
                <w:rFonts w:ascii="宋体" w:hAnsi="宋体" w:cs="宋体"/>
                <w:szCs w:val="21"/>
                <w:highlight w:val="none"/>
              </w:rPr>
            </w:pPr>
            <w:r>
              <w:rPr>
                <w:rFonts w:hint="eastAsia" w:ascii="宋体" w:hAnsi="宋体" w:cs="宋体"/>
                <w:szCs w:val="21"/>
                <w:highlight w:val="none"/>
              </w:rPr>
              <w:t>0.004%</w:t>
            </w:r>
          </w:p>
        </w:tc>
        <w:tc>
          <w:tcPr>
            <w:tcW w:w="2186" w:type="dxa"/>
          </w:tcPr>
          <w:p>
            <w:pPr>
              <w:ind w:firstLine="105" w:firstLineChars="50"/>
              <w:jc w:val="center"/>
              <w:rPr>
                <w:rFonts w:ascii="宋体" w:hAnsi="宋体" w:cs="宋体"/>
                <w:szCs w:val="21"/>
                <w:highlight w:val="none"/>
              </w:rPr>
            </w:pPr>
            <w:r>
              <w:rPr>
                <w:rFonts w:hint="eastAsia" w:ascii="宋体" w:hAnsi="宋体" w:cs="宋体"/>
                <w:szCs w:val="21"/>
                <w:highlight w:val="none"/>
              </w:rPr>
              <w:t>0.004%</w:t>
            </w:r>
          </w:p>
        </w:tc>
      </w:tr>
    </w:tbl>
    <w:p>
      <w:pPr>
        <w:widowControl/>
        <w:spacing w:line="360" w:lineRule="auto"/>
        <w:ind w:firstLine="421"/>
        <w:jc w:val="left"/>
        <w:rPr>
          <w:rFonts w:ascii="宋体" w:hAnsi="宋体" w:cs="宋体"/>
          <w:szCs w:val="21"/>
          <w:highlight w:val="none"/>
        </w:rPr>
      </w:pPr>
      <w:r>
        <w:rPr>
          <w:rFonts w:hint="eastAsia" w:ascii="宋体" w:hAnsi="宋体" w:cs="宋体"/>
          <w:b/>
          <w:highlight w:val="none"/>
        </w:rPr>
        <w:t xml:space="preserve">  </w:t>
      </w:r>
      <w:r>
        <w:rPr>
          <w:rFonts w:hint="eastAsia" w:ascii="宋体" w:hAnsi="宋体" w:cs="宋体"/>
          <w:szCs w:val="21"/>
          <w:highlight w:val="none"/>
        </w:rPr>
        <w:t>注：按上述收费标准计算不足1500元的，按1500元计费。</w:t>
      </w:r>
    </w:p>
    <w:p>
      <w:pPr>
        <w:spacing w:line="360" w:lineRule="auto"/>
        <w:rPr>
          <w:rFonts w:cs="宋体"/>
          <w:highlight w:val="none"/>
        </w:rPr>
      </w:pPr>
      <w:bookmarkStart w:id="82" w:name="_Toc3764"/>
      <w:bookmarkStart w:id="83" w:name="_Toc417655921"/>
      <w:bookmarkStart w:id="84" w:name="_Toc26993"/>
      <w:bookmarkStart w:id="85" w:name="_Toc418517858"/>
      <w:bookmarkStart w:id="86" w:name="_Toc15032"/>
      <w:r>
        <w:rPr>
          <w:rFonts w:cs="宋体"/>
          <w:highlight w:val="none"/>
        </w:rPr>
        <w:t xml:space="preserve">    </w:t>
      </w:r>
      <w:bookmarkStart w:id="87" w:name="_Toc2498"/>
      <w:bookmarkStart w:id="88" w:name="_Toc15512"/>
      <w:bookmarkStart w:id="89" w:name="_Toc6762"/>
      <w:bookmarkStart w:id="90" w:name="_Toc10691"/>
      <w:bookmarkStart w:id="91" w:name="_Toc476584428"/>
      <w:bookmarkStart w:id="92" w:name="_Toc4638"/>
      <w:bookmarkStart w:id="93" w:name="_Toc21769"/>
      <w:r>
        <w:rPr>
          <w:rFonts w:hint="eastAsia" w:cs="宋体"/>
          <w:highlight w:val="none"/>
        </w:rPr>
        <w:t>29</w:t>
      </w:r>
      <w:r>
        <w:rPr>
          <w:rFonts w:cs="宋体"/>
          <w:highlight w:val="none"/>
        </w:rPr>
        <w:t>.5</w:t>
      </w:r>
      <w:r>
        <w:rPr>
          <w:rFonts w:hint="eastAsia" w:cs="宋体"/>
          <w:highlight w:val="none"/>
        </w:rPr>
        <w:t>、成交通知书</w:t>
      </w:r>
      <w:bookmarkEnd w:id="82"/>
      <w:bookmarkEnd w:id="83"/>
      <w:bookmarkEnd w:id="84"/>
      <w:bookmarkEnd w:id="85"/>
      <w:bookmarkEnd w:id="86"/>
      <w:bookmarkEnd w:id="87"/>
      <w:bookmarkEnd w:id="88"/>
      <w:bookmarkEnd w:id="89"/>
      <w:bookmarkEnd w:id="90"/>
      <w:bookmarkEnd w:id="91"/>
      <w:bookmarkEnd w:id="92"/>
      <w:bookmarkEnd w:id="93"/>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采购人在评审报告推荐的成交候选人中按顺序确定成交人。采购人将向成交人发出成交通知书，同时在安庆职业技术学院（https://www.aqvtc.edu.cn/）公告成交结果。供应商如有质疑、投诉，必须在成交公告约定的质疑、投诉期内以书面形式向有关机构提出。</w:t>
      </w:r>
    </w:p>
    <w:p>
      <w:pPr>
        <w:spacing w:line="360" w:lineRule="auto"/>
        <w:ind w:firstLine="420"/>
        <w:jc w:val="left"/>
        <w:rPr>
          <w:rFonts w:ascii="宋体"/>
          <w:szCs w:val="21"/>
          <w:highlight w:val="none"/>
        </w:rPr>
      </w:pPr>
      <w:r>
        <w:rPr>
          <w:rFonts w:hint="eastAsia" w:ascii="宋体" w:hAnsi="宋体"/>
          <w:szCs w:val="21"/>
          <w:highlight w:val="none"/>
        </w:rPr>
        <w:t>29</w:t>
      </w:r>
      <w:r>
        <w:rPr>
          <w:rFonts w:ascii="宋体" w:hAnsi="宋体"/>
          <w:szCs w:val="21"/>
          <w:highlight w:val="none"/>
        </w:rPr>
        <w:t>.6</w:t>
      </w:r>
      <w:r>
        <w:rPr>
          <w:rFonts w:hint="eastAsia" w:ascii="宋体" w:hAnsi="宋体"/>
          <w:szCs w:val="21"/>
          <w:highlight w:val="none"/>
        </w:rPr>
        <w:t>、根据相关规定，对中标或成交结果提出质疑的，为中标或成交结果公告期限届满之日起七个工作日内以书面形式向采购人提出。建议在成交公告质疑期满（无异议）后，采购人与成交人签订采购合同。</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七、合同授予</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bookmarkStart w:id="94" w:name="_Toc21358"/>
      <w:bookmarkStart w:id="95" w:name="_Toc16466"/>
      <w:bookmarkStart w:id="96" w:name="_Toc18179"/>
      <w:bookmarkStart w:id="97" w:name="_Toc24860"/>
      <w:bookmarkStart w:id="98" w:name="_Toc3632"/>
      <w:bookmarkStart w:id="99" w:name="_Toc476584429"/>
      <w:bookmarkStart w:id="100" w:name="_Toc418517860"/>
      <w:bookmarkStart w:id="101" w:name="_Toc3930"/>
      <w:bookmarkStart w:id="102" w:name="_Toc28577"/>
      <w:bookmarkStart w:id="103" w:name="_Toc22183"/>
      <w:bookmarkStart w:id="104" w:name="_Toc417655923"/>
      <w:bookmarkStart w:id="105" w:name="_Toc15562"/>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0、签订合同</w:t>
      </w:r>
      <w:bookmarkEnd w:id="94"/>
      <w:bookmarkEnd w:id="95"/>
      <w:bookmarkEnd w:id="96"/>
      <w:bookmarkEnd w:id="97"/>
      <w:bookmarkEnd w:id="98"/>
      <w:bookmarkEnd w:id="99"/>
      <w:bookmarkEnd w:id="100"/>
      <w:bookmarkEnd w:id="101"/>
      <w:bookmarkEnd w:id="102"/>
      <w:bookmarkEnd w:id="103"/>
      <w:bookmarkEnd w:id="104"/>
      <w:bookmarkEnd w:id="105"/>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w:t>
      </w:r>
      <w:r>
        <w:rPr>
          <w:rFonts w:ascii="宋体" w:hAnsi="宋体" w:eastAsia="宋体" w:cs="Times New Roman"/>
          <w:kern w:val="2"/>
          <w:sz w:val="21"/>
          <w:szCs w:val="21"/>
          <w:highlight w:val="none"/>
        </w:rPr>
        <w:t>.</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.1</w:t>
      </w:r>
      <w:r>
        <w:rPr>
          <w:rFonts w:hint="eastAsia" w:ascii="宋体" w:hAnsi="宋体" w:eastAsia="宋体" w:cs="Times New Roman"/>
          <w:kern w:val="2"/>
          <w:sz w:val="21"/>
          <w:szCs w:val="21"/>
          <w:highlight w:val="none"/>
        </w:rPr>
        <w:t>、成交人的成交价即为合同价款。</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w:t>
      </w:r>
      <w:r>
        <w:rPr>
          <w:rFonts w:ascii="宋体" w:hAnsi="宋体" w:eastAsia="宋体" w:cs="Times New Roman"/>
          <w:kern w:val="2"/>
          <w:sz w:val="21"/>
          <w:szCs w:val="21"/>
          <w:highlight w:val="none"/>
        </w:rPr>
        <w:t>.</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.2</w:t>
      </w:r>
      <w:r>
        <w:rPr>
          <w:rFonts w:hint="eastAsia" w:ascii="宋体" w:hAnsi="宋体" w:eastAsia="宋体" w:cs="Times New Roman"/>
          <w:kern w:val="2"/>
          <w:sz w:val="21"/>
          <w:szCs w:val="21"/>
          <w:highlight w:val="none"/>
        </w:rPr>
        <w:t>、成交人在收到成交通知书起10个工作日内，与采购人签订合同。</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w:t>
      </w:r>
      <w:r>
        <w:rPr>
          <w:rFonts w:ascii="宋体" w:hAnsi="宋体" w:eastAsia="宋体" w:cs="Times New Roman"/>
          <w:kern w:val="2"/>
          <w:sz w:val="21"/>
          <w:szCs w:val="21"/>
          <w:highlight w:val="none"/>
        </w:rPr>
        <w:t>.</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、成交人拒绝与采购人签订合同的，采购人可以按照评审报告推荐的成交候选人名单排序，确定下一候选人为成交人，也可以重新开展政府采购活动。</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1、履约保证金</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.1</w:t>
      </w:r>
      <w:r>
        <w:rPr>
          <w:rFonts w:hint="eastAsia" w:ascii="宋体" w:hAnsi="宋体" w:eastAsia="宋体" w:cs="Times New Roman"/>
          <w:kern w:val="2"/>
          <w:sz w:val="21"/>
          <w:szCs w:val="21"/>
          <w:highlight w:val="none"/>
        </w:rPr>
        <w:t>、成交人在签订合同前必须按磋商文件的约定，及时、足额向采购人提交履约保证金。</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.2</w:t>
      </w:r>
      <w:r>
        <w:rPr>
          <w:rFonts w:hint="eastAsia" w:ascii="宋体" w:hAnsi="宋体" w:eastAsia="宋体" w:cs="Times New Roman"/>
          <w:kern w:val="2"/>
          <w:sz w:val="21"/>
          <w:szCs w:val="21"/>
          <w:highlight w:val="none"/>
        </w:rPr>
        <w:t>、若成交人不能按须知前附表执行，采购人可在无须征得成交人同意的情况下，不与其签订合同。给采购单位造成的损失，成交人还应当予以赔偿。</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、履约保证金按合同条款约定退还。</w:t>
      </w:r>
    </w:p>
    <w:p>
      <w:pPr>
        <w:pStyle w:val="54"/>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2、未尽事宜</w:t>
      </w:r>
    </w:p>
    <w:p>
      <w:pPr>
        <w:pStyle w:val="54"/>
        <w:widowControl w:val="0"/>
        <w:spacing w:before="0" w:beforeAutospacing="0" w:after="0" w:afterAutospacing="0" w:line="360" w:lineRule="auto"/>
        <w:ind w:firstLine="420" w:firstLineChars="200"/>
        <w:rPr>
          <w:rFonts w:ascii="宋体" w:cs="宋体"/>
          <w:b/>
          <w:bCs/>
          <w:snapToGrid w:val="0"/>
          <w:sz w:val="32"/>
          <w:szCs w:val="32"/>
          <w:highlight w:val="none"/>
        </w:rPr>
      </w:pPr>
      <w:r>
        <w:rPr>
          <w:rFonts w:hint="eastAsia" w:ascii="宋体" w:hAnsi="宋体" w:eastAsia="宋体" w:cs="Times New Roman"/>
          <w:kern w:val="2"/>
          <w:sz w:val="21"/>
          <w:szCs w:val="21"/>
          <w:highlight w:val="none"/>
        </w:rPr>
        <w:t>依据《政府采购竞争性磋商采购方式管理暂行办法》并参照《中华人民共和国政府采购法》、《中华人民共和国政府采购法实施条例》及其他有关法律法规规定执行。</w:t>
      </w:r>
    </w:p>
    <w:p>
      <w:pPr>
        <w:pStyle w:val="2"/>
        <w:pageBreakBefore/>
        <w:spacing w:before="62" w:beforeLines="20" w:after="62" w:afterLines="20" w:line="480" w:lineRule="exact"/>
        <w:ind w:firstLine="0" w:firstLineChars="0"/>
        <w:jc w:val="center"/>
        <w:rPr>
          <w:rFonts w:ascii="Arial" w:hAnsi="Arial"/>
          <w:kern w:val="2"/>
          <w:sz w:val="32"/>
          <w:szCs w:val="32"/>
          <w:highlight w:val="none"/>
          <w:lang w:val="zh-CN"/>
        </w:rPr>
      </w:pPr>
      <w:bookmarkStart w:id="106" w:name="_Toc16555"/>
      <w:r>
        <w:rPr>
          <w:rFonts w:hint="eastAsia" w:ascii="Arial" w:hAnsi="Arial"/>
          <w:kern w:val="2"/>
          <w:sz w:val="32"/>
          <w:szCs w:val="32"/>
          <w:highlight w:val="none"/>
        </w:rPr>
        <w:t>第三章</w:t>
      </w:r>
      <w:r>
        <w:rPr>
          <w:rFonts w:ascii="Arial" w:hAnsi="Arial"/>
          <w:kern w:val="2"/>
          <w:sz w:val="32"/>
          <w:szCs w:val="32"/>
          <w:highlight w:val="none"/>
        </w:rPr>
        <w:t xml:space="preserve">  </w:t>
      </w:r>
      <w:bookmarkStart w:id="107" w:name="_Toc439316879"/>
      <w:r>
        <w:rPr>
          <w:rFonts w:ascii="Arial" w:hAnsi="Arial"/>
          <w:kern w:val="2"/>
          <w:sz w:val="32"/>
          <w:szCs w:val="32"/>
          <w:highlight w:val="none"/>
          <w:lang w:val="zh-CN"/>
        </w:rPr>
        <w:t xml:space="preserve">  </w:t>
      </w:r>
      <w:bookmarkEnd w:id="107"/>
      <w:r>
        <w:rPr>
          <w:rFonts w:hint="eastAsia" w:ascii="Arial" w:hAnsi="Arial"/>
          <w:kern w:val="2"/>
          <w:sz w:val="32"/>
          <w:szCs w:val="32"/>
          <w:highlight w:val="none"/>
          <w:lang w:val="zh-CN"/>
        </w:rPr>
        <w:t>服务需求及技术要求</w:t>
      </w:r>
      <w:bookmarkEnd w:id="106"/>
    </w:p>
    <w:p>
      <w:pPr>
        <w:rPr>
          <w:b/>
          <w:bCs/>
          <w:sz w:val="28"/>
          <w:szCs w:val="24"/>
          <w:highlight w:val="none"/>
        </w:rPr>
      </w:pPr>
      <w:bookmarkStart w:id="108" w:name="_Toc53217151"/>
      <w:r>
        <w:rPr>
          <w:rFonts w:hint="eastAsia"/>
          <w:b/>
          <w:bCs/>
          <w:sz w:val="28"/>
          <w:szCs w:val="24"/>
          <w:highlight w:val="none"/>
        </w:rPr>
        <w:t>一、项目概况</w:t>
      </w:r>
      <w:bookmarkEnd w:id="108"/>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依据《中华人民共和国网络安全法》《信息安全等级保护管理办法》的相关要求，对安庆职业技术学院重要信息系统进行网络安全等级保护测评，包括：安全技术测评，安全管理测评，工具测试，编制系统安全整改方案，编制和完善安全管理制度等。</w:t>
      </w:r>
    </w:p>
    <w:p>
      <w:pPr>
        <w:rPr>
          <w:b/>
          <w:bCs/>
          <w:sz w:val="28"/>
          <w:szCs w:val="24"/>
          <w:highlight w:val="none"/>
        </w:rPr>
      </w:pPr>
      <w:bookmarkStart w:id="109" w:name="_Toc53217152"/>
      <w:r>
        <w:rPr>
          <w:rFonts w:hint="eastAsia"/>
          <w:b/>
          <w:bCs/>
          <w:sz w:val="28"/>
          <w:szCs w:val="24"/>
          <w:highlight w:val="none"/>
        </w:rPr>
        <w:t>二、项目实施范围</w:t>
      </w:r>
      <w:bookmarkEnd w:id="109"/>
    </w:p>
    <w:p>
      <w:pPr>
        <w:spacing w:after="156" w:afterLines="50" w:line="360" w:lineRule="auto"/>
        <w:rPr>
          <w:rFonts w:ascii="宋体" w:hAnsi="宋体" w:cs="Arial"/>
          <w:kern w:val="0"/>
          <w:sz w:val="24"/>
          <w:highlight w:val="none"/>
        </w:rPr>
      </w:pPr>
      <w:r>
        <w:rPr>
          <w:rFonts w:hint="eastAsia" w:ascii="宋体" w:hAnsi="宋体" w:cs="Arial"/>
          <w:kern w:val="0"/>
          <w:sz w:val="24"/>
          <w:highlight w:val="none"/>
        </w:rPr>
        <w:t>本次参于网络安全等级保护测评的系统如下：</w:t>
      </w:r>
    </w:p>
    <w:tbl>
      <w:tblPr>
        <w:tblStyle w:val="60"/>
        <w:tblW w:w="8060" w:type="dxa"/>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452"/>
        <w:gridCol w:w="244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shd w:val="clear" w:color="000000" w:fill="F2F2F2"/>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3452" w:type="dxa"/>
            <w:shd w:val="clear" w:color="000000" w:fill="F2F2F2"/>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待测系统名称</w:t>
            </w:r>
          </w:p>
        </w:tc>
        <w:tc>
          <w:tcPr>
            <w:tcW w:w="2448" w:type="dxa"/>
            <w:shd w:val="clear" w:color="000000" w:fill="F2F2F2"/>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安全保护等级</w:t>
            </w:r>
          </w:p>
        </w:tc>
        <w:tc>
          <w:tcPr>
            <w:tcW w:w="1080" w:type="dxa"/>
            <w:shd w:val="clear" w:color="000000" w:fill="F2F2F2"/>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3452"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网站群信息系统</w:t>
            </w:r>
          </w:p>
        </w:tc>
        <w:tc>
          <w:tcPr>
            <w:tcW w:w="2448"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3452"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邮件系统</w:t>
            </w:r>
          </w:p>
        </w:tc>
        <w:tc>
          <w:tcPr>
            <w:tcW w:w="2448"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3452"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数字校园系统</w:t>
            </w:r>
          </w:p>
        </w:tc>
        <w:tc>
          <w:tcPr>
            <w:tcW w:w="2448"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3452"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图书管理系统</w:t>
            </w:r>
          </w:p>
        </w:tc>
        <w:tc>
          <w:tcPr>
            <w:tcW w:w="2448"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3452"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财务系统</w:t>
            </w:r>
          </w:p>
        </w:tc>
        <w:tc>
          <w:tcPr>
            <w:tcW w:w="2448" w:type="dxa"/>
            <w:shd w:val="clear" w:color="auto" w:fill="auto"/>
          </w:tcPr>
          <w:p>
            <w:pPr>
              <w:widowControl/>
              <w:spacing w:line="360" w:lineRule="auto"/>
              <w:contextualSpacing/>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cs="宋体"/>
                <w:color w:val="000000"/>
                <w:kern w:val="0"/>
                <w:sz w:val="24"/>
                <w:szCs w:val="24"/>
                <w:highlight w:val="none"/>
              </w:rPr>
            </w:pPr>
          </w:p>
        </w:tc>
      </w:tr>
    </w:tbl>
    <w:p>
      <w:pPr>
        <w:rPr>
          <w:b/>
          <w:bCs/>
          <w:sz w:val="28"/>
          <w:szCs w:val="24"/>
          <w:highlight w:val="none"/>
        </w:rPr>
      </w:pPr>
      <w:bookmarkStart w:id="110" w:name="_Toc53217153"/>
      <w:r>
        <w:rPr>
          <w:rFonts w:hint="eastAsia"/>
          <w:b/>
          <w:bCs/>
          <w:sz w:val="28"/>
          <w:szCs w:val="24"/>
          <w:highlight w:val="none"/>
        </w:rPr>
        <w:t>三、指导思想和基本准则</w:t>
      </w:r>
      <w:bookmarkEnd w:id="110"/>
    </w:p>
    <w:p>
      <w:pPr>
        <w:autoSpaceDE w:val="0"/>
        <w:autoSpaceDN w:val="0"/>
        <w:adjustRightInd w:val="0"/>
        <w:spacing w:line="360" w:lineRule="auto"/>
        <w:ind w:firstLine="480" w:firstLineChars="200"/>
        <w:rPr>
          <w:rFonts w:ascii="宋体" w:hAnsi="宋体" w:cs="Arial"/>
          <w:sz w:val="24"/>
          <w:szCs w:val="24"/>
          <w:highlight w:val="none"/>
        </w:rPr>
      </w:pPr>
      <w:r>
        <w:rPr>
          <w:rFonts w:hint="eastAsia" w:ascii="宋体" w:hAnsi="宋体" w:cs="Arial"/>
          <w:sz w:val="24"/>
          <w:szCs w:val="24"/>
          <w:highlight w:val="none"/>
        </w:rPr>
        <w:t>根据公安部、国家保密局、国家密码管理局、国信办联合印发的《信息系统安全等级保护管理办法》（公通字〔2007〕43号）、《关于信息系统安全等级保护工作的实施意见》（公通字〔2004〕66号）、《关于开展全国重要信息系统安全等级保护定级工作的通知》（公信安〔2007〕861 号）、公安部《关于开展信息安全等级保护安全建设整改工作的指导意见》（公信安[2009]1429号）、国家发改委《关于加强国家电子政务工程建设项目信息安全风险评估工作的通知》（发改高技[2008]2071号），以及安徽省发改委《关于加强国家电子政务工程建设项目信息安全风险评估工作的通知》（发改高技[2008]967号）等文件精神，结合</w:t>
      </w:r>
      <w:r>
        <w:rPr>
          <w:rFonts w:ascii="宋体" w:hAnsi="宋体" w:cs="Arial"/>
          <w:sz w:val="24"/>
          <w:szCs w:val="24"/>
          <w:highlight w:val="none"/>
        </w:rPr>
        <w:t>安庆职业技术学院</w:t>
      </w:r>
      <w:r>
        <w:rPr>
          <w:rFonts w:hint="eastAsia" w:ascii="宋体" w:hAnsi="宋体" w:cs="Arial"/>
          <w:sz w:val="24"/>
          <w:szCs w:val="24"/>
          <w:highlight w:val="none"/>
        </w:rPr>
        <w:t>工作实际，现拟对</w:t>
      </w:r>
      <w:r>
        <w:rPr>
          <w:rFonts w:ascii="宋体" w:hAnsi="宋体" w:cs="Arial"/>
          <w:sz w:val="24"/>
          <w:szCs w:val="24"/>
          <w:highlight w:val="none"/>
        </w:rPr>
        <w:t>安庆职业技术学院</w:t>
      </w:r>
      <w:r>
        <w:rPr>
          <w:rFonts w:hint="eastAsia" w:ascii="宋体" w:hAnsi="宋体" w:cs="Arial"/>
          <w:sz w:val="24"/>
          <w:szCs w:val="24"/>
          <w:highlight w:val="none"/>
        </w:rPr>
        <w:t>重要信息系统实施网络安全等级保护测评，以进一步完善信息系统安全管理体系和技术防护体系，切实提高系统信息安全防护能力。</w:t>
      </w:r>
      <w:r>
        <w:rPr>
          <w:rFonts w:ascii="宋体" w:hAnsi="宋体" w:cs="Arial"/>
          <w:sz w:val="24"/>
          <w:szCs w:val="24"/>
          <w:highlight w:val="none"/>
        </w:rPr>
        <w:t xml:space="preserve"> </w:t>
      </w:r>
    </w:p>
    <w:p>
      <w:pPr>
        <w:rPr>
          <w:b/>
          <w:bCs/>
          <w:sz w:val="28"/>
          <w:szCs w:val="24"/>
          <w:highlight w:val="none"/>
        </w:rPr>
      </w:pPr>
      <w:bookmarkStart w:id="111" w:name="_Toc53217154"/>
      <w:r>
        <w:rPr>
          <w:rFonts w:hint="eastAsia"/>
          <w:b/>
          <w:bCs/>
          <w:sz w:val="28"/>
          <w:szCs w:val="24"/>
          <w:highlight w:val="none"/>
        </w:rPr>
        <w:t>四、等级保护测评主要包括以下几个方面：</w:t>
      </w:r>
      <w:bookmarkEnd w:id="111"/>
    </w:p>
    <w:p>
      <w:pPr>
        <w:numPr>
          <w:ilvl w:val="0"/>
          <w:numId w:val="9"/>
        </w:numPr>
        <w:spacing w:before="240" w:after="120" w:line="360" w:lineRule="auto"/>
        <w:ind w:left="0" w:firstLine="482" w:firstLineChars="200"/>
        <w:rPr>
          <w:rFonts w:ascii="宋体" w:hAnsi="宋体"/>
          <w:b/>
          <w:sz w:val="24"/>
          <w:szCs w:val="24"/>
          <w:highlight w:val="none"/>
        </w:rPr>
      </w:pPr>
      <w:bookmarkStart w:id="112" w:name="_Toc46177951"/>
      <w:bookmarkStart w:id="113" w:name="_Hlk35596349"/>
      <w:r>
        <w:rPr>
          <w:rFonts w:hint="eastAsia" w:ascii="宋体" w:hAnsi="宋体"/>
          <w:b/>
          <w:sz w:val="24"/>
          <w:szCs w:val="24"/>
          <w:highlight w:val="none"/>
        </w:rPr>
        <w:t>等保测评：</w:t>
      </w:r>
      <w:r>
        <w:rPr>
          <w:rFonts w:hint="eastAsia" w:ascii="宋体" w:hAnsi="宋体"/>
          <w:bCs/>
          <w:sz w:val="24"/>
          <w:szCs w:val="24"/>
          <w:highlight w:val="none"/>
        </w:rPr>
        <w:t>完成包括安全物理环境、安全计算环境、安全区域边界、安全通信网络、安全管理中心和安全管理机构、安全管理制度、安全管理人员、安全建设管理和安全运维管理方面的测评工作；</w:t>
      </w:r>
      <w:bookmarkEnd w:id="112"/>
    </w:p>
    <w:p>
      <w:pPr>
        <w:numPr>
          <w:ilvl w:val="0"/>
          <w:numId w:val="9"/>
        </w:numPr>
        <w:spacing w:before="240" w:after="120" w:line="360" w:lineRule="auto"/>
        <w:ind w:left="0" w:firstLine="482" w:firstLineChars="200"/>
        <w:rPr>
          <w:rFonts w:ascii="宋体" w:hAnsi="宋体"/>
          <w:b/>
          <w:sz w:val="24"/>
          <w:szCs w:val="24"/>
          <w:highlight w:val="none"/>
        </w:rPr>
      </w:pPr>
      <w:bookmarkStart w:id="114" w:name="_Toc46177952"/>
      <w:r>
        <w:rPr>
          <w:rFonts w:hint="eastAsia" w:ascii="宋体" w:hAnsi="宋体"/>
          <w:b/>
          <w:sz w:val="24"/>
          <w:szCs w:val="24"/>
          <w:highlight w:val="none"/>
        </w:rPr>
        <w:t>工具测试：</w:t>
      </w:r>
      <w:r>
        <w:rPr>
          <w:rFonts w:hint="eastAsia" w:ascii="宋体" w:hAnsi="宋体"/>
          <w:bCs/>
          <w:sz w:val="24"/>
          <w:szCs w:val="24"/>
          <w:highlight w:val="none"/>
        </w:rPr>
        <w:t>针对重要信息系统进行定期的漏洞扫描、渗透测试等安全服务工作；</w:t>
      </w:r>
      <w:bookmarkEnd w:id="114"/>
    </w:p>
    <w:p>
      <w:pPr>
        <w:numPr>
          <w:ilvl w:val="0"/>
          <w:numId w:val="9"/>
        </w:numPr>
        <w:spacing w:before="240" w:after="120" w:line="360" w:lineRule="auto"/>
        <w:ind w:left="0" w:firstLine="482" w:firstLineChars="200"/>
        <w:rPr>
          <w:rFonts w:ascii="宋体" w:hAnsi="宋体"/>
          <w:b/>
          <w:sz w:val="24"/>
          <w:szCs w:val="24"/>
          <w:highlight w:val="none"/>
        </w:rPr>
      </w:pPr>
      <w:bookmarkStart w:id="115" w:name="_Toc46177953"/>
      <w:r>
        <w:rPr>
          <w:rFonts w:hint="eastAsia" w:ascii="宋体" w:hAnsi="宋体"/>
          <w:b/>
          <w:sz w:val="24"/>
          <w:szCs w:val="24"/>
          <w:highlight w:val="none"/>
        </w:rPr>
        <w:t>整改建议：</w:t>
      </w:r>
      <w:r>
        <w:rPr>
          <w:rFonts w:hint="eastAsia" w:ascii="宋体" w:hAnsi="宋体"/>
          <w:bCs/>
          <w:sz w:val="24"/>
          <w:szCs w:val="24"/>
          <w:highlight w:val="none"/>
        </w:rPr>
        <w:t>投标人应根据现场测评中发现的问题，分析与GB/T 22239-2019、ISO/IEC 27001、ISO/IEC 20000、ISO 22301、ITIL和ITSS等行业最佳实践之间的差距，按照网络安全等级保护标准要求提出安全整改建议；</w:t>
      </w:r>
      <w:bookmarkEnd w:id="115"/>
    </w:p>
    <w:p>
      <w:pPr>
        <w:numPr>
          <w:ilvl w:val="0"/>
          <w:numId w:val="9"/>
        </w:numPr>
        <w:spacing w:before="240" w:after="120" w:line="360" w:lineRule="auto"/>
        <w:ind w:left="0" w:firstLine="482" w:firstLineChars="200"/>
        <w:rPr>
          <w:rFonts w:ascii="宋体" w:hAnsi="宋体"/>
          <w:b/>
          <w:sz w:val="24"/>
          <w:szCs w:val="24"/>
          <w:highlight w:val="none"/>
        </w:rPr>
      </w:pPr>
      <w:bookmarkStart w:id="116" w:name="_Toc46177954"/>
      <w:r>
        <w:rPr>
          <w:rFonts w:hint="eastAsia" w:ascii="宋体" w:hAnsi="宋体"/>
          <w:b/>
          <w:sz w:val="24"/>
          <w:szCs w:val="24"/>
          <w:highlight w:val="none"/>
        </w:rPr>
        <w:t>编制测评报告：</w:t>
      </w:r>
      <w:r>
        <w:rPr>
          <w:rFonts w:hint="eastAsia" w:ascii="宋体" w:hAnsi="宋体"/>
          <w:bCs/>
          <w:sz w:val="24"/>
          <w:szCs w:val="24"/>
          <w:highlight w:val="none"/>
        </w:rPr>
        <w:t>完成上述测评工作和整改加固实施后，投标人最后出具符合标准要求的各信息系统网络安全等级保护测评报告。</w:t>
      </w:r>
      <w:bookmarkEnd w:id="113"/>
      <w:bookmarkEnd w:id="116"/>
    </w:p>
    <w:p>
      <w:pPr>
        <w:rPr>
          <w:b/>
          <w:bCs/>
          <w:sz w:val="28"/>
          <w:szCs w:val="24"/>
          <w:highlight w:val="none"/>
        </w:rPr>
      </w:pPr>
      <w:bookmarkStart w:id="117" w:name="_Toc53217155"/>
      <w:r>
        <w:rPr>
          <w:rFonts w:hint="eastAsia"/>
          <w:b/>
          <w:bCs/>
          <w:sz w:val="28"/>
          <w:szCs w:val="24"/>
          <w:highlight w:val="none"/>
        </w:rPr>
        <w:t>五、信息安全培训：</w:t>
      </w:r>
      <w:bookmarkEnd w:id="117"/>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信息安全培训：为提高信息化人才队伍的安全意识和专业技能，响应人需对采购人提供信息安全培训，培训内容分为公共培训和专业培训。</w:t>
      </w:r>
    </w:p>
    <w:p>
      <w:pPr>
        <w:spacing w:line="360" w:lineRule="auto"/>
        <w:ind w:firstLine="480" w:firstLineChars="200"/>
        <w:rPr>
          <w:rFonts w:ascii="宋体" w:hAnsi="宋体" w:cs="Arial"/>
          <w:sz w:val="24"/>
          <w:szCs w:val="24"/>
          <w:highlight w:val="none"/>
        </w:rPr>
      </w:pPr>
      <w:r>
        <w:rPr>
          <w:rFonts w:hint="eastAsia" w:ascii="宋体" w:hAnsi="宋体" w:cs="Arial"/>
          <w:sz w:val="24"/>
          <w:szCs w:val="24"/>
          <w:highlight w:val="none"/>
        </w:rPr>
        <w:t>信息安全技术培训由具备培训资格的讲师参考注册信息安全专业人员（CISP）、信息安全保障人员（CISAW）等安全技能培训认证课程内容授课，确保管理人员和技术人员掌握关于信息系统等级保护相关规范、信息安全策略、信息保密制度，信息安全管理制度和相关流程等。</w:t>
      </w:r>
    </w:p>
    <w:p>
      <w:pPr>
        <w:spacing w:line="360" w:lineRule="auto"/>
        <w:ind w:firstLine="480" w:firstLineChars="200"/>
        <w:rPr>
          <w:rFonts w:ascii="宋体" w:hAnsi="宋体" w:cs="Arial"/>
          <w:sz w:val="24"/>
          <w:szCs w:val="24"/>
          <w:highlight w:val="none"/>
        </w:rPr>
      </w:pPr>
      <w:r>
        <w:rPr>
          <w:rFonts w:hint="eastAsia" w:ascii="宋体" w:hAnsi="宋体" w:cs="Arial"/>
          <w:sz w:val="24"/>
          <w:szCs w:val="24"/>
          <w:highlight w:val="none"/>
        </w:rPr>
        <w:t>专业培训包括</w:t>
      </w:r>
      <w:r>
        <w:rPr>
          <w:rFonts w:ascii="宋体" w:hAnsi="宋体" w:cs="Arial"/>
          <w:sz w:val="24"/>
          <w:szCs w:val="24"/>
          <w:highlight w:val="none"/>
        </w:rPr>
        <w:t>2</w:t>
      </w:r>
      <w:r>
        <w:rPr>
          <w:rFonts w:hint="eastAsia" w:ascii="宋体" w:hAnsi="宋体" w:cs="Arial"/>
          <w:sz w:val="24"/>
          <w:szCs w:val="24"/>
          <w:highlight w:val="none"/>
        </w:rPr>
        <w:t>个CISP（注册信息安全专业人员）培训名额。</w:t>
      </w:r>
    </w:p>
    <w:p>
      <w:pPr>
        <w:rPr>
          <w:b/>
          <w:bCs/>
          <w:sz w:val="28"/>
          <w:szCs w:val="24"/>
          <w:highlight w:val="none"/>
        </w:rPr>
      </w:pPr>
      <w:bookmarkStart w:id="118" w:name="_Toc53217156"/>
      <w:r>
        <w:rPr>
          <w:rFonts w:hint="eastAsia"/>
          <w:b/>
          <w:bCs/>
          <w:sz w:val="28"/>
          <w:szCs w:val="24"/>
          <w:highlight w:val="none"/>
        </w:rPr>
        <w:t>六、工作要求：</w:t>
      </w:r>
      <w:bookmarkEnd w:id="118"/>
    </w:p>
    <w:p>
      <w:pPr>
        <w:numPr>
          <w:ilvl w:val="0"/>
          <w:numId w:val="10"/>
        </w:numPr>
        <w:spacing w:line="360" w:lineRule="auto"/>
        <w:rPr>
          <w:rFonts w:ascii="宋体" w:hAnsi="宋体" w:cs="Arial"/>
          <w:b/>
          <w:sz w:val="24"/>
          <w:szCs w:val="24"/>
          <w:highlight w:val="none"/>
        </w:rPr>
      </w:pPr>
      <w:bookmarkStart w:id="119" w:name="_Toc52369337"/>
      <w:bookmarkStart w:id="120" w:name="_Toc53217157"/>
      <w:bookmarkStart w:id="121" w:name="_Toc46177957"/>
      <w:r>
        <w:rPr>
          <w:rFonts w:hint="eastAsia" w:ascii="宋体" w:hAnsi="宋体" w:cs="Arial"/>
          <w:b/>
          <w:sz w:val="24"/>
          <w:szCs w:val="24"/>
          <w:highlight w:val="none"/>
        </w:rPr>
        <w:t>实施原则</w:t>
      </w:r>
      <w:bookmarkEnd w:id="119"/>
      <w:bookmarkEnd w:id="120"/>
      <w:bookmarkEnd w:id="121"/>
    </w:p>
    <w:p>
      <w:pPr>
        <w:tabs>
          <w:tab w:val="left" w:pos="720"/>
        </w:tabs>
        <w:adjustRightInd w:val="0"/>
        <w:snapToGrid w:val="0"/>
        <w:spacing w:line="360" w:lineRule="auto"/>
        <w:ind w:firstLine="460" w:firstLineChars="192"/>
        <w:rPr>
          <w:rFonts w:ascii="宋体" w:hAnsi="宋体" w:cs="Arial"/>
          <w:sz w:val="24"/>
          <w:szCs w:val="24"/>
          <w:highlight w:val="none"/>
        </w:rPr>
      </w:pPr>
      <w:r>
        <w:rPr>
          <w:rFonts w:hint="eastAsia" w:ascii="宋体" w:hAnsi="宋体" w:cs="Arial"/>
          <w:sz w:val="24"/>
          <w:szCs w:val="24"/>
          <w:highlight w:val="none"/>
        </w:rPr>
        <w:t>规范性原则：成交供应商工作中的过程和文档，具有很好的规范性，可以便于项目的跟踪和控制；</w:t>
      </w:r>
    </w:p>
    <w:p>
      <w:pPr>
        <w:tabs>
          <w:tab w:val="left" w:pos="720"/>
        </w:tabs>
        <w:adjustRightInd w:val="0"/>
        <w:snapToGrid w:val="0"/>
        <w:spacing w:line="360" w:lineRule="auto"/>
        <w:ind w:firstLine="460" w:firstLineChars="192"/>
        <w:rPr>
          <w:rFonts w:ascii="宋体" w:hAnsi="宋体" w:cs="Arial"/>
          <w:sz w:val="24"/>
          <w:szCs w:val="24"/>
          <w:highlight w:val="none"/>
        </w:rPr>
      </w:pPr>
      <w:r>
        <w:rPr>
          <w:rFonts w:hint="eastAsia" w:ascii="宋体" w:hAnsi="宋体" w:cs="Arial"/>
          <w:sz w:val="24"/>
          <w:szCs w:val="24"/>
          <w:highlight w:val="none"/>
        </w:rPr>
        <w:t>标准性原则：测评方案的设计与实施应依据国家等级保护的相关标准进行。</w:t>
      </w:r>
    </w:p>
    <w:p>
      <w:pPr>
        <w:tabs>
          <w:tab w:val="left" w:pos="720"/>
        </w:tabs>
        <w:adjustRightInd w:val="0"/>
        <w:snapToGrid w:val="0"/>
        <w:spacing w:line="360" w:lineRule="auto"/>
        <w:ind w:firstLine="460" w:firstLineChars="192"/>
        <w:rPr>
          <w:rFonts w:ascii="宋体" w:hAnsi="宋体" w:cs="Arial"/>
          <w:sz w:val="24"/>
          <w:szCs w:val="24"/>
          <w:highlight w:val="none"/>
        </w:rPr>
      </w:pPr>
      <w:r>
        <w:rPr>
          <w:rFonts w:hint="eastAsia" w:ascii="宋体" w:hAnsi="宋体" w:cs="Arial"/>
          <w:sz w:val="24"/>
          <w:szCs w:val="24"/>
          <w:highlight w:val="none"/>
        </w:rPr>
        <w:t>可控性原则：测评的工具、方法和过程需在双方认可的范围之内并符合进度表的安排，保证采购人对服务工作的可控性；</w:t>
      </w:r>
    </w:p>
    <w:p>
      <w:pPr>
        <w:tabs>
          <w:tab w:val="left" w:pos="720"/>
        </w:tabs>
        <w:adjustRightInd w:val="0"/>
        <w:snapToGrid w:val="0"/>
        <w:spacing w:line="360" w:lineRule="auto"/>
        <w:ind w:firstLine="460" w:firstLineChars="192"/>
        <w:rPr>
          <w:rFonts w:ascii="宋体" w:hAnsi="宋体" w:cs="Arial"/>
          <w:sz w:val="24"/>
          <w:szCs w:val="24"/>
          <w:highlight w:val="none"/>
        </w:rPr>
      </w:pPr>
      <w:r>
        <w:rPr>
          <w:rFonts w:hint="eastAsia" w:ascii="宋体" w:hAnsi="宋体" w:cs="Arial"/>
          <w:sz w:val="24"/>
          <w:szCs w:val="24"/>
          <w:highlight w:val="none"/>
        </w:rPr>
        <w:t>整体性原则：测评和分析的范围和内容应当整体全面，包括安全涉及的各个层面，避免由于遗漏造成未来的安全隐患；</w:t>
      </w:r>
    </w:p>
    <w:p>
      <w:pPr>
        <w:tabs>
          <w:tab w:val="left" w:pos="720"/>
        </w:tabs>
        <w:adjustRightInd w:val="0"/>
        <w:snapToGrid w:val="0"/>
        <w:spacing w:line="360" w:lineRule="auto"/>
        <w:ind w:firstLine="460" w:firstLineChars="192"/>
        <w:rPr>
          <w:rFonts w:ascii="宋体" w:hAnsi="宋体" w:cs="Arial"/>
          <w:sz w:val="24"/>
          <w:szCs w:val="24"/>
          <w:highlight w:val="none"/>
        </w:rPr>
      </w:pPr>
      <w:r>
        <w:rPr>
          <w:rFonts w:hint="eastAsia" w:ascii="宋体" w:hAnsi="宋体" w:cs="Arial"/>
          <w:sz w:val="24"/>
          <w:szCs w:val="24"/>
          <w:highlight w:val="none"/>
        </w:rPr>
        <w:t>最小影响原则：测评工作应尽可能小的影响系统和网络的正常运行，不能对现网的运行和业务的正常提供产生显著影响(包括系统性能明显下降、网络拥塞、服务中断</w:t>
      </w:r>
      <w:r>
        <w:rPr>
          <w:rFonts w:hint="eastAsia" w:ascii="宋体" w:hAnsi="宋体" w:cs="Arial"/>
          <w:sz w:val="24"/>
          <w:szCs w:val="24"/>
          <w:highlight w:val="none"/>
        </w:rPr>
        <w:t>)，如无法避免，则应预先做出说明并经采购人同意后实施，在项目实施过程中，需有可行性的风险规避处置措施</w:t>
      </w:r>
    </w:p>
    <w:p>
      <w:pPr>
        <w:tabs>
          <w:tab w:val="left" w:pos="720"/>
        </w:tabs>
        <w:adjustRightInd w:val="0"/>
        <w:snapToGrid w:val="0"/>
        <w:spacing w:line="360" w:lineRule="auto"/>
        <w:ind w:firstLine="460" w:firstLineChars="192"/>
        <w:rPr>
          <w:rFonts w:ascii="宋体" w:hAnsi="宋体" w:cs="Arial"/>
          <w:sz w:val="24"/>
          <w:szCs w:val="24"/>
          <w:highlight w:val="none"/>
        </w:rPr>
      </w:pPr>
      <w:r>
        <w:rPr>
          <w:rFonts w:hint="eastAsia" w:ascii="宋体" w:hAnsi="宋体" w:cs="Arial"/>
          <w:sz w:val="24"/>
          <w:szCs w:val="24"/>
          <w:highlight w:val="none"/>
        </w:rPr>
        <w:t>保密原则：对测评的过程数据和结果数据严格保密，未经授权不得泄露给任何单位和个人，不得利用此数据进行任何侵害采购人网络的行为，否则采购人有权追究责任。</w:t>
      </w:r>
    </w:p>
    <w:p>
      <w:pPr>
        <w:numPr>
          <w:ilvl w:val="0"/>
          <w:numId w:val="10"/>
        </w:numPr>
        <w:spacing w:line="360" w:lineRule="auto"/>
        <w:rPr>
          <w:rFonts w:ascii="宋体" w:hAnsi="宋体" w:cs="Arial"/>
          <w:b/>
          <w:sz w:val="24"/>
          <w:szCs w:val="24"/>
          <w:highlight w:val="none"/>
        </w:rPr>
      </w:pPr>
      <w:bookmarkStart w:id="122" w:name="_Toc52369338"/>
      <w:bookmarkStart w:id="123" w:name="_Toc53217158"/>
      <w:bookmarkStart w:id="124" w:name="_Toc46177958"/>
      <w:r>
        <w:rPr>
          <w:rFonts w:hint="eastAsia" w:ascii="宋体" w:hAnsi="宋体" w:cs="Arial"/>
          <w:b/>
          <w:sz w:val="24"/>
          <w:szCs w:val="24"/>
          <w:highlight w:val="none"/>
        </w:rPr>
        <w:t>测评依据</w:t>
      </w:r>
      <w:bookmarkEnd w:id="122"/>
      <w:bookmarkEnd w:id="123"/>
      <w:bookmarkEnd w:id="124"/>
    </w:p>
    <w:p>
      <w:pPr>
        <w:tabs>
          <w:tab w:val="left" w:pos="720"/>
        </w:tabs>
        <w:adjustRightInd w:val="0"/>
        <w:snapToGrid w:val="0"/>
        <w:spacing w:line="360" w:lineRule="auto"/>
        <w:rPr>
          <w:rFonts w:ascii="宋体" w:hAnsi="宋体" w:cs="Arial"/>
          <w:sz w:val="24"/>
          <w:szCs w:val="24"/>
          <w:highlight w:val="none"/>
        </w:rPr>
      </w:pPr>
      <w:r>
        <w:rPr>
          <w:rFonts w:hint="eastAsia" w:ascii="宋体" w:hAnsi="宋体" w:cs="Arial"/>
          <w:sz w:val="24"/>
          <w:szCs w:val="24"/>
          <w:highlight w:val="none"/>
        </w:rPr>
        <w:t xml:space="preserve">《信息安全技术 网络安全等级保护基本要求》（GB/T 22239-2019） </w:t>
      </w:r>
    </w:p>
    <w:p>
      <w:pPr>
        <w:tabs>
          <w:tab w:val="left" w:pos="720"/>
        </w:tabs>
        <w:adjustRightInd w:val="0"/>
        <w:snapToGrid w:val="0"/>
        <w:spacing w:line="360" w:lineRule="auto"/>
        <w:rPr>
          <w:rFonts w:ascii="宋体" w:hAnsi="宋体" w:cs="Arial"/>
          <w:sz w:val="24"/>
          <w:szCs w:val="24"/>
          <w:highlight w:val="none"/>
        </w:rPr>
      </w:pPr>
      <w:r>
        <w:rPr>
          <w:rFonts w:hint="eastAsia" w:ascii="宋体" w:hAnsi="宋体" w:cs="Arial"/>
          <w:sz w:val="24"/>
          <w:szCs w:val="24"/>
          <w:highlight w:val="none"/>
        </w:rPr>
        <w:t>《信息安全技术 网络安全等级保护定级指南》（GB/T 22240-2020）</w:t>
      </w:r>
    </w:p>
    <w:p>
      <w:pPr>
        <w:tabs>
          <w:tab w:val="left" w:pos="720"/>
        </w:tabs>
        <w:adjustRightInd w:val="0"/>
        <w:snapToGrid w:val="0"/>
        <w:spacing w:line="360" w:lineRule="auto"/>
        <w:rPr>
          <w:rFonts w:ascii="宋体" w:hAnsi="宋体" w:cs="Arial"/>
          <w:sz w:val="24"/>
          <w:szCs w:val="24"/>
          <w:highlight w:val="none"/>
        </w:rPr>
      </w:pPr>
      <w:r>
        <w:rPr>
          <w:rFonts w:hint="eastAsia" w:ascii="宋体" w:hAnsi="宋体" w:cs="Arial"/>
          <w:sz w:val="24"/>
          <w:szCs w:val="24"/>
          <w:highlight w:val="none"/>
        </w:rPr>
        <w:t xml:space="preserve">《信息安全技术 网络安全等级保护测评要求》（GB/T 28448-2019） </w:t>
      </w:r>
    </w:p>
    <w:p>
      <w:pPr>
        <w:tabs>
          <w:tab w:val="left" w:pos="720"/>
        </w:tabs>
        <w:adjustRightInd w:val="0"/>
        <w:snapToGrid w:val="0"/>
        <w:spacing w:line="360" w:lineRule="auto"/>
        <w:rPr>
          <w:rFonts w:ascii="宋体" w:hAnsi="宋体" w:cs="Arial"/>
          <w:sz w:val="24"/>
          <w:szCs w:val="24"/>
          <w:highlight w:val="none"/>
        </w:rPr>
      </w:pPr>
      <w:r>
        <w:rPr>
          <w:rFonts w:hint="eastAsia" w:ascii="宋体" w:hAnsi="宋体" w:cs="Arial"/>
          <w:sz w:val="24"/>
          <w:szCs w:val="24"/>
          <w:highlight w:val="none"/>
        </w:rPr>
        <w:t>《信息安全技术 网络安全等级保护测评过程指南》（GB∕T 28449-2018）</w:t>
      </w:r>
    </w:p>
    <w:p>
      <w:pPr>
        <w:numPr>
          <w:ilvl w:val="0"/>
          <w:numId w:val="10"/>
        </w:numPr>
        <w:spacing w:line="360" w:lineRule="auto"/>
        <w:rPr>
          <w:rFonts w:ascii="宋体" w:hAnsi="宋体" w:cs="Arial"/>
          <w:b/>
          <w:sz w:val="24"/>
          <w:szCs w:val="24"/>
          <w:highlight w:val="none"/>
        </w:rPr>
      </w:pPr>
      <w:r>
        <w:rPr>
          <w:rFonts w:hint="eastAsia" w:ascii="宋体" w:hAnsi="宋体" w:cs="Arial"/>
          <w:b/>
          <w:sz w:val="24"/>
          <w:szCs w:val="24"/>
          <w:highlight w:val="none"/>
        </w:rPr>
        <w:t>等级保护测评内容</w:t>
      </w:r>
    </w:p>
    <w:p>
      <w:pPr>
        <w:numPr>
          <w:ilvl w:val="1"/>
          <w:numId w:val="11"/>
        </w:numPr>
        <w:spacing w:line="360" w:lineRule="auto"/>
        <w:ind w:left="420" w:leftChars="200" w:firstLine="0"/>
        <w:outlineLvl w:val="4"/>
        <w:rPr>
          <w:rFonts w:ascii="宋体" w:hAnsi="宋体"/>
          <w:b/>
          <w:sz w:val="24"/>
          <w:szCs w:val="24"/>
          <w:highlight w:val="none"/>
        </w:rPr>
      </w:pPr>
      <w:bookmarkStart w:id="125" w:name="_Toc311015404"/>
      <w:bookmarkStart w:id="126" w:name="_Toc4424565"/>
      <w:bookmarkStart w:id="127" w:name="_Toc288574635"/>
      <w:bookmarkStart w:id="128" w:name="_Toc288552020"/>
      <w:bookmarkStart w:id="129" w:name="_Toc287704425"/>
      <w:bookmarkStart w:id="130" w:name="_Toc288570237"/>
      <w:r>
        <w:rPr>
          <w:rFonts w:hint="eastAsia" w:ascii="宋体" w:hAnsi="宋体"/>
          <w:b/>
          <w:sz w:val="24"/>
          <w:szCs w:val="24"/>
          <w:highlight w:val="none"/>
        </w:rPr>
        <w:t>等级保护测评内容</w:t>
      </w:r>
      <w:bookmarkEnd w:id="125"/>
      <w:bookmarkEnd w:id="126"/>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根据国家等级保护相关标准，本次项目的网络安全等级保护测评应包括以下内容：</w:t>
      </w:r>
    </w:p>
    <w:bookmarkEnd w:id="127"/>
    <w:bookmarkEnd w:id="128"/>
    <w:bookmarkEnd w:id="129"/>
    <w:bookmarkEnd w:id="130"/>
    <w:p>
      <w:pPr>
        <w:overflowPunct w:val="0"/>
        <w:topLinePunct/>
        <w:snapToGrid w:val="0"/>
        <w:spacing w:line="360" w:lineRule="auto"/>
        <w:ind w:firstLine="480" w:firstLineChars="200"/>
        <w:rPr>
          <w:rFonts w:ascii="宋体" w:hAnsi="宋体"/>
          <w:sz w:val="24"/>
          <w:szCs w:val="24"/>
          <w:highlight w:val="none"/>
        </w:rPr>
      </w:pPr>
      <w:r>
        <w:rPr>
          <w:rFonts w:ascii="宋体" w:hAnsi="宋体"/>
          <w:sz w:val="24"/>
          <w:szCs w:val="24"/>
          <w:highlight w:val="none"/>
        </w:rPr>
        <w:t>安全技术测评：</w:t>
      </w:r>
      <w:r>
        <w:rPr>
          <w:rFonts w:hint="eastAsia" w:ascii="宋体" w:hAnsi="宋体"/>
          <w:sz w:val="24"/>
          <w:szCs w:val="24"/>
          <w:highlight w:val="none"/>
        </w:rPr>
        <w:t>包括安全物理环境</w:t>
      </w:r>
      <w:r>
        <w:rPr>
          <w:rFonts w:ascii="宋体" w:hAnsi="宋体"/>
          <w:sz w:val="24"/>
          <w:szCs w:val="24"/>
          <w:highlight w:val="none"/>
        </w:rPr>
        <w:t>、安全</w:t>
      </w:r>
      <w:r>
        <w:rPr>
          <w:rFonts w:hint="eastAsia" w:ascii="宋体" w:hAnsi="宋体"/>
          <w:sz w:val="24"/>
          <w:szCs w:val="24"/>
          <w:highlight w:val="none"/>
        </w:rPr>
        <w:t>通信</w:t>
      </w:r>
      <w:r>
        <w:rPr>
          <w:rFonts w:ascii="宋体" w:hAnsi="宋体"/>
          <w:sz w:val="24"/>
          <w:szCs w:val="24"/>
          <w:highlight w:val="none"/>
        </w:rPr>
        <w:t>网络</w:t>
      </w:r>
      <w:r>
        <w:rPr>
          <w:rFonts w:hint="eastAsia" w:ascii="宋体" w:hAnsi="宋体"/>
          <w:sz w:val="24"/>
          <w:szCs w:val="24"/>
          <w:highlight w:val="none"/>
        </w:rPr>
        <w:t>、</w:t>
      </w:r>
      <w:r>
        <w:rPr>
          <w:rFonts w:ascii="宋体" w:hAnsi="宋体"/>
          <w:sz w:val="24"/>
          <w:szCs w:val="24"/>
          <w:highlight w:val="none"/>
        </w:rPr>
        <w:t>安全</w:t>
      </w:r>
      <w:r>
        <w:rPr>
          <w:rFonts w:hint="eastAsia" w:ascii="宋体" w:hAnsi="宋体"/>
          <w:sz w:val="24"/>
          <w:szCs w:val="24"/>
          <w:highlight w:val="none"/>
        </w:rPr>
        <w:t>区域边界、安全计算环境、安全管理中心</w:t>
      </w:r>
      <w:r>
        <w:rPr>
          <w:rFonts w:ascii="宋体" w:hAnsi="宋体"/>
          <w:sz w:val="24"/>
          <w:szCs w:val="24"/>
          <w:highlight w:val="none"/>
        </w:rPr>
        <w:t>等</w:t>
      </w:r>
      <w:r>
        <w:rPr>
          <w:rFonts w:hint="eastAsia" w:ascii="宋体" w:hAnsi="宋体"/>
          <w:sz w:val="24"/>
          <w:szCs w:val="24"/>
          <w:highlight w:val="none"/>
        </w:rPr>
        <w:t>五个方面的安全</w:t>
      </w:r>
      <w:r>
        <w:rPr>
          <w:rFonts w:ascii="宋体" w:hAnsi="宋体"/>
          <w:sz w:val="24"/>
          <w:szCs w:val="24"/>
          <w:highlight w:val="none"/>
        </w:rPr>
        <w:t>测评；</w:t>
      </w:r>
    </w:p>
    <w:p>
      <w:pPr>
        <w:overflowPunct w:val="0"/>
        <w:topLinePunct/>
        <w:snapToGrid w:val="0"/>
        <w:spacing w:line="360" w:lineRule="auto"/>
        <w:ind w:firstLine="480" w:firstLineChars="200"/>
        <w:rPr>
          <w:rFonts w:ascii="宋体" w:hAnsi="宋体"/>
          <w:sz w:val="24"/>
          <w:szCs w:val="24"/>
          <w:highlight w:val="none"/>
        </w:rPr>
      </w:pPr>
      <w:r>
        <w:rPr>
          <w:rFonts w:ascii="宋体" w:hAnsi="宋体"/>
          <w:sz w:val="24"/>
          <w:szCs w:val="24"/>
          <w:highlight w:val="none"/>
        </w:rPr>
        <w:t>安全管理测评：</w:t>
      </w:r>
      <w:r>
        <w:rPr>
          <w:rFonts w:hint="eastAsia" w:ascii="宋体" w:hAnsi="宋体"/>
          <w:sz w:val="24"/>
          <w:szCs w:val="24"/>
          <w:highlight w:val="none"/>
        </w:rPr>
        <w:t>包括</w:t>
      </w:r>
      <w:r>
        <w:rPr>
          <w:rFonts w:ascii="宋体" w:hAnsi="宋体"/>
          <w:sz w:val="24"/>
          <w:szCs w:val="24"/>
          <w:highlight w:val="none"/>
        </w:rPr>
        <w:t>安全管理</w:t>
      </w:r>
      <w:r>
        <w:rPr>
          <w:rFonts w:hint="eastAsia" w:ascii="宋体" w:hAnsi="宋体"/>
          <w:sz w:val="24"/>
          <w:szCs w:val="24"/>
          <w:highlight w:val="none"/>
        </w:rPr>
        <w:t>制度</w:t>
      </w:r>
      <w:r>
        <w:rPr>
          <w:rFonts w:ascii="宋体" w:hAnsi="宋体"/>
          <w:sz w:val="24"/>
          <w:szCs w:val="24"/>
          <w:highlight w:val="none"/>
        </w:rPr>
        <w:t>、安全管理</w:t>
      </w:r>
      <w:r>
        <w:rPr>
          <w:rFonts w:hint="eastAsia" w:ascii="宋体" w:hAnsi="宋体"/>
          <w:sz w:val="24"/>
          <w:szCs w:val="24"/>
          <w:highlight w:val="none"/>
        </w:rPr>
        <w:t>机构、</w:t>
      </w:r>
      <w:r>
        <w:rPr>
          <w:rFonts w:ascii="宋体" w:hAnsi="宋体"/>
          <w:sz w:val="24"/>
          <w:szCs w:val="24"/>
          <w:highlight w:val="none"/>
        </w:rPr>
        <w:t>安全管理人员、</w:t>
      </w:r>
      <w:r>
        <w:rPr>
          <w:rFonts w:hint="eastAsia" w:ascii="宋体" w:hAnsi="宋体"/>
          <w:sz w:val="24"/>
          <w:szCs w:val="24"/>
          <w:highlight w:val="none"/>
        </w:rPr>
        <w:t>安全</w:t>
      </w:r>
      <w:r>
        <w:rPr>
          <w:rFonts w:ascii="宋体" w:hAnsi="宋体"/>
          <w:sz w:val="24"/>
          <w:szCs w:val="24"/>
          <w:highlight w:val="none"/>
        </w:rPr>
        <w:t>建设管理和</w:t>
      </w:r>
      <w:r>
        <w:rPr>
          <w:rFonts w:hint="eastAsia" w:ascii="宋体" w:hAnsi="宋体"/>
          <w:sz w:val="24"/>
          <w:szCs w:val="24"/>
          <w:highlight w:val="none"/>
        </w:rPr>
        <w:t>安全</w:t>
      </w:r>
      <w:r>
        <w:rPr>
          <w:rFonts w:ascii="宋体" w:hAnsi="宋体"/>
          <w:sz w:val="24"/>
          <w:szCs w:val="24"/>
          <w:highlight w:val="none"/>
        </w:rPr>
        <w:t>运维管理等</w:t>
      </w:r>
      <w:r>
        <w:rPr>
          <w:rFonts w:hint="eastAsia" w:ascii="宋体" w:hAnsi="宋体"/>
          <w:sz w:val="24"/>
          <w:szCs w:val="24"/>
          <w:highlight w:val="none"/>
        </w:rPr>
        <w:t>五</w:t>
      </w:r>
      <w:r>
        <w:rPr>
          <w:rFonts w:ascii="宋体" w:hAnsi="宋体"/>
          <w:sz w:val="24"/>
          <w:szCs w:val="24"/>
          <w:highlight w:val="none"/>
        </w:rPr>
        <w:t>个方面的安全测评</w:t>
      </w:r>
      <w:r>
        <w:rPr>
          <w:rFonts w:hint="eastAsia" w:ascii="宋体" w:hAnsi="宋体"/>
          <w:color w:val="000000"/>
          <w:sz w:val="24"/>
          <w:szCs w:val="24"/>
          <w:highlight w:val="none"/>
        </w:rPr>
        <w:t>。</w:t>
      </w:r>
    </w:p>
    <w:p>
      <w:pPr>
        <w:numPr>
          <w:ilvl w:val="1"/>
          <w:numId w:val="11"/>
        </w:numPr>
        <w:spacing w:line="360" w:lineRule="auto"/>
        <w:ind w:left="420" w:leftChars="200" w:firstLine="0"/>
        <w:outlineLvl w:val="4"/>
        <w:rPr>
          <w:rFonts w:ascii="宋体" w:hAnsi="宋体"/>
          <w:b/>
          <w:sz w:val="24"/>
          <w:szCs w:val="24"/>
          <w:highlight w:val="none"/>
        </w:rPr>
      </w:pPr>
      <w:bookmarkStart w:id="131" w:name="_Toc4424566"/>
      <w:r>
        <w:rPr>
          <w:rFonts w:hint="eastAsia" w:ascii="宋体" w:hAnsi="宋体"/>
          <w:b/>
          <w:sz w:val="24"/>
          <w:szCs w:val="24"/>
          <w:highlight w:val="none"/>
        </w:rPr>
        <w:t>安全物理</w:t>
      </w:r>
      <w:bookmarkEnd w:id="131"/>
      <w:r>
        <w:rPr>
          <w:rFonts w:hint="eastAsia" w:ascii="宋体" w:hAnsi="宋体"/>
          <w:b/>
          <w:sz w:val="24"/>
          <w:szCs w:val="24"/>
          <w:highlight w:val="none"/>
        </w:rPr>
        <w:t>环境</w:t>
      </w:r>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numPr>
          <w:ilvl w:val="1"/>
          <w:numId w:val="11"/>
        </w:numPr>
        <w:spacing w:line="360" w:lineRule="auto"/>
        <w:ind w:left="420" w:leftChars="200" w:firstLine="0"/>
        <w:outlineLvl w:val="4"/>
        <w:rPr>
          <w:rFonts w:ascii="宋体" w:hAnsi="宋体"/>
          <w:b/>
          <w:sz w:val="24"/>
          <w:szCs w:val="24"/>
          <w:highlight w:val="none"/>
        </w:rPr>
      </w:pPr>
      <w:bookmarkStart w:id="132" w:name="_Toc4424567"/>
      <w:r>
        <w:rPr>
          <w:rFonts w:hint="eastAsia" w:ascii="宋体" w:hAnsi="宋体"/>
          <w:b/>
          <w:sz w:val="24"/>
          <w:szCs w:val="24"/>
          <w:highlight w:val="none"/>
        </w:rPr>
        <w:t>安全通信网络</w:t>
      </w:r>
      <w:bookmarkEnd w:id="132"/>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安全通信网络测评是对网络系统安全防护情况进行测评，包括网络架构、通信传输、可信验证等方面的安全状况。</w:t>
      </w:r>
    </w:p>
    <w:p>
      <w:pPr>
        <w:numPr>
          <w:ilvl w:val="1"/>
          <w:numId w:val="11"/>
        </w:numPr>
        <w:spacing w:line="360" w:lineRule="auto"/>
        <w:ind w:left="420" w:leftChars="200" w:firstLine="0"/>
        <w:outlineLvl w:val="4"/>
        <w:rPr>
          <w:rFonts w:ascii="宋体" w:hAnsi="宋体"/>
          <w:b/>
          <w:sz w:val="24"/>
          <w:szCs w:val="24"/>
          <w:highlight w:val="none"/>
        </w:rPr>
      </w:pPr>
      <w:r>
        <w:rPr>
          <w:rFonts w:hint="eastAsia" w:ascii="宋体" w:hAnsi="宋体"/>
          <w:b/>
          <w:sz w:val="24"/>
          <w:szCs w:val="24"/>
          <w:highlight w:val="none"/>
        </w:rPr>
        <w:t>安全区域边界</w:t>
      </w:r>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安全区域边界是对边界防护、访问控制、入侵防范、恶意代码防范、安全审计、可信验证等方面的测评。</w:t>
      </w:r>
    </w:p>
    <w:p>
      <w:pPr>
        <w:numPr>
          <w:ilvl w:val="1"/>
          <w:numId w:val="11"/>
        </w:numPr>
        <w:spacing w:line="360" w:lineRule="auto"/>
        <w:ind w:left="420" w:leftChars="200" w:firstLine="0"/>
        <w:outlineLvl w:val="4"/>
        <w:rPr>
          <w:rFonts w:ascii="宋体" w:hAnsi="宋体"/>
          <w:b/>
          <w:sz w:val="24"/>
          <w:szCs w:val="24"/>
          <w:highlight w:val="none"/>
        </w:rPr>
      </w:pPr>
      <w:bookmarkStart w:id="133" w:name="_Toc4424569"/>
      <w:r>
        <w:rPr>
          <w:rFonts w:hint="eastAsia" w:ascii="宋体" w:hAnsi="宋体"/>
          <w:b/>
          <w:sz w:val="24"/>
          <w:szCs w:val="24"/>
          <w:highlight w:val="none"/>
        </w:rPr>
        <w:t>安全</w:t>
      </w:r>
      <w:bookmarkEnd w:id="133"/>
      <w:r>
        <w:rPr>
          <w:rFonts w:hint="eastAsia" w:ascii="宋体" w:hAnsi="宋体"/>
          <w:b/>
          <w:sz w:val="24"/>
          <w:szCs w:val="24"/>
          <w:highlight w:val="none"/>
        </w:rPr>
        <w:t>计算环境</w:t>
      </w:r>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安全计算环境是对身份鉴别、访问控制、安全审计、入侵防范、恶意代码防范、可信验证、数据完整性、数据保密性、数据备份恢复、剩余信息保护、个人信息保护等方面的测评。</w:t>
      </w:r>
    </w:p>
    <w:p>
      <w:pPr>
        <w:numPr>
          <w:ilvl w:val="1"/>
          <w:numId w:val="11"/>
        </w:numPr>
        <w:spacing w:line="360" w:lineRule="auto"/>
        <w:ind w:left="420" w:leftChars="200" w:firstLine="0"/>
        <w:outlineLvl w:val="4"/>
        <w:rPr>
          <w:rFonts w:ascii="宋体" w:hAnsi="宋体"/>
          <w:b/>
          <w:sz w:val="24"/>
          <w:szCs w:val="24"/>
          <w:highlight w:val="none"/>
        </w:rPr>
      </w:pPr>
      <w:r>
        <w:rPr>
          <w:rFonts w:hint="eastAsia" w:ascii="宋体" w:hAnsi="宋体"/>
          <w:b/>
          <w:sz w:val="24"/>
          <w:szCs w:val="24"/>
          <w:highlight w:val="none"/>
        </w:rPr>
        <w:t>安全管理中心</w:t>
      </w:r>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安全管理中心是对系统管理、审计管理、安全管理、集中管控等方面的测评。</w:t>
      </w:r>
    </w:p>
    <w:p>
      <w:pPr>
        <w:numPr>
          <w:ilvl w:val="1"/>
          <w:numId w:val="11"/>
        </w:numPr>
        <w:spacing w:line="360" w:lineRule="auto"/>
        <w:ind w:left="420" w:leftChars="200" w:firstLine="0"/>
        <w:outlineLvl w:val="4"/>
        <w:rPr>
          <w:rFonts w:ascii="宋体" w:hAnsi="宋体"/>
          <w:b/>
          <w:sz w:val="24"/>
          <w:szCs w:val="24"/>
          <w:highlight w:val="none"/>
        </w:rPr>
      </w:pPr>
      <w:bookmarkStart w:id="134" w:name="_Toc4424571"/>
      <w:r>
        <w:rPr>
          <w:rFonts w:hint="eastAsia" w:ascii="宋体" w:hAnsi="宋体"/>
          <w:b/>
          <w:sz w:val="24"/>
          <w:szCs w:val="24"/>
          <w:highlight w:val="none"/>
        </w:rPr>
        <w:t>安全管理制度</w:t>
      </w:r>
      <w:bookmarkEnd w:id="134"/>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安全管理制度测评是对安全策略、管理制度、制定和发布、评审和修订进行测评。</w:t>
      </w:r>
    </w:p>
    <w:p>
      <w:pPr>
        <w:numPr>
          <w:ilvl w:val="1"/>
          <w:numId w:val="11"/>
        </w:numPr>
        <w:spacing w:line="360" w:lineRule="auto"/>
        <w:ind w:left="420" w:leftChars="200" w:firstLine="0"/>
        <w:outlineLvl w:val="4"/>
        <w:rPr>
          <w:rFonts w:ascii="宋体" w:hAnsi="宋体"/>
          <w:b/>
          <w:sz w:val="24"/>
          <w:szCs w:val="24"/>
          <w:highlight w:val="none"/>
        </w:rPr>
      </w:pPr>
      <w:bookmarkStart w:id="135" w:name="_Toc4424572"/>
      <w:r>
        <w:rPr>
          <w:rFonts w:hint="eastAsia" w:ascii="宋体" w:hAnsi="宋体"/>
          <w:b/>
          <w:sz w:val="24"/>
          <w:szCs w:val="24"/>
          <w:highlight w:val="none"/>
        </w:rPr>
        <w:t>安全管理机构</w:t>
      </w:r>
      <w:bookmarkEnd w:id="135"/>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安全管理机构测评是对岗位设置、人员配备、授权和审批、沟通和合作、审核和检查等情况进行测评。</w:t>
      </w:r>
    </w:p>
    <w:p>
      <w:pPr>
        <w:numPr>
          <w:ilvl w:val="1"/>
          <w:numId w:val="11"/>
        </w:numPr>
        <w:spacing w:line="360" w:lineRule="auto"/>
        <w:ind w:left="420" w:leftChars="200" w:firstLine="0"/>
        <w:outlineLvl w:val="4"/>
        <w:rPr>
          <w:rFonts w:ascii="宋体" w:hAnsi="宋体"/>
          <w:b/>
          <w:sz w:val="24"/>
          <w:szCs w:val="24"/>
          <w:highlight w:val="none"/>
        </w:rPr>
      </w:pPr>
      <w:bookmarkStart w:id="136" w:name="_Toc4424573"/>
      <w:r>
        <w:rPr>
          <w:rFonts w:hint="eastAsia" w:ascii="宋体" w:hAnsi="宋体"/>
          <w:b/>
          <w:sz w:val="24"/>
          <w:szCs w:val="24"/>
          <w:highlight w:val="none"/>
        </w:rPr>
        <w:t>安全管理</w:t>
      </w:r>
      <w:bookmarkEnd w:id="136"/>
      <w:r>
        <w:rPr>
          <w:rFonts w:hint="eastAsia" w:ascii="宋体" w:hAnsi="宋体"/>
          <w:b/>
          <w:sz w:val="24"/>
          <w:szCs w:val="24"/>
          <w:highlight w:val="none"/>
        </w:rPr>
        <w:t>人员</w:t>
      </w:r>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安全管理人员测评是对人员录用、人员离岗、安全意识教育和培训、外部人员访问管理等情况进行测评。</w:t>
      </w:r>
    </w:p>
    <w:p>
      <w:pPr>
        <w:numPr>
          <w:ilvl w:val="1"/>
          <w:numId w:val="11"/>
        </w:numPr>
        <w:spacing w:line="360" w:lineRule="auto"/>
        <w:ind w:left="420" w:leftChars="200" w:firstLine="0"/>
        <w:outlineLvl w:val="4"/>
        <w:rPr>
          <w:rFonts w:ascii="宋体" w:hAnsi="宋体"/>
          <w:b/>
          <w:sz w:val="24"/>
          <w:szCs w:val="24"/>
          <w:highlight w:val="none"/>
        </w:rPr>
      </w:pPr>
      <w:bookmarkStart w:id="137" w:name="_Toc4424574"/>
      <w:r>
        <w:rPr>
          <w:rFonts w:hint="eastAsia" w:ascii="宋体" w:hAnsi="宋体"/>
          <w:b/>
          <w:sz w:val="24"/>
          <w:szCs w:val="24"/>
          <w:highlight w:val="none"/>
        </w:rPr>
        <w:t>安全建设管理</w:t>
      </w:r>
      <w:bookmarkEnd w:id="137"/>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安全建设管理测评是对建设过程中的系统定级和备案、安全方案设计、产品采购和使用、自行软件开发、外包软件开发、 工程实施、测试验收、系统交付、 等级测评、服务供应商选择等情况进行测评。</w:t>
      </w:r>
    </w:p>
    <w:p>
      <w:pPr>
        <w:numPr>
          <w:ilvl w:val="1"/>
          <w:numId w:val="11"/>
        </w:numPr>
        <w:spacing w:line="360" w:lineRule="auto"/>
        <w:ind w:left="420" w:leftChars="200" w:firstLine="0"/>
        <w:outlineLvl w:val="4"/>
        <w:rPr>
          <w:rFonts w:ascii="宋体" w:hAnsi="宋体"/>
          <w:b/>
          <w:sz w:val="24"/>
          <w:szCs w:val="24"/>
          <w:highlight w:val="none"/>
        </w:rPr>
      </w:pPr>
      <w:bookmarkStart w:id="138" w:name="_Toc4424575"/>
      <w:r>
        <w:rPr>
          <w:rFonts w:hint="eastAsia" w:ascii="宋体" w:hAnsi="宋体"/>
          <w:b/>
          <w:sz w:val="24"/>
          <w:szCs w:val="24"/>
          <w:highlight w:val="none"/>
        </w:rPr>
        <w:t>安全运维管理</w:t>
      </w:r>
      <w:bookmarkEnd w:id="138"/>
    </w:p>
    <w:p>
      <w:pPr>
        <w:tabs>
          <w:tab w:val="left" w:pos="1080"/>
          <w:tab w:val="left" w:pos="1680"/>
        </w:tabs>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rPr>
          <w:b/>
          <w:bCs/>
          <w:sz w:val="28"/>
          <w:szCs w:val="24"/>
          <w:highlight w:val="none"/>
        </w:rPr>
      </w:pPr>
      <w:bookmarkStart w:id="139" w:name="_Toc53217159"/>
      <w:r>
        <w:rPr>
          <w:rFonts w:hint="eastAsia"/>
          <w:b/>
          <w:bCs/>
          <w:sz w:val="28"/>
          <w:szCs w:val="24"/>
          <w:highlight w:val="none"/>
        </w:rPr>
        <w:t>七、报价要求</w:t>
      </w:r>
      <w:bookmarkEnd w:id="139"/>
    </w:p>
    <w:p>
      <w:pPr>
        <w:tabs>
          <w:tab w:val="left" w:pos="284"/>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本项目报总价，报价包含完成本项目服务期间所产生的一切费用（含验收费用）。</w:t>
      </w:r>
    </w:p>
    <w:p>
      <w:pPr>
        <w:rPr>
          <w:b/>
          <w:bCs/>
          <w:sz w:val="28"/>
          <w:szCs w:val="24"/>
          <w:highlight w:val="none"/>
        </w:rPr>
      </w:pPr>
      <w:bookmarkStart w:id="140" w:name="_Toc53217160"/>
      <w:r>
        <w:rPr>
          <w:rFonts w:hint="eastAsia"/>
          <w:b/>
          <w:bCs/>
          <w:sz w:val="28"/>
          <w:szCs w:val="24"/>
          <w:highlight w:val="none"/>
        </w:rPr>
        <w:t>八、人员配备</w:t>
      </w:r>
      <w:bookmarkEnd w:id="140"/>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成交供应商需根据测评业务系统的数量自行评估并配置测评实施团队。测评实施团队在合同约定期内派驻采购人到指定地点办公；</w:t>
      </w:r>
      <w:r>
        <w:rPr>
          <w:rFonts w:hint="eastAsia" w:ascii="宋体" w:hAnsi="宋体" w:cs="Arial"/>
          <w:sz w:val="24"/>
          <w:szCs w:val="24"/>
          <w:highlight w:val="none"/>
        </w:rPr>
        <w:t>成交供应商</w:t>
      </w:r>
      <w:r>
        <w:rPr>
          <w:rFonts w:hint="eastAsia" w:ascii="宋体" w:hAnsi="宋体"/>
          <w:sz w:val="24"/>
          <w:szCs w:val="24"/>
          <w:highlight w:val="none"/>
        </w:rPr>
        <w:t>需保证在实施阶段主要技术人员必须是</w:t>
      </w:r>
      <w:r>
        <w:rPr>
          <w:rFonts w:hint="eastAsia" w:ascii="宋体" w:hAnsi="宋体"/>
          <w:sz w:val="24"/>
          <w:szCs w:val="24"/>
          <w:highlight w:val="none"/>
        </w:rPr>
        <w:t>全职</w:t>
      </w:r>
      <w:r>
        <w:rPr>
          <w:rFonts w:hint="eastAsia" w:ascii="宋体" w:hAnsi="宋体"/>
          <w:sz w:val="24"/>
          <w:szCs w:val="24"/>
          <w:highlight w:val="none"/>
        </w:rPr>
        <w:t>驻点。</w:t>
      </w:r>
    </w:p>
    <w:p>
      <w:pPr>
        <w:rPr>
          <w:b/>
          <w:bCs/>
          <w:sz w:val="28"/>
          <w:szCs w:val="24"/>
          <w:highlight w:val="none"/>
        </w:rPr>
      </w:pPr>
      <w:bookmarkStart w:id="141" w:name="_Toc53217161"/>
      <w:r>
        <w:rPr>
          <w:rFonts w:hint="eastAsia"/>
          <w:b/>
          <w:bCs/>
          <w:sz w:val="28"/>
          <w:szCs w:val="24"/>
          <w:highlight w:val="none"/>
        </w:rPr>
        <w:t>九、验收标准</w:t>
      </w:r>
      <w:bookmarkEnd w:id="141"/>
    </w:p>
    <w:p>
      <w:pPr>
        <w:spacing w:line="360" w:lineRule="auto"/>
        <w:ind w:firstLine="360" w:firstLineChars="150"/>
        <w:rPr>
          <w:rFonts w:ascii="宋体" w:hAnsi="宋体"/>
          <w:sz w:val="24"/>
          <w:szCs w:val="24"/>
          <w:highlight w:val="none"/>
        </w:rPr>
      </w:pPr>
      <w:r>
        <w:rPr>
          <w:rFonts w:ascii="宋体" w:hAnsi="宋体" w:cs="Arial"/>
          <w:sz w:val="24"/>
          <w:szCs w:val="24"/>
          <w:highlight w:val="none"/>
        </w:rPr>
        <w:t>(1)</w:t>
      </w:r>
      <w:r>
        <w:rPr>
          <w:rFonts w:hint="eastAsia" w:ascii="宋体" w:hAnsi="宋体" w:cs="Arial"/>
          <w:sz w:val="24"/>
          <w:szCs w:val="24"/>
          <w:highlight w:val="none"/>
        </w:rPr>
        <w:t>成交供应商按</w:t>
      </w:r>
      <w:bookmarkStart w:id="142" w:name="_Hlk87128809"/>
      <w:r>
        <w:rPr>
          <w:rFonts w:hint="eastAsia" w:ascii="宋体" w:hAnsi="宋体" w:cs="Arial"/>
          <w:sz w:val="24"/>
          <w:szCs w:val="24"/>
          <w:highlight w:val="none"/>
        </w:rPr>
        <w:t>网络安全等级保护2</w:t>
      </w:r>
      <w:r>
        <w:rPr>
          <w:rFonts w:ascii="宋体" w:hAnsi="宋体" w:cs="Arial"/>
          <w:sz w:val="24"/>
          <w:szCs w:val="24"/>
          <w:highlight w:val="none"/>
        </w:rPr>
        <w:t>.0</w:t>
      </w:r>
      <w:bookmarkEnd w:id="142"/>
      <w:r>
        <w:rPr>
          <w:rFonts w:hint="eastAsia" w:ascii="宋体" w:hAnsi="宋体" w:cs="Arial"/>
          <w:sz w:val="24"/>
          <w:szCs w:val="24"/>
          <w:highlight w:val="none"/>
        </w:rPr>
        <w:t>要求</w:t>
      </w:r>
      <w:r>
        <w:rPr>
          <w:rFonts w:hint="eastAsia" w:ascii="宋体" w:hAnsi="宋体" w:cs="Arial"/>
          <w:sz w:val="24"/>
          <w:szCs w:val="24"/>
          <w:highlight w:val="none"/>
        </w:rPr>
        <w:t>，完成规定工作内容，提供相关过程文档，</w:t>
      </w:r>
      <w:r>
        <w:rPr>
          <w:rFonts w:hint="eastAsia" w:ascii="宋体" w:hAnsi="宋体"/>
          <w:sz w:val="24"/>
          <w:szCs w:val="24"/>
          <w:highlight w:val="none"/>
        </w:rPr>
        <w:t>能够按照</w:t>
      </w:r>
      <w:r>
        <w:rPr>
          <w:rFonts w:hint="eastAsia" w:ascii="宋体" w:hAnsi="宋体"/>
          <w:sz w:val="24"/>
          <w:szCs w:val="24"/>
          <w:highlight w:val="none"/>
        </w:rPr>
        <w:t>网络安全等级保护2.0标准</w:t>
      </w:r>
      <w:r>
        <w:rPr>
          <w:rFonts w:hint="eastAsia" w:ascii="宋体" w:hAnsi="宋体"/>
          <w:sz w:val="24"/>
          <w:szCs w:val="24"/>
          <w:highlight w:val="none"/>
        </w:rPr>
        <w:t>出具符合标准要求的测评报告。</w:t>
      </w:r>
    </w:p>
    <w:p>
      <w:pPr>
        <w:spacing w:line="360" w:lineRule="auto"/>
        <w:ind w:firstLine="480" w:firstLineChars="200"/>
        <w:rPr>
          <w:rFonts w:ascii="宋体" w:hAnsi="宋体" w:cs="宋体"/>
          <w:b/>
          <w:szCs w:val="21"/>
          <w:highlight w:val="none"/>
        </w:rPr>
      </w:pPr>
      <w:r>
        <w:rPr>
          <w:rFonts w:ascii="宋体" w:hAnsi="宋体" w:cs="Arial"/>
          <w:sz w:val="24"/>
          <w:szCs w:val="24"/>
          <w:highlight w:val="none"/>
        </w:rPr>
        <w:t>(2)</w:t>
      </w:r>
      <w:r>
        <w:rPr>
          <w:rFonts w:hint="eastAsia" w:ascii="宋体" w:hAnsi="宋体" w:cs="Arial"/>
          <w:sz w:val="24"/>
          <w:szCs w:val="24"/>
          <w:highlight w:val="none"/>
        </w:rPr>
        <w:t>成交供应商按招标文件要求，完成安全服务规定的工作内容，提供相关过程文档，能够出具</w:t>
      </w:r>
      <w:r>
        <w:rPr>
          <w:rFonts w:ascii="宋体" w:hAnsi="宋体" w:cs="Arial"/>
          <w:sz w:val="24"/>
          <w:szCs w:val="24"/>
          <w:highlight w:val="none"/>
        </w:rPr>
        <w:t>安庆职业技术学院</w:t>
      </w:r>
      <w:r>
        <w:rPr>
          <w:rFonts w:hint="eastAsia" w:ascii="宋体" w:hAnsi="宋体" w:cs="Arial"/>
          <w:sz w:val="24"/>
          <w:szCs w:val="24"/>
          <w:highlight w:val="none"/>
        </w:rPr>
        <w:t>认可的结果报告。</w:t>
      </w:r>
    </w:p>
    <w:p>
      <w:pPr>
        <w:adjustRightInd w:val="0"/>
        <w:snapToGrid w:val="0"/>
        <w:spacing w:line="360" w:lineRule="auto"/>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59"/>
        <w:ind w:firstLine="480"/>
        <w:rPr>
          <w:rFonts w:ascii="宋体" w:cs="宋体"/>
          <w:sz w:val="24"/>
          <w:szCs w:val="24"/>
          <w:highlight w:val="none"/>
        </w:rPr>
      </w:pPr>
    </w:p>
    <w:p>
      <w:pPr>
        <w:pStyle w:val="2"/>
        <w:keepNext w:val="0"/>
        <w:pageBreakBefore/>
        <w:tabs>
          <w:tab w:val="clear" w:pos="1440"/>
          <w:tab w:val="clear" w:pos="5670"/>
        </w:tabs>
        <w:spacing w:beforeLines="0" w:afterLines="0"/>
        <w:ind w:firstLine="0" w:firstLineChars="0"/>
        <w:jc w:val="center"/>
        <w:rPr>
          <w:rFonts w:ascii="宋体" w:eastAsia="宋体" w:cs="宋体"/>
          <w:highlight w:val="none"/>
        </w:rPr>
      </w:pPr>
      <w:bookmarkStart w:id="143" w:name="_Toc15663"/>
      <w:r>
        <w:rPr>
          <w:rFonts w:hint="eastAsia" w:ascii="Arial" w:hAnsi="Arial"/>
          <w:kern w:val="2"/>
          <w:sz w:val="32"/>
          <w:szCs w:val="32"/>
          <w:highlight w:val="none"/>
        </w:rPr>
        <w:t>第四章</w:t>
      </w:r>
      <w:r>
        <w:rPr>
          <w:rFonts w:ascii="Arial" w:hAnsi="Arial"/>
          <w:kern w:val="2"/>
          <w:sz w:val="32"/>
          <w:szCs w:val="32"/>
          <w:highlight w:val="none"/>
        </w:rPr>
        <w:t xml:space="preserve">     </w:t>
      </w:r>
      <w:bookmarkStart w:id="144" w:name="_Toc476584431"/>
      <w:bookmarkStart w:id="145" w:name="_Toc10479"/>
      <w:r>
        <w:rPr>
          <w:rFonts w:hint="eastAsia" w:ascii="Arial" w:hAnsi="Arial"/>
          <w:kern w:val="2"/>
          <w:sz w:val="32"/>
          <w:szCs w:val="32"/>
          <w:highlight w:val="none"/>
        </w:rPr>
        <w:t>合同主要条款</w:t>
      </w:r>
      <w:bookmarkEnd w:id="143"/>
      <w:bookmarkEnd w:id="144"/>
      <w:bookmarkEnd w:id="145"/>
    </w:p>
    <w:p>
      <w:pPr>
        <w:tabs>
          <w:tab w:val="left" w:pos="3640"/>
        </w:tabs>
        <w:autoSpaceDE w:val="0"/>
        <w:autoSpaceDN w:val="0"/>
        <w:spacing w:line="360" w:lineRule="auto"/>
        <w:rPr>
          <w:rFonts w:ascii="宋体" w:cs="宋体"/>
          <w:szCs w:val="21"/>
          <w:highlight w:val="none"/>
          <w:u w:val="single"/>
        </w:rPr>
      </w:pPr>
      <w:r>
        <w:rPr>
          <w:rFonts w:hint="eastAsia" w:ascii="宋体" w:hAnsi="宋体" w:cs="宋体"/>
          <w:szCs w:val="21"/>
          <w:highlight w:val="none"/>
        </w:rPr>
        <w:t>买方（采购人）：</w:t>
      </w:r>
      <w:r>
        <w:rPr>
          <w:rFonts w:ascii="宋体" w:hAnsi="宋体" w:cs="宋体"/>
          <w:szCs w:val="21"/>
          <w:highlight w:val="none"/>
          <w:u w:val="single"/>
        </w:rPr>
        <w:t xml:space="preserve">                           </w:t>
      </w:r>
    </w:p>
    <w:p>
      <w:pPr>
        <w:tabs>
          <w:tab w:val="left" w:pos="3640"/>
        </w:tabs>
        <w:autoSpaceDE w:val="0"/>
        <w:autoSpaceDN w:val="0"/>
        <w:spacing w:line="360" w:lineRule="auto"/>
        <w:rPr>
          <w:rFonts w:ascii="宋体" w:cs="宋体"/>
          <w:szCs w:val="21"/>
          <w:highlight w:val="none"/>
          <w:u w:val="single"/>
        </w:rPr>
      </w:pPr>
      <w:r>
        <w:rPr>
          <w:rFonts w:hint="eastAsia" w:ascii="宋体" w:hAnsi="宋体" w:cs="宋体"/>
          <w:szCs w:val="21"/>
          <w:highlight w:val="none"/>
        </w:rPr>
        <w:t>卖方（供应商）：</w:t>
      </w:r>
      <w:r>
        <w:rPr>
          <w:rFonts w:ascii="宋体" w:hAnsi="宋体" w:cs="宋体"/>
          <w:szCs w:val="21"/>
          <w:highlight w:val="none"/>
          <w:u w:val="single"/>
        </w:rPr>
        <w:t xml:space="preserve">                           </w:t>
      </w:r>
    </w:p>
    <w:p>
      <w:pPr>
        <w:tabs>
          <w:tab w:val="left" w:pos="3640"/>
        </w:tabs>
        <w:autoSpaceDE w:val="0"/>
        <w:autoSpaceDN w:val="0"/>
        <w:spacing w:line="360" w:lineRule="auto"/>
        <w:ind w:firstLine="420" w:firstLineChars="200"/>
        <w:rPr>
          <w:rFonts w:ascii="宋体" w:cs="宋体"/>
          <w:szCs w:val="21"/>
          <w:highlight w:val="none"/>
        </w:rPr>
      </w:pPr>
      <w:r>
        <w:rPr>
          <w:rFonts w:hint="eastAsia" w:ascii="宋体" w:hAnsi="宋体" w:cs="宋体"/>
          <w:szCs w:val="21"/>
          <w:highlight w:val="none"/>
        </w:rPr>
        <w:t>根据《中华人民共和国民法典》及</w:t>
      </w:r>
      <w:r>
        <w:rPr>
          <w:rFonts w:ascii="宋体" w:hAnsi="宋体" w:cs="宋体"/>
          <w:szCs w:val="21"/>
          <w:highlight w:val="none"/>
          <w:u w:val="single"/>
        </w:rPr>
        <w:t xml:space="preserve">                                </w:t>
      </w:r>
      <w:r>
        <w:rPr>
          <w:rFonts w:hint="eastAsia" w:ascii="宋体" w:hAnsi="宋体" w:cs="宋体"/>
          <w:szCs w:val="21"/>
          <w:highlight w:val="none"/>
        </w:rPr>
        <w:t>磋商文件，买、卖双方经协商一致，签订如下合同条款，并共同遵守。</w:t>
      </w:r>
    </w:p>
    <w:p>
      <w:pPr>
        <w:numPr>
          <w:ilvl w:val="0"/>
          <w:numId w:val="12"/>
        </w:numPr>
        <w:tabs>
          <w:tab w:val="left" w:pos="3640"/>
        </w:tabs>
        <w:autoSpaceDE w:val="0"/>
        <w:autoSpaceDN w:val="0"/>
        <w:spacing w:line="360" w:lineRule="auto"/>
        <w:ind w:firstLine="422" w:firstLineChars="200"/>
        <w:rPr>
          <w:rFonts w:ascii="宋体" w:cs="宋体"/>
          <w:b/>
          <w:spacing w:val="8"/>
          <w:szCs w:val="21"/>
          <w:highlight w:val="none"/>
        </w:rPr>
      </w:pPr>
      <w:r>
        <w:rPr>
          <w:rFonts w:hint="eastAsia" w:ascii="宋体" w:hAnsi="宋体" w:cs="宋体"/>
          <w:b/>
          <w:szCs w:val="21"/>
          <w:highlight w:val="none"/>
        </w:rPr>
        <w:t>服务内容</w:t>
      </w:r>
    </w:p>
    <w:p>
      <w:pPr>
        <w:tabs>
          <w:tab w:val="left" w:pos="3640"/>
        </w:tabs>
        <w:autoSpaceDE w:val="0"/>
        <w:autoSpaceDN w:val="0"/>
        <w:spacing w:line="360" w:lineRule="auto"/>
        <w:ind w:left="422"/>
        <w:rPr>
          <w:rFonts w:ascii="宋体" w:cs="宋体"/>
          <w:b/>
          <w:spacing w:val="8"/>
          <w:szCs w:val="21"/>
          <w:highlight w:val="none"/>
        </w:rPr>
      </w:pPr>
      <w:r>
        <w:rPr>
          <w:rFonts w:hint="eastAsia" w:ascii="宋体" w:hAnsi="宋体" w:cs="宋体"/>
          <w:b/>
          <w:szCs w:val="21"/>
          <w:highlight w:val="none"/>
        </w:rPr>
        <w:t>服务内容：</w:t>
      </w:r>
    </w:p>
    <w:p>
      <w:pPr>
        <w:tabs>
          <w:tab w:val="left" w:pos="3640"/>
        </w:tabs>
        <w:autoSpaceDE w:val="0"/>
        <w:autoSpaceDN w:val="0"/>
        <w:spacing w:line="360" w:lineRule="auto"/>
        <w:ind w:left="422"/>
        <w:rPr>
          <w:rFonts w:ascii="宋体" w:cs="宋体"/>
          <w:b/>
          <w:spacing w:val="8"/>
          <w:szCs w:val="21"/>
          <w:highlight w:val="none"/>
        </w:rPr>
      </w:pPr>
      <w:r>
        <w:rPr>
          <w:rFonts w:hint="eastAsia" w:ascii="宋体" w:hAnsi="宋体" w:cs="宋体"/>
          <w:b/>
          <w:szCs w:val="21"/>
          <w:highlight w:val="none"/>
        </w:rPr>
        <w:t>合同金额：</w:t>
      </w:r>
    </w:p>
    <w:p>
      <w:pPr>
        <w:tabs>
          <w:tab w:val="left" w:pos="3640"/>
        </w:tabs>
        <w:autoSpaceDE w:val="0"/>
        <w:autoSpaceDN w:val="0"/>
        <w:spacing w:line="360" w:lineRule="auto"/>
        <w:ind w:firstLine="422" w:firstLineChars="200"/>
        <w:rPr>
          <w:rFonts w:ascii="宋体" w:cs="宋体"/>
          <w:szCs w:val="21"/>
          <w:highlight w:val="none"/>
        </w:rPr>
      </w:pPr>
      <w:r>
        <w:rPr>
          <w:rFonts w:hint="eastAsia" w:ascii="宋体" w:hAnsi="宋体" w:cs="宋体"/>
          <w:b/>
          <w:szCs w:val="21"/>
          <w:highlight w:val="none"/>
        </w:rPr>
        <w:t>二、服务期：</w:t>
      </w:r>
    </w:p>
    <w:p>
      <w:pPr>
        <w:tabs>
          <w:tab w:val="left" w:pos="3640"/>
        </w:tabs>
        <w:autoSpaceDE w:val="0"/>
        <w:autoSpaceDN w:val="0"/>
        <w:spacing w:line="360" w:lineRule="auto"/>
        <w:ind w:firstLine="422" w:firstLineChars="200"/>
        <w:rPr>
          <w:rFonts w:ascii="宋体" w:cs="宋体"/>
          <w:b/>
          <w:bCs/>
          <w:szCs w:val="21"/>
          <w:highlight w:val="none"/>
        </w:rPr>
      </w:pPr>
      <w:r>
        <w:rPr>
          <w:rFonts w:hint="eastAsia" w:ascii="宋体" w:hAnsi="宋体" w:cs="宋体"/>
          <w:b/>
          <w:bCs/>
          <w:szCs w:val="21"/>
          <w:highlight w:val="none"/>
        </w:rPr>
        <w:t>三、服务人员配备：</w:t>
      </w:r>
    </w:p>
    <w:p>
      <w:pPr>
        <w:tabs>
          <w:tab w:val="left" w:pos="3640"/>
        </w:tabs>
        <w:autoSpaceDE w:val="0"/>
        <w:autoSpaceDN w:val="0"/>
        <w:spacing w:line="360" w:lineRule="auto"/>
        <w:ind w:firstLine="422" w:firstLineChars="200"/>
        <w:rPr>
          <w:rFonts w:ascii="宋体" w:cs="宋体"/>
          <w:b/>
          <w:szCs w:val="21"/>
          <w:highlight w:val="none"/>
        </w:rPr>
      </w:pPr>
      <w:r>
        <w:rPr>
          <w:rFonts w:hint="eastAsia" w:ascii="宋体" w:hAnsi="宋体" w:cs="宋体"/>
          <w:b/>
          <w:szCs w:val="21"/>
          <w:highlight w:val="none"/>
        </w:rPr>
        <w:t>四、服务地点：</w:t>
      </w:r>
    </w:p>
    <w:p>
      <w:pPr>
        <w:tabs>
          <w:tab w:val="left" w:pos="3640"/>
        </w:tabs>
        <w:autoSpaceDE w:val="0"/>
        <w:autoSpaceDN w:val="0"/>
        <w:spacing w:line="360" w:lineRule="auto"/>
        <w:ind w:firstLine="422" w:firstLineChars="200"/>
        <w:rPr>
          <w:rFonts w:ascii="宋体" w:cs="宋体"/>
          <w:b/>
          <w:highlight w:val="none"/>
        </w:rPr>
      </w:pPr>
      <w:r>
        <w:rPr>
          <w:rFonts w:hint="eastAsia" w:ascii="宋体" w:hAnsi="宋体" w:cs="宋体"/>
          <w:b/>
          <w:szCs w:val="21"/>
          <w:highlight w:val="none"/>
        </w:rPr>
        <w:t>五、</w:t>
      </w:r>
      <w:r>
        <w:rPr>
          <w:rFonts w:hint="eastAsia" w:ascii="宋体" w:hAnsi="宋体" w:cs="宋体"/>
          <w:b/>
          <w:highlight w:val="none"/>
        </w:rPr>
        <w:t>验收：</w:t>
      </w:r>
    </w:p>
    <w:p>
      <w:pPr>
        <w:spacing w:line="360" w:lineRule="auto"/>
        <w:ind w:firstLine="422" w:firstLineChars="200"/>
        <w:rPr>
          <w:rFonts w:ascii="宋体" w:cs="宋体"/>
          <w:b/>
          <w:szCs w:val="21"/>
          <w:highlight w:val="none"/>
        </w:rPr>
      </w:pPr>
      <w:r>
        <w:rPr>
          <w:rFonts w:hint="eastAsia" w:ascii="宋体" w:hAnsi="宋体" w:cs="宋体"/>
          <w:b/>
          <w:szCs w:val="21"/>
          <w:highlight w:val="none"/>
        </w:rPr>
        <w:t>六、付款方式：</w:t>
      </w:r>
    </w:p>
    <w:p>
      <w:pPr>
        <w:spacing w:line="360" w:lineRule="auto"/>
        <w:ind w:firstLine="422" w:firstLineChars="200"/>
        <w:rPr>
          <w:rFonts w:ascii="宋体" w:cs="宋体"/>
          <w:b/>
          <w:szCs w:val="21"/>
          <w:highlight w:val="none"/>
        </w:rPr>
      </w:pPr>
      <w:r>
        <w:rPr>
          <w:rFonts w:hint="eastAsia" w:ascii="宋体" w:hAnsi="宋体" w:cs="宋体"/>
          <w:b/>
          <w:szCs w:val="21"/>
          <w:highlight w:val="none"/>
        </w:rPr>
        <w:t>七、违约责任</w:t>
      </w:r>
    </w:p>
    <w:p>
      <w:pPr>
        <w:tabs>
          <w:tab w:val="left" w:pos="3640"/>
        </w:tabs>
        <w:autoSpaceDE w:val="0"/>
        <w:autoSpaceDN w:val="0"/>
        <w:spacing w:line="360" w:lineRule="auto"/>
        <w:ind w:firstLine="452" w:firstLineChars="200"/>
        <w:rPr>
          <w:rFonts w:ascii="宋体" w:cs="宋体"/>
          <w:b/>
          <w:szCs w:val="21"/>
          <w:highlight w:val="none"/>
        </w:rPr>
      </w:pPr>
      <w:r>
        <w:rPr>
          <w:rFonts w:ascii="宋体" w:hAnsi="宋体" w:cs="宋体"/>
          <w:spacing w:val="8"/>
          <w:szCs w:val="21"/>
          <w:highlight w:val="none"/>
        </w:rPr>
        <w:t>1</w:t>
      </w:r>
      <w:r>
        <w:rPr>
          <w:rFonts w:hint="eastAsia" w:ascii="宋体" w:hAnsi="宋体" w:cs="宋体"/>
          <w:spacing w:val="8"/>
          <w:szCs w:val="21"/>
          <w:highlight w:val="none"/>
        </w:rPr>
        <w:t>、买方</w:t>
      </w:r>
      <w:r>
        <w:rPr>
          <w:rFonts w:hint="eastAsia" w:ascii="宋体" w:hAnsi="宋体" w:cs="宋体"/>
          <w:szCs w:val="21"/>
          <w:highlight w:val="none"/>
        </w:rPr>
        <w:t>（采购人）</w:t>
      </w:r>
      <w:r>
        <w:rPr>
          <w:rFonts w:hint="eastAsia" w:ascii="宋体" w:hAnsi="宋体" w:cs="宋体"/>
          <w:spacing w:val="8"/>
          <w:szCs w:val="21"/>
          <w:highlight w:val="none"/>
        </w:rPr>
        <w:t>无正当理由拒绝接受服务，买方向卖方偿付合同价的</w:t>
      </w:r>
      <w:r>
        <w:rPr>
          <w:rFonts w:ascii="宋体" w:hAnsi="宋体" w:cs="宋体"/>
          <w:spacing w:val="8"/>
          <w:szCs w:val="21"/>
          <w:highlight w:val="none"/>
          <w:u w:val="single"/>
        </w:rPr>
        <w:t xml:space="preserve">     </w:t>
      </w:r>
      <w:r>
        <w:rPr>
          <w:rFonts w:hint="eastAsia" w:ascii="宋体" w:hAnsi="宋体" w:cs="宋体"/>
          <w:spacing w:val="8"/>
          <w:szCs w:val="21"/>
          <w:highlight w:val="none"/>
        </w:rPr>
        <w:t>％的违约金；</w:t>
      </w:r>
    </w:p>
    <w:p>
      <w:pPr>
        <w:tabs>
          <w:tab w:val="left" w:pos="3640"/>
        </w:tabs>
        <w:autoSpaceDE w:val="0"/>
        <w:autoSpaceDN w:val="0"/>
        <w:spacing w:line="360" w:lineRule="auto"/>
        <w:ind w:firstLine="452" w:firstLineChars="200"/>
        <w:rPr>
          <w:rFonts w:ascii="宋体" w:cs="宋体"/>
          <w:b/>
          <w:szCs w:val="21"/>
          <w:highlight w:val="none"/>
        </w:rPr>
      </w:pPr>
      <w:r>
        <w:rPr>
          <w:rFonts w:ascii="宋体" w:hAnsi="宋体" w:cs="宋体"/>
          <w:spacing w:val="8"/>
          <w:szCs w:val="21"/>
          <w:highlight w:val="none"/>
        </w:rPr>
        <w:t>2</w:t>
      </w:r>
      <w:r>
        <w:rPr>
          <w:rFonts w:hint="eastAsia" w:ascii="宋体" w:hAnsi="宋体" w:cs="宋体"/>
          <w:spacing w:val="8"/>
          <w:szCs w:val="21"/>
          <w:highlight w:val="none"/>
        </w:rPr>
        <w:t>、买方</w:t>
      </w:r>
      <w:r>
        <w:rPr>
          <w:rFonts w:hint="eastAsia" w:ascii="宋体" w:hAnsi="宋体" w:cs="宋体"/>
          <w:szCs w:val="21"/>
          <w:highlight w:val="none"/>
        </w:rPr>
        <w:t>（采购人）</w:t>
      </w:r>
      <w:r>
        <w:rPr>
          <w:rFonts w:hint="eastAsia" w:ascii="宋体" w:hAnsi="宋体" w:cs="宋体"/>
          <w:spacing w:val="8"/>
          <w:szCs w:val="21"/>
          <w:highlight w:val="none"/>
        </w:rPr>
        <w:t>无正当理由逾期付款的，买方向卖方每日偿付合同价的</w:t>
      </w:r>
      <w:r>
        <w:rPr>
          <w:rFonts w:ascii="宋体" w:hAnsi="宋体" w:cs="宋体"/>
          <w:spacing w:val="8"/>
          <w:szCs w:val="21"/>
          <w:highlight w:val="none"/>
          <w:u w:val="single"/>
        </w:rPr>
        <w:t xml:space="preserve">     </w:t>
      </w:r>
      <w:r>
        <w:rPr>
          <w:rFonts w:hint="eastAsia" w:ascii="宋体" w:hAnsi="宋体" w:cs="宋体"/>
          <w:spacing w:val="8"/>
          <w:szCs w:val="21"/>
          <w:highlight w:val="none"/>
        </w:rPr>
        <w:t>‰的违约金；</w:t>
      </w:r>
    </w:p>
    <w:p>
      <w:pPr>
        <w:tabs>
          <w:tab w:val="left" w:pos="3640"/>
        </w:tabs>
        <w:autoSpaceDE w:val="0"/>
        <w:autoSpaceDN w:val="0"/>
        <w:spacing w:line="360" w:lineRule="auto"/>
        <w:ind w:firstLine="452" w:firstLineChars="200"/>
        <w:rPr>
          <w:rFonts w:ascii="宋体" w:cs="宋体"/>
          <w:b/>
          <w:szCs w:val="21"/>
          <w:highlight w:val="none"/>
        </w:rPr>
      </w:pPr>
      <w:r>
        <w:rPr>
          <w:rFonts w:ascii="宋体" w:hAnsi="宋体" w:cs="宋体"/>
          <w:spacing w:val="8"/>
          <w:szCs w:val="21"/>
          <w:highlight w:val="none"/>
        </w:rPr>
        <w:t>3</w:t>
      </w:r>
      <w:r>
        <w:rPr>
          <w:rFonts w:hint="eastAsia" w:ascii="宋体" w:hAnsi="宋体" w:cs="宋体"/>
          <w:spacing w:val="8"/>
          <w:szCs w:val="21"/>
          <w:highlight w:val="none"/>
        </w:rPr>
        <w:t>、卖方</w:t>
      </w:r>
      <w:r>
        <w:rPr>
          <w:rFonts w:hint="eastAsia" w:ascii="宋体" w:hAnsi="宋体" w:cs="宋体"/>
          <w:szCs w:val="21"/>
          <w:highlight w:val="none"/>
        </w:rPr>
        <w:t>（供应商）</w:t>
      </w:r>
      <w:r>
        <w:rPr>
          <w:rFonts w:hint="eastAsia" w:ascii="宋体" w:hAnsi="宋体" w:cs="宋体"/>
          <w:spacing w:val="8"/>
          <w:szCs w:val="21"/>
          <w:highlight w:val="none"/>
        </w:rPr>
        <w:t>不能提供服务的，卖方向买方支付合同价的</w:t>
      </w:r>
      <w:r>
        <w:rPr>
          <w:rFonts w:ascii="宋体" w:hAnsi="宋体" w:cs="宋体"/>
          <w:spacing w:val="8"/>
          <w:szCs w:val="21"/>
          <w:highlight w:val="none"/>
          <w:u w:val="single"/>
        </w:rPr>
        <w:t xml:space="preserve">      </w:t>
      </w:r>
      <w:r>
        <w:rPr>
          <w:rFonts w:hint="eastAsia" w:ascii="宋体" w:hAnsi="宋体" w:cs="宋体"/>
          <w:spacing w:val="8"/>
          <w:szCs w:val="21"/>
          <w:highlight w:val="none"/>
        </w:rPr>
        <w:t>％的违约金；</w:t>
      </w:r>
    </w:p>
    <w:p>
      <w:pPr>
        <w:tabs>
          <w:tab w:val="left" w:pos="3640"/>
        </w:tabs>
        <w:autoSpaceDE w:val="0"/>
        <w:autoSpaceDN w:val="0"/>
        <w:spacing w:line="360" w:lineRule="auto"/>
        <w:ind w:firstLine="452" w:firstLineChars="200"/>
        <w:rPr>
          <w:rFonts w:ascii="宋体" w:cs="宋体"/>
          <w:b/>
          <w:szCs w:val="21"/>
          <w:highlight w:val="none"/>
        </w:rPr>
      </w:pPr>
      <w:r>
        <w:rPr>
          <w:rFonts w:ascii="宋体" w:hAnsi="宋体" w:cs="宋体"/>
          <w:spacing w:val="8"/>
          <w:szCs w:val="21"/>
          <w:highlight w:val="none"/>
        </w:rPr>
        <w:t>4</w:t>
      </w:r>
      <w:r>
        <w:rPr>
          <w:rFonts w:hint="eastAsia" w:ascii="宋体" w:hAnsi="宋体" w:cs="宋体"/>
          <w:spacing w:val="8"/>
          <w:szCs w:val="21"/>
          <w:highlight w:val="none"/>
        </w:rPr>
        <w:t>、卖方</w:t>
      </w:r>
      <w:r>
        <w:rPr>
          <w:rFonts w:hint="eastAsia" w:ascii="宋体" w:hAnsi="宋体" w:cs="宋体"/>
          <w:szCs w:val="21"/>
          <w:highlight w:val="none"/>
        </w:rPr>
        <w:t>（供应商）</w:t>
      </w:r>
      <w:r>
        <w:rPr>
          <w:rFonts w:hint="eastAsia" w:ascii="宋体" w:hAnsi="宋体" w:cs="宋体"/>
          <w:spacing w:val="8"/>
          <w:szCs w:val="21"/>
          <w:highlight w:val="none"/>
        </w:rPr>
        <w:t>逾期提供服务的，卖方向买方每日偿付合同价的</w:t>
      </w:r>
      <w:r>
        <w:rPr>
          <w:rFonts w:ascii="宋体" w:hAnsi="宋体" w:cs="宋体"/>
          <w:spacing w:val="8"/>
          <w:szCs w:val="21"/>
          <w:highlight w:val="none"/>
          <w:u w:val="single"/>
        </w:rPr>
        <w:t xml:space="preserve">      </w:t>
      </w:r>
      <w:r>
        <w:rPr>
          <w:rFonts w:hint="eastAsia" w:ascii="宋体" w:hAnsi="宋体" w:cs="宋体"/>
          <w:spacing w:val="8"/>
          <w:szCs w:val="21"/>
          <w:highlight w:val="none"/>
        </w:rPr>
        <w:t>‰的违约金。</w:t>
      </w:r>
    </w:p>
    <w:p>
      <w:pPr>
        <w:spacing w:line="360" w:lineRule="auto"/>
        <w:ind w:left="-178" w:leftChars="-85" w:firstLine="583" w:firstLineChars="257"/>
        <w:rPr>
          <w:rFonts w:ascii="宋体" w:cs="宋体"/>
          <w:b/>
          <w:spacing w:val="8"/>
          <w:szCs w:val="21"/>
          <w:highlight w:val="none"/>
        </w:rPr>
      </w:pPr>
      <w:r>
        <w:rPr>
          <w:rFonts w:hint="eastAsia" w:ascii="宋体" w:hAnsi="宋体" w:cs="宋体"/>
          <w:b/>
          <w:spacing w:val="8"/>
          <w:szCs w:val="21"/>
          <w:highlight w:val="none"/>
        </w:rPr>
        <w:t>八、解决合同纠纷方式</w:t>
      </w:r>
    </w:p>
    <w:p>
      <w:pPr>
        <w:spacing w:line="360" w:lineRule="auto"/>
        <w:ind w:left="-178" w:leftChars="-85" w:firstLine="580" w:firstLineChars="257"/>
        <w:rPr>
          <w:rFonts w:ascii="宋体" w:hAnsi="宋体" w:cs="宋体"/>
          <w:spacing w:val="8"/>
          <w:szCs w:val="21"/>
          <w:highlight w:val="none"/>
        </w:rPr>
      </w:pPr>
      <w:r>
        <w:rPr>
          <w:rFonts w:hint="eastAsia" w:ascii="宋体" w:hAnsi="宋体" w:cs="宋体"/>
          <w:spacing w:val="8"/>
          <w:szCs w:val="21"/>
          <w:highlight w:val="none"/>
        </w:rPr>
        <w:t>本合同如发生纠纷，买卖双方应当及时协商解决，协商不成时，按以下第（</w:t>
      </w:r>
      <w:r>
        <w:rPr>
          <w:rFonts w:hint="eastAsia" w:ascii="宋体" w:hAnsi="宋体"/>
          <w:spacing w:val="8"/>
          <w:szCs w:val="21"/>
          <w:highlight w:val="none"/>
        </w:rPr>
        <w:t>①</w:t>
      </w:r>
      <w:r>
        <w:rPr>
          <w:rFonts w:hint="eastAsia" w:ascii="宋体" w:hAnsi="宋体" w:cs="宋体"/>
          <w:spacing w:val="8"/>
          <w:szCs w:val="21"/>
          <w:highlight w:val="none"/>
        </w:rPr>
        <w:t>）项方式处理：①根据《中华人民共和国仲裁法》的规定向 安庆仲裁委员会 申请仲裁。②向________人民法院起诉。</w:t>
      </w:r>
    </w:p>
    <w:p>
      <w:pPr>
        <w:spacing w:line="360" w:lineRule="auto"/>
        <w:ind w:left="-178" w:leftChars="-85" w:firstLine="542" w:firstLineChars="257"/>
        <w:rPr>
          <w:rFonts w:ascii="宋体" w:cs="宋体"/>
          <w:b/>
          <w:spacing w:val="8"/>
          <w:szCs w:val="21"/>
          <w:highlight w:val="none"/>
        </w:rPr>
      </w:pPr>
      <w:r>
        <w:rPr>
          <w:rFonts w:hint="eastAsia" w:ascii="宋体" w:hAnsi="宋体" w:cs="宋体"/>
          <w:b/>
          <w:szCs w:val="21"/>
          <w:highlight w:val="none"/>
        </w:rPr>
        <w:t>九、本合同的其他重要组成部分：</w:t>
      </w:r>
    </w:p>
    <w:p>
      <w:pPr>
        <w:tabs>
          <w:tab w:val="left" w:pos="3640"/>
        </w:tabs>
        <w:autoSpaceDE w:val="0"/>
        <w:autoSpaceDN w:val="0"/>
        <w:spacing w:line="360" w:lineRule="auto"/>
        <w:ind w:firstLine="420" w:firstLineChars="200"/>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、磋商文件；</w:t>
      </w:r>
    </w:p>
    <w:p>
      <w:pPr>
        <w:tabs>
          <w:tab w:val="left" w:pos="3640"/>
        </w:tabs>
        <w:autoSpaceDE w:val="0"/>
        <w:autoSpaceDN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、成交人的响应文件；</w:t>
      </w:r>
    </w:p>
    <w:p>
      <w:pPr>
        <w:tabs>
          <w:tab w:val="left" w:pos="3640"/>
        </w:tabs>
        <w:autoSpaceDE w:val="0"/>
        <w:autoSpaceDN w:val="0"/>
        <w:spacing w:line="360" w:lineRule="auto"/>
        <w:ind w:firstLine="420" w:firstLineChars="200"/>
        <w:rPr>
          <w:rFonts w:ascii="宋体" w:cs="宋体"/>
          <w:szCs w:val="21"/>
          <w:highlight w:val="none"/>
        </w:rPr>
      </w:pPr>
      <w:r>
        <w:rPr>
          <w:rFonts w:ascii="宋体" w:hAnsi="宋体" w:cs="宋体"/>
          <w:szCs w:val="21"/>
          <w:highlight w:val="none"/>
        </w:rPr>
        <w:t>3</w:t>
      </w:r>
      <w:r>
        <w:rPr>
          <w:rFonts w:hint="eastAsia" w:ascii="宋体" w:hAnsi="宋体" w:cs="宋体"/>
          <w:szCs w:val="21"/>
          <w:highlight w:val="none"/>
        </w:rPr>
        <w:t>、成交通知书。</w:t>
      </w:r>
    </w:p>
    <w:p>
      <w:pPr>
        <w:spacing w:line="360" w:lineRule="auto"/>
        <w:ind w:firstLine="445" w:firstLineChars="196"/>
        <w:rPr>
          <w:rFonts w:ascii="宋体" w:cs="宋体"/>
          <w:b/>
          <w:spacing w:val="8"/>
          <w:szCs w:val="21"/>
          <w:highlight w:val="none"/>
          <w:u w:val="single"/>
        </w:rPr>
      </w:pPr>
      <w:r>
        <w:rPr>
          <w:rFonts w:hint="eastAsia" w:ascii="宋体" w:hAnsi="宋体" w:cs="宋体"/>
          <w:b/>
          <w:spacing w:val="8"/>
          <w:szCs w:val="21"/>
          <w:highlight w:val="none"/>
        </w:rPr>
        <w:t>十、</w:t>
      </w:r>
      <w:r>
        <w:rPr>
          <w:rFonts w:hint="eastAsia" w:ascii="宋体" w:hAnsi="宋体" w:cs="宋体"/>
          <w:spacing w:val="8"/>
          <w:szCs w:val="21"/>
          <w:highlight w:val="none"/>
        </w:rPr>
        <w:t>其他约定事项：</w:t>
      </w:r>
      <w:r>
        <w:rPr>
          <w:rFonts w:ascii="宋体" w:hAnsi="宋体" w:cs="宋体"/>
          <w:spacing w:val="8"/>
          <w:szCs w:val="21"/>
          <w:highlight w:val="none"/>
          <w:u w:val="single"/>
        </w:rPr>
        <w:t xml:space="preserve"> </w:t>
      </w:r>
      <w:r>
        <w:rPr>
          <w:rFonts w:hint="eastAsia" w:ascii="宋体" w:hAnsi="宋体" w:cs="宋体"/>
          <w:spacing w:val="8"/>
          <w:szCs w:val="21"/>
          <w:highlight w:val="none"/>
          <w:u w:val="single"/>
        </w:rPr>
        <w:t>合同文本的组成部分的先后解释顺序为：</w:t>
      </w:r>
      <w:r>
        <w:rPr>
          <w:rFonts w:ascii="宋体" w:hAnsi="宋体" w:cs="宋体"/>
          <w:spacing w:val="8"/>
          <w:szCs w:val="21"/>
          <w:highlight w:val="none"/>
          <w:u w:val="single"/>
        </w:rPr>
        <w:t>1</w:t>
      </w:r>
      <w:r>
        <w:rPr>
          <w:rFonts w:hint="eastAsia" w:ascii="宋体" w:hAnsi="宋体" w:cs="宋体"/>
          <w:spacing w:val="8"/>
          <w:szCs w:val="21"/>
          <w:highlight w:val="none"/>
          <w:u w:val="single"/>
        </w:rPr>
        <w:t>、</w:t>
      </w:r>
      <w:r>
        <w:rPr>
          <w:rFonts w:ascii="宋体" w:hAnsi="宋体" w:cs="宋体"/>
          <w:spacing w:val="8"/>
          <w:szCs w:val="21"/>
          <w:highlight w:val="none"/>
          <w:u w:val="single"/>
        </w:rPr>
        <w:t xml:space="preserve"> </w:t>
      </w:r>
      <w:r>
        <w:rPr>
          <w:rFonts w:hint="eastAsia" w:ascii="宋体" w:hAnsi="宋体" w:cs="宋体"/>
          <w:spacing w:val="8"/>
          <w:szCs w:val="21"/>
          <w:highlight w:val="none"/>
          <w:u w:val="single"/>
        </w:rPr>
        <w:t>成交通知书；</w:t>
      </w:r>
      <w:r>
        <w:rPr>
          <w:rFonts w:ascii="宋体" w:hAnsi="宋体" w:cs="宋体"/>
          <w:spacing w:val="8"/>
          <w:szCs w:val="21"/>
          <w:highlight w:val="none"/>
          <w:u w:val="single"/>
        </w:rPr>
        <w:t>2</w:t>
      </w:r>
      <w:r>
        <w:rPr>
          <w:rFonts w:hint="eastAsia" w:ascii="宋体" w:hAnsi="宋体" w:cs="宋体"/>
          <w:spacing w:val="8"/>
          <w:szCs w:val="21"/>
          <w:highlight w:val="none"/>
          <w:u w:val="single"/>
        </w:rPr>
        <w:t>、磋商文件；</w:t>
      </w:r>
      <w:r>
        <w:rPr>
          <w:rFonts w:ascii="宋体" w:hAnsi="宋体" w:cs="宋体"/>
          <w:spacing w:val="8"/>
          <w:szCs w:val="21"/>
          <w:highlight w:val="none"/>
          <w:u w:val="single"/>
        </w:rPr>
        <w:t>3</w:t>
      </w:r>
      <w:r>
        <w:rPr>
          <w:rFonts w:hint="eastAsia" w:ascii="宋体" w:hAnsi="宋体" w:cs="宋体"/>
          <w:spacing w:val="8"/>
          <w:szCs w:val="21"/>
          <w:highlight w:val="none"/>
          <w:u w:val="single"/>
        </w:rPr>
        <w:t>、本合同文本；</w:t>
      </w:r>
      <w:r>
        <w:rPr>
          <w:rFonts w:ascii="宋体" w:hAnsi="宋体" w:cs="宋体"/>
          <w:spacing w:val="8"/>
          <w:szCs w:val="21"/>
          <w:highlight w:val="none"/>
          <w:u w:val="single"/>
        </w:rPr>
        <w:t>4</w:t>
      </w:r>
      <w:r>
        <w:rPr>
          <w:rFonts w:hint="eastAsia" w:ascii="宋体" w:hAnsi="宋体" w:cs="宋体"/>
          <w:spacing w:val="8"/>
          <w:szCs w:val="21"/>
          <w:highlight w:val="none"/>
          <w:u w:val="single"/>
        </w:rPr>
        <w:t>、成交人的响应文件；</w:t>
      </w:r>
      <w:r>
        <w:rPr>
          <w:rFonts w:ascii="宋体" w:hAnsi="宋体" w:cs="宋体"/>
          <w:spacing w:val="8"/>
          <w:szCs w:val="21"/>
          <w:highlight w:val="none"/>
          <w:u w:val="single"/>
        </w:rPr>
        <w:t>5</w:t>
      </w:r>
      <w:r>
        <w:rPr>
          <w:rFonts w:hint="eastAsia" w:ascii="宋体" w:hAnsi="宋体" w:cs="宋体"/>
          <w:spacing w:val="8"/>
          <w:szCs w:val="21"/>
          <w:highlight w:val="none"/>
          <w:u w:val="single"/>
        </w:rPr>
        <w:t>、其他补充约定事项。</w:t>
      </w:r>
      <w:r>
        <w:rPr>
          <w:rFonts w:ascii="宋体" w:hAnsi="宋体" w:cs="宋体"/>
          <w:spacing w:val="8"/>
          <w:szCs w:val="21"/>
          <w:highlight w:val="none"/>
          <w:u w:val="single"/>
        </w:rPr>
        <w:t xml:space="preserve">                    </w:t>
      </w:r>
      <w:r>
        <w:rPr>
          <w:rFonts w:ascii="宋体" w:hAnsi="宋体" w:cs="宋体"/>
          <w:b/>
          <w:spacing w:val="8"/>
          <w:szCs w:val="21"/>
          <w:highlight w:val="none"/>
          <w:u w:val="single"/>
        </w:rPr>
        <w:t xml:space="preserve">                                 </w:t>
      </w:r>
    </w:p>
    <w:p>
      <w:pPr>
        <w:spacing w:line="360" w:lineRule="auto"/>
        <w:ind w:left="-178" w:leftChars="-85" w:firstLine="177" w:firstLineChars="78"/>
        <w:rPr>
          <w:rFonts w:ascii="宋体" w:cs="宋体"/>
          <w:spacing w:val="8"/>
          <w:szCs w:val="21"/>
          <w:highlight w:val="none"/>
          <w:u w:val="single"/>
        </w:rPr>
      </w:pPr>
      <w:r>
        <w:rPr>
          <w:rFonts w:ascii="宋体" w:hAnsi="宋体" w:cs="宋体"/>
          <w:b/>
          <w:spacing w:val="8"/>
          <w:szCs w:val="21"/>
          <w:highlight w:val="none"/>
          <w:u w:val="single"/>
        </w:rPr>
        <w:t xml:space="preserve">                                                       </w:t>
      </w:r>
      <w:r>
        <w:rPr>
          <w:rFonts w:ascii="宋体" w:hAnsi="宋体" w:cs="宋体"/>
          <w:spacing w:val="8"/>
          <w:szCs w:val="21"/>
          <w:highlight w:val="none"/>
          <w:u w:val="single"/>
        </w:rPr>
        <w:t xml:space="preserve">                    </w:t>
      </w:r>
    </w:p>
    <w:p>
      <w:pPr>
        <w:spacing w:line="360" w:lineRule="auto"/>
        <w:ind w:left="-178" w:leftChars="-85" w:firstLine="176" w:firstLineChars="78"/>
        <w:rPr>
          <w:rFonts w:ascii="宋体" w:cs="宋体"/>
          <w:spacing w:val="8"/>
          <w:szCs w:val="21"/>
          <w:highlight w:val="none"/>
          <w:u w:val="single"/>
        </w:rPr>
      </w:pPr>
      <w:r>
        <w:rPr>
          <w:rFonts w:ascii="宋体" w:hAnsi="宋体" w:cs="宋体"/>
          <w:spacing w:val="8"/>
          <w:szCs w:val="21"/>
          <w:highlight w:val="none"/>
          <w:u w:val="single"/>
        </w:rPr>
        <w:t xml:space="preserve">                                                                           </w:t>
      </w:r>
    </w:p>
    <w:p>
      <w:pPr>
        <w:tabs>
          <w:tab w:val="left" w:pos="3640"/>
        </w:tabs>
        <w:autoSpaceDE w:val="0"/>
        <w:autoSpaceDN w:val="0"/>
        <w:spacing w:line="360" w:lineRule="auto"/>
        <w:ind w:firstLine="420" w:firstLineChars="200"/>
        <w:rPr>
          <w:rFonts w:ascii="宋体" w:cs="宋体"/>
          <w:szCs w:val="21"/>
          <w:highlight w:val="none"/>
        </w:rPr>
      </w:pPr>
    </w:p>
    <w:p>
      <w:pPr>
        <w:tabs>
          <w:tab w:val="left" w:pos="3640"/>
        </w:tabs>
        <w:autoSpaceDE w:val="0"/>
        <w:autoSpaceDN w:val="0"/>
        <w:spacing w:line="360" w:lineRule="auto"/>
        <w:ind w:firstLine="420" w:firstLineChars="200"/>
        <w:rPr>
          <w:rFonts w:ascii="宋体" w:cs="宋体"/>
          <w:szCs w:val="21"/>
          <w:highlight w:val="none"/>
        </w:rPr>
      </w:pPr>
    </w:p>
    <w:p>
      <w:pPr>
        <w:tabs>
          <w:tab w:val="left" w:pos="3640"/>
        </w:tabs>
        <w:autoSpaceDE w:val="0"/>
        <w:autoSpaceDN w:val="0"/>
        <w:spacing w:line="360" w:lineRule="auto"/>
        <w:ind w:firstLine="420" w:firstLineChars="200"/>
        <w:rPr>
          <w:rFonts w:ascii="宋体" w:cs="宋体"/>
          <w:szCs w:val="21"/>
          <w:highlight w:val="none"/>
        </w:rPr>
      </w:pPr>
    </w:p>
    <w:p>
      <w:pPr>
        <w:tabs>
          <w:tab w:val="left" w:pos="3640"/>
        </w:tabs>
        <w:autoSpaceDE w:val="0"/>
        <w:autoSpaceDN w:val="0"/>
        <w:spacing w:line="480" w:lineRule="auto"/>
        <w:rPr>
          <w:rFonts w:ascii="宋体" w:cs="宋体"/>
          <w:szCs w:val="21"/>
          <w:highlight w:val="none"/>
        </w:rPr>
      </w:pPr>
      <w:r>
        <w:rPr>
          <w:rFonts w:hint="eastAsia" w:ascii="宋体" w:hAnsi="宋体" w:cs="宋体"/>
          <w:szCs w:val="21"/>
          <w:highlight w:val="none"/>
        </w:rPr>
        <w:t>买</w:t>
      </w:r>
      <w:r>
        <w:rPr>
          <w:rFonts w:ascii="宋体" w:hAnsi="宋体" w:cs="宋体"/>
          <w:szCs w:val="21"/>
          <w:highlight w:val="none"/>
        </w:rPr>
        <w:t xml:space="preserve">  </w:t>
      </w:r>
      <w:r>
        <w:rPr>
          <w:rFonts w:hint="eastAsia" w:ascii="宋体" w:hAnsi="宋体" w:cs="宋体"/>
          <w:szCs w:val="21"/>
          <w:highlight w:val="none"/>
        </w:rPr>
        <w:t>方</w:t>
      </w:r>
      <w:r>
        <w:rPr>
          <w:rFonts w:ascii="宋体" w:hAnsi="宋体" w:cs="宋体"/>
          <w:szCs w:val="21"/>
          <w:highlight w:val="none"/>
        </w:rPr>
        <w:t xml:space="preserve"> </w:t>
      </w:r>
      <w:r>
        <w:rPr>
          <w:rFonts w:hint="eastAsia" w:ascii="宋体" w:hAnsi="宋体" w:cs="宋体"/>
          <w:szCs w:val="21"/>
          <w:highlight w:val="none"/>
        </w:rPr>
        <w:t>（采购人）</w:t>
      </w: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卖</w:t>
      </w:r>
      <w:r>
        <w:rPr>
          <w:rFonts w:ascii="宋体" w:hAnsi="宋体" w:cs="宋体"/>
          <w:szCs w:val="21"/>
          <w:highlight w:val="none"/>
        </w:rPr>
        <w:t xml:space="preserve">   </w:t>
      </w:r>
      <w:r>
        <w:rPr>
          <w:rFonts w:hint="eastAsia" w:ascii="宋体" w:hAnsi="宋体" w:cs="宋体"/>
          <w:szCs w:val="21"/>
          <w:highlight w:val="none"/>
        </w:rPr>
        <w:t>方</w:t>
      </w:r>
      <w:r>
        <w:rPr>
          <w:rFonts w:ascii="宋体" w:hAnsi="宋体" w:cs="宋体"/>
          <w:szCs w:val="21"/>
          <w:highlight w:val="none"/>
        </w:rPr>
        <w:t xml:space="preserve"> </w:t>
      </w:r>
      <w:r>
        <w:rPr>
          <w:rFonts w:hint="eastAsia" w:ascii="宋体" w:hAnsi="宋体" w:cs="宋体"/>
          <w:szCs w:val="21"/>
          <w:highlight w:val="none"/>
        </w:rPr>
        <w:t>（供应商）</w:t>
      </w:r>
      <w:r>
        <w:rPr>
          <w:rFonts w:ascii="宋体" w:hAnsi="宋体" w:cs="宋体"/>
          <w:szCs w:val="21"/>
          <w:highlight w:val="none"/>
        </w:rPr>
        <w:t xml:space="preserve">         </w:t>
      </w:r>
    </w:p>
    <w:p>
      <w:pPr>
        <w:tabs>
          <w:tab w:val="left" w:pos="3640"/>
        </w:tabs>
        <w:autoSpaceDE w:val="0"/>
        <w:autoSpaceDN w:val="0"/>
        <w:spacing w:line="480" w:lineRule="auto"/>
        <w:rPr>
          <w:rFonts w:ascii="宋体" w:cs="宋体"/>
          <w:szCs w:val="21"/>
          <w:highlight w:val="none"/>
        </w:rPr>
      </w:pPr>
      <w:r>
        <w:rPr>
          <w:rFonts w:hint="eastAsia" w:ascii="宋体" w:hAnsi="宋体" w:cs="宋体"/>
          <w:szCs w:val="21"/>
          <w:highlight w:val="none"/>
        </w:rPr>
        <w:t>需方（盖章）：</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供方（盖章）：</w:t>
      </w:r>
      <w:r>
        <w:rPr>
          <w:rFonts w:ascii="宋体" w:hAnsi="宋体" w:cs="宋体"/>
          <w:szCs w:val="21"/>
          <w:highlight w:val="none"/>
          <w:u w:val="single"/>
        </w:rPr>
        <w:t xml:space="preserve">               </w:t>
      </w:r>
      <w:r>
        <w:rPr>
          <w:rFonts w:ascii="宋体" w:hAnsi="宋体" w:cs="宋体"/>
          <w:szCs w:val="21"/>
          <w:highlight w:val="none"/>
        </w:rPr>
        <w:t xml:space="preserve">   </w:t>
      </w:r>
    </w:p>
    <w:p>
      <w:pPr>
        <w:tabs>
          <w:tab w:val="left" w:pos="3640"/>
        </w:tabs>
        <w:autoSpaceDE w:val="0"/>
        <w:autoSpaceDN w:val="0"/>
        <w:spacing w:line="480" w:lineRule="auto"/>
        <w:rPr>
          <w:rFonts w:ascii="宋体" w:cs="宋体"/>
          <w:szCs w:val="21"/>
          <w:highlight w:val="none"/>
        </w:rPr>
      </w:pPr>
      <w:r>
        <w:rPr>
          <w:rFonts w:hint="eastAsia" w:ascii="宋体" w:hAnsi="宋体" w:cs="宋体"/>
          <w:szCs w:val="21"/>
          <w:highlight w:val="none"/>
        </w:rPr>
        <w:t>法人代表：</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 xml:space="preserve">           法人代表：</w:t>
      </w:r>
      <w:r>
        <w:rPr>
          <w:rFonts w:ascii="宋体" w:hAnsi="宋体" w:cs="宋体"/>
          <w:szCs w:val="21"/>
          <w:highlight w:val="none"/>
          <w:u w:val="single"/>
        </w:rPr>
        <w:t xml:space="preserve">                  </w:t>
      </w:r>
      <w:r>
        <w:rPr>
          <w:rFonts w:ascii="宋体" w:hAnsi="宋体" w:cs="宋体"/>
          <w:szCs w:val="21"/>
          <w:highlight w:val="none"/>
        </w:rPr>
        <w:t xml:space="preserve">    </w:t>
      </w:r>
    </w:p>
    <w:p>
      <w:pPr>
        <w:tabs>
          <w:tab w:val="left" w:pos="3640"/>
        </w:tabs>
        <w:autoSpaceDE w:val="0"/>
        <w:autoSpaceDN w:val="0"/>
        <w:spacing w:line="480" w:lineRule="auto"/>
        <w:rPr>
          <w:rFonts w:ascii="宋体" w:cs="宋体"/>
          <w:szCs w:val="21"/>
          <w:highlight w:val="none"/>
        </w:rPr>
      </w:pPr>
      <w:r>
        <w:rPr>
          <w:rFonts w:hint="eastAsia" w:ascii="宋体" w:hAnsi="宋体" w:cs="宋体"/>
          <w:szCs w:val="21"/>
          <w:highlight w:val="none"/>
        </w:rPr>
        <w:t>联系人：</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联系人：</w:t>
      </w:r>
      <w:r>
        <w:rPr>
          <w:rFonts w:ascii="宋体" w:hAnsi="宋体" w:cs="宋体"/>
          <w:szCs w:val="21"/>
          <w:highlight w:val="none"/>
          <w:u w:val="single"/>
        </w:rPr>
        <w:t xml:space="preserve">                    </w:t>
      </w:r>
      <w:r>
        <w:rPr>
          <w:rFonts w:ascii="宋体" w:hAnsi="宋体" w:cs="宋体"/>
          <w:szCs w:val="21"/>
          <w:highlight w:val="none"/>
        </w:rPr>
        <w:t xml:space="preserve">    </w:t>
      </w:r>
    </w:p>
    <w:p>
      <w:pPr>
        <w:tabs>
          <w:tab w:val="left" w:pos="3640"/>
        </w:tabs>
        <w:autoSpaceDE w:val="0"/>
        <w:autoSpaceDN w:val="0"/>
        <w:spacing w:line="480" w:lineRule="auto"/>
        <w:rPr>
          <w:rFonts w:ascii="宋体" w:cs="宋体"/>
          <w:szCs w:val="21"/>
          <w:highlight w:val="none"/>
        </w:rPr>
      </w:pPr>
      <w:r>
        <w:rPr>
          <w:rFonts w:hint="eastAsia" w:ascii="宋体" w:hAnsi="宋体" w:cs="宋体"/>
          <w:szCs w:val="21"/>
          <w:highlight w:val="none"/>
        </w:rPr>
        <w:t>地址：</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 xml:space="preserve">            地址：</w:t>
      </w:r>
      <w:r>
        <w:rPr>
          <w:rFonts w:ascii="宋体" w:hAnsi="宋体" w:cs="宋体"/>
          <w:szCs w:val="21"/>
          <w:highlight w:val="none"/>
          <w:u w:val="single"/>
        </w:rPr>
        <w:t xml:space="preserve">                      </w:t>
      </w:r>
      <w:r>
        <w:rPr>
          <w:rFonts w:ascii="宋体" w:hAnsi="宋体" w:cs="宋体"/>
          <w:szCs w:val="21"/>
          <w:highlight w:val="none"/>
        </w:rPr>
        <w:t xml:space="preserve">   </w:t>
      </w:r>
    </w:p>
    <w:p>
      <w:pPr>
        <w:tabs>
          <w:tab w:val="left" w:pos="3640"/>
        </w:tabs>
        <w:autoSpaceDE w:val="0"/>
        <w:autoSpaceDN w:val="0"/>
        <w:spacing w:line="480" w:lineRule="auto"/>
        <w:rPr>
          <w:rFonts w:ascii="宋体" w:cs="宋体"/>
          <w:szCs w:val="21"/>
          <w:highlight w:val="none"/>
        </w:rPr>
      </w:pPr>
      <w:r>
        <w:rPr>
          <w:rFonts w:hint="eastAsia" w:ascii="宋体" w:hAnsi="宋体" w:cs="宋体"/>
          <w:szCs w:val="21"/>
          <w:highlight w:val="none"/>
        </w:rPr>
        <w:t>电话：</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 xml:space="preserve">            电话：</w:t>
      </w:r>
      <w:r>
        <w:rPr>
          <w:rFonts w:ascii="宋体" w:hAnsi="宋体" w:cs="宋体"/>
          <w:szCs w:val="21"/>
          <w:highlight w:val="none"/>
          <w:u w:val="single"/>
        </w:rPr>
        <w:t xml:space="preserve">                      </w:t>
      </w:r>
      <w:r>
        <w:rPr>
          <w:rFonts w:ascii="宋体" w:hAnsi="宋体" w:cs="宋体"/>
          <w:szCs w:val="21"/>
          <w:highlight w:val="none"/>
        </w:rPr>
        <w:t xml:space="preserve">   </w:t>
      </w:r>
    </w:p>
    <w:p>
      <w:pPr>
        <w:tabs>
          <w:tab w:val="left" w:pos="3640"/>
        </w:tabs>
        <w:autoSpaceDE w:val="0"/>
        <w:autoSpaceDN w:val="0"/>
        <w:spacing w:line="480" w:lineRule="auto"/>
        <w:rPr>
          <w:rFonts w:ascii="宋体" w:cs="宋体"/>
          <w:szCs w:val="21"/>
          <w:highlight w:val="none"/>
        </w:rPr>
      </w:pP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r>
        <w:rPr>
          <w:rFonts w:ascii="宋体" w:hAnsi="宋体" w:cs="宋体"/>
          <w:szCs w:val="21"/>
          <w:highlight w:val="none"/>
        </w:rPr>
        <w:t xml:space="preserve">                         </w:t>
      </w:r>
    </w:p>
    <w:p>
      <w:pPr>
        <w:snapToGrid w:val="0"/>
        <w:spacing w:line="480" w:lineRule="auto"/>
        <w:rPr>
          <w:rFonts w:ascii="宋体" w:cs="宋体"/>
          <w:highlight w:val="none"/>
        </w:rPr>
      </w:pPr>
    </w:p>
    <w:p>
      <w:pPr>
        <w:snapToGrid w:val="0"/>
        <w:spacing w:line="480" w:lineRule="auto"/>
        <w:rPr>
          <w:rFonts w:ascii="宋体" w:cs="宋体"/>
          <w:highlight w:val="none"/>
        </w:rPr>
      </w:pPr>
    </w:p>
    <w:p>
      <w:pPr>
        <w:snapToGrid w:val="0"/>
        <w:spacing w:line="480" w:lineRule="auto"/>
        <w:rPr>
          <w:rFonts w:ascii="宋体" w:cs="宋体"/>
          <w:highlight w:val="none"/>
        </w:rPr>
      </w:pPr>
      <w:r>
        <w:rPr>
          <w:rFonts w:ascii="宋体" w:cs="宋体"/>
          <w:highlight w:val="none"/>
        </w:rPr>
        <w:br w:type="page"/>
      </w:r>
    </w:p>
    <w:p>
      <w:pPr>
        <w:pStyle w:val="2"/>
        <w:spacing w:before="62" w:beforeLines="20" w:after="62" w:afterLines="20" w:line="480" w:lineRule="exact"/>
        <w:ind w:firstLine="0" w:firstLineChars="0"/>
        <w:jc w:val="center"/>
        <w:rPr>
          <w:rFonts w:ascii="Arial" w:hAnsi="Arial"/>
          <w:kern w:val="2"/>
          <w:sz w:val="36"/>
          <w:szCs w:val="36"/>
          <w:highlight w:val="none"/>
        </w:rPr>
      </w:pPr>
      <w:bookmarkStart w:id="146" w:name="_Toc32712"/>
      <w:bookmarkStart w:id="147" w:name="_Toc439316880"/>
      <w:r>
        <w:rPr>
          <w:rFonts w:hint="eastAsia" w:ascii="Arial" w:hAnsi="Arial"/>
          <w:kern w:val="2"/>
          <w:sz w:val="36"/>
          <w:szCs w:val="36"/>
          <w:highlight w:val="none"/>
          <w:lang w:val="zh-CN"/>
        </w:rPr>
        <w:t>第五章</w:t>
      </w:r>
      <w:r>
        <w:rPr>
          <w:rFonts w:ascii="Arial" w:hAnsi="Arial"/>
          <w:kern w:val="2"/>
          <w:sz w:val="36"/>
          <w:szCs w:val="36"/>
          <w:highlight w:val="none"/>
          <w:lang w:val="zh-CN"/>
        </w:rPr>
        <w:t xml:space="preserve">  </w:t>
      </w:r>
      <w:bookmarkStart w:id="148" w:name="_Toc417656001"/>
      <w:r>
        <w:rPr>
          <w:rFonts w:hint="eastAsia" w:ascii="Arial" w:hAnsi="Arial"/>
          <w:kern w:val="2"/>
          <w:sz w:val="36"/>
          <w:szCs w:val="36"/>
          <w:highlight w:val="none"/>
        </w:rPr>
        <w:t>响应文件格式</w:t>
      </w:r>
      <w:bookmarkEnd w:id="146"/>
      <w:bookmarkEnd w:id="147"/>
      <w:bookmarkEnd w:id="148"/>
    </w:p>
    <w:p>
      <w:pPr>
        <w:spacing w:line="360" w:lineRule="auto"/>
        <w:jc w:val="center"/>
        <w:rPr>
          <w:rFonts w:ascii="仿宋" w:hAnsi="仿宋" w:eastAsia="仿宋"/>
          <w:b/>
          <w:spacing w:val="20"/>
          <w:sz w:val="36"/>
          <w:szCs w:val="36"/>
          <w:highlight w:val="none"/>
          <w:u w:val="single"/>
        </w:rPr>
      </w:pPr>
    </w:p>
    <w:p>
      <w:pPr>
        <w:spacing w:line="360" w:lineRule="auto"/>
        <w:jc w:val="center"/>
        <w:rPr>
          <w:rFonts w:ascii="仿宋" w:hAnsi="仿宋" w:eastAsia="仿宋"/>
          <w:b/>
          <w:spacing w:val="20"/>
          <w:sz w:val="36"/>
          <w:szCs w:val="36"/>
          <w:highlight w:val="none"/>
        </w:rPr>
      </w:pPr>
      <w:r>
        <w:rPr>
          <w:rFonts w:hint="eastAsia" w:ascii="宋体" w:hAnsi="宋体" w:cs="宋体"/>
          <w:b/>
          <w:spacing w:val="20"/>
          <w:sz w:val="32"/>
          <w:szCs w:val="32"/>
          <w:highlight w:val="none"/>
          <w:u w:val="single"/>
        </w:rPr>
        <w:t>安庆职业技术学院网络安全等级保护测评项目</w:t>
      </w:r>
      <w:r>
        <w:rPr>
          <w:rFonts w:hint="eastAsia" w:ascii="宋体" w:hAnsi="宋体" w:cs="宋体"/>
          <w:b/>
          <w:spacing w:val="20"/>
          <w:sz w:val="32"/>
          <w:szCs w:val="32"/>
          <w:highlight w:val="none"/>
        </w:rPr>
        <w:t>（项目名称）</w:t>
      </w:r>
    </w:p>
    <w:p>
      <w:pPr>
        <w:spacing w:line="48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响</w:t>
      </w:r>
    </w:p>
    <w:p>
      <w:pPr>
        <w:jc w:val="center"/>
        <w:rPr>
          <w:rFonts w:ascii="宋体"/>
          <w:b/>
          <w:sz w:val="24"/>
          <w:szCs w:val="24"/>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应</w:t>
      </w:r>
    </w:p>
    <w:p>
      <w:pPr>
        <w:spacing w:line="360" w:lineRule="auto"/>
        <w:jc w:val="center"/>
        <w:rPr>
          <w:rFonts w:ascii="宋体"/>
          <w:b/>
          <w:sz w:val="24"/>
          <w:szCs w:val="24"/>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文</w:t>
      </w:r>
    </w:p>
    <w:p>
      <w:pPr>
        <w:spacing w:line="360" w:lineRule="auto"/>
        <w:jc w:val="center"/>
        <w:rPr>
          <w:rFonts w:ascii="宋体"/>
          <w:b/>
          <w:sz w:val="24"/>
          <w:szCs w:val="24"/>
          <w:highlight w:val="none"/>
        </w:rPr>
      </w:pPr>
    </w:p>
    <w:p>
      <w:pPr>
        <w:spacing w:line="360" w:lineRule="auto"/>
        <w:jc w:val="center"/>
        <w:rPr>
          <w:rFonts w:ascii="宋体"/>
          <w:b/>
          <w:sz w:val="72"/>
          <w:szCs w:val="72"/>
          <w:highlight w:val="none"/>
        </w:rPr>
      </w:pPr>
      <w:r>
        <w:rPr>
          <w:rFonts w:hint="eastAsia" w:ascii="宋体" w:hAnsi="宋体"/>
          <w:b/>
          <w:sz w:val="72"/>
          <w:szCs w:val="72"/>
          <w:highlight w:val="none"/>
        </w:rPr>
        <w:t>件</w:t>
      </w:r>
    </w:p>
    <w:p>
      <w:pPr>
        <w:spacing w:line="360" w:lineRule="auto"/>
        <w:rPr>
          <w:rFonts w:ascii="宋体"/>
          <w:sz w:val="24"/>
          <w:highlight w:val="none"/>
        </w:rPr>
      </w:pPr>
    </w:p>
    <w:p>
      <w:pPr>
        <w:spacing w:line="360" w:lineRule="auto"/>
        <w:rPr>
          <w:rFonts w:ascii="宋体"/>
          <w:sz w:val="24"/>
          <w:highlight w:val="none"/>
        </w:rPr>
      </w:pPr>
    </w:p>
    <w:p>
      <w:pPr>
        <w:spacing w:line="360" w:lineRule="auto"/>
        <w:ind w:firstLine="148" w:firstLineChars="49"/>
        <w:rPr>
          <w:rFonts w:ascii="宋体"/>
          <w:b/>
          <w:sz w:val="30"/>
          <w:szCs w:val="30"/>
          <w:highlight w:val="none"/>
        </w:rPr>
      </w:pPr>
      <w:r>
        <w:rPr>
          <w:rFonts w:hint="eastAsia" w:ascii="宋体" w:hAnsi="宋体"/>
          <w:b/>
          <w:sz w:val="30"/>
          <w:szCs w:val="30"/>
          <w:highlight w:val="none"/>
        </w:rPr>
        <w:t>采购人名称：</w:t>
      </w:r>
      <w:r>
        <w:rPr>
          <w:rFonts w:ascii="宋体" w:hAnsi="宋体"/>
          <w:b/>
          <w:sz w:val="30"/>
          <w:szCs w:val="30"/>
          <w:highlight w:val="none"/>
        </w:rPr>
        <w:t xml:space="preserve"> </w:t>
      </w:r>
      <w:r>
        <w:rPr>
          <w:rFonts w:ascii="宋体" w:hAnsi="宋体"/>
          <w:b/>
          <w:sz w:val="30"/>
          <w:szCs w:val="30"/>
          <w:highlight w:val="none"/>
          <w:u w:val="single"/>
        </w:rPr>
        <w:t xml:space="preserve">                                             </w:t>
      </w:r>
    </w:p>
    <w:p>
      <w:pPr>
        <w:spacing w:line="360" w:lineRule="auto"/>
        <w:ind w:firstLine="148" w:firstLineChars="49"/>
        <w:rPr>
          <w:rFonts w:ascii="宋体" w:hAnsi="宋体"/>
          <w:b/>
          <w:sz w:val="30"/>
          <w:szCs w:val="30"/>
          <w:highlight w:val="none"/>
        </w:rPr>
      </w:pPr>
    </w:p>
    <w:p>
      <w:pPr>
        <w:spacing w:line="360" w:lineRule="auto"/>
        <w:ind w:firstLine="148" w:firstLineChars="49"/>
        <w:rPr>
          <w:rFonts w:ascii="宋体"/>
          <w:b/>
          <w:sz w:val="30"/>
          <w:szCs w:val="30"/>
          <w:highlight w:val="none"/>
        </w:rPr>
      </w:pPr>
      <w:r>
        <w:rPr>
          <w:rFonts w:hint="eastAsia" w:ascii="宋体" w:hAnsi="宋体"/>
          <w:b/>
          <w:sz w:val="30"/>
          <w:szCs w:val="30"/>
          <w:highlight w:val="none"/>
        </w:rPr>
        <w:t>供应商名称：</w:t>
      </w:r>
      <w:r>
        <w:rPr>
          <w:rFonts w:ascii="宋体" w:hAnsi="宋体"/>
          <w:b/>
          <w:sz w:val="30"/>
          <w:szCs w:val="30"/>
          <w:highlight w:val="non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（加盖公章）</w:t>
      </w:r>
      <w:r>
        <w:rPr>
          <w:rFonts w:ascii="宋体" w:hAnsi="宋体"/>
          <w:b/>
          <w:sz w:val="30"/>
          <w:szCs w:val="30"/>
          <w:highlight w:val="none"/>
          <w:u w:val="single"/>
        </w:rPr>
        <w:t xml:space="preserve"> </w:t>
      </w:r>
    </w:p>
    <w:p>
      <w:pPr>
        <w:spacing w:line="360" w:lineRule="auto"/>
        <w:ind w:firstLine="148" w:firstLineChars="49"/>
        <w:jc w:val="left"/>
        <w:rPr>
          <w:rFonts w:ascii="宋体" w:hAnsi="宋体" w:cs="宋体"/>
          <w:b/>
          <w:sz w:val="30"/>
          <w:szCs w:val="30"/>
          <w:highlight w:val="none"/>
        </w:rPr>
      </w:pPr>
    </w:p>
    <w:p>
      <w:pPr>
        <w:spacing w:line="360" w:lineRule="auto"/>
        <w:ind w:firstLine="148" w:firstLineChars="49"/>
        <w:jc w:val="left"/>
        <w:rPr>
          <w:rFonts w:ascii="宋体" w:hAnsi="宋体" w:cs="宋体"/>
          <w:b/>
          <w:sz w:val="30"/>
          <w:szCs w:val="30"/>
          <w:highlight w:val="none"/>
        </w:rPr>
      </w:pPr>
      <w:r>
        <w:rPr>
          <w:rFonts w:hint="eastAsia" w:ascii="宋体" w:hAnsi="宋体" w:cs="宋体"/>
          <w:b/>
          <w:sz w:val="30"/>
          <w:szCs w:val="30"/>
          <w:highlight w:val="none"/>
        </w:rPr>
        <w:t>法定代表人或委托代理人：</w:t>
      </w:r>
      <w:r>
        <w:rPr>
          <w:rFonts w:hint="eastAsia" w:ascii="宋体" w:hAnsi="宋体" w:cs="宋体"/>
          <w:b/>
          <w:sz w:val="30"/>
          <w:szCs w:val="30"/>
          <w:highlight w:val="none"/>
          <w:u w:val="single"/>
        </w:rPr>
        <w:t xml:space="preserve">                     (签字或盖章) </w:t>
      </w:r>
    </w:p>
    <w:p>
      <w:pPr>
        <w:spacing w:line="360" w:lineRule="auto"/>
        <w:rPr>
          <w:rFonts w:ascii="仿宋_GB2312" w:eastAsia="仿宋_GB2312"/>
          <w:sz w:val="30"/>
          <w:szCs w:val="30"/>
          <w:highlight w:val="none"/>
        </w:rPr>
      </w:pPr>
    </w:p>
    <w:p>
      <w:pPr>
        <w:spacing w:line="480" w:lineRule="exact"/>
        <w:jc w:val="center"/>
        <w:rPr>
          <w:rFonts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pPr>
        <w:spacing w:line="480" w:lineRule="exact"/>
        <w:jc w:val="center"/>
        <w:rPr>
          <w:rFonts w:ascii="宋体" w:hAnsi="宋体"/>
          <w:b/>
          <w:sz w:val="30"/>
          <w:szCs w:val="30"/>
          <w:highlight w:val="none"/>
        </w:rPr>
      </w:pPr>
    </w:p>
    <w:p>
      <w:pPr>
        <w:spacing w:line="480" w:lineRule="exact"/>
        <w:rPr>
          <w:rFonts w:ascii="黑体" w:eastAsia="黑体"/>
          <w:b/>
          <w:bCs/>
          <w:szCs w:val="21"/>
          <w:highlight w:val="none"/>
        </w:rPr>
      </w:pPr>
    </w:p>
    <w:p>
      <w:pPr>
        <w:jc w:val="center"/>
        <w:rPr>
          <w:rFonts w:ascii="宋体" w:cs="宋体"/>
          <w:b/>
          <w:sz w:val="30"/>
          <w:szCs w:val="30"/>
          <w:highlight w:val="none"/>
        </w:rPr>
      </w:pPr>
      <w:r>
        <w:rPr>
          <w:rFonts w:hint="eastAsia" w:ascii="宋体" w:hAnsi="宋体" w:cs="宋体"/>
          <w:b/>
          <w:sz w:val="30"/>
          <w:szCs w:val="30"/>
          <w:highlight w:val="none"/>
        </w:rPr>
        <w:t>目</w:t>
      </w:r>
      <w:r>
        <w:rPr>
          <w:rFonts w:ascii="宋体" w:hAnsi="宋体" w:cs="宋体"/>
          <w:b/>
          <w:sz w:val="30"/>
          <w:szCs w:val="30"/>
          <w:highlight w:val="none"/>
        </w:rPr>
        <w:t xml:space="preserve"> </w:t>
      </w:r>
      <w:r>
        <w:rPr>
          <w:rFonts w:hint="eastAsia" w:ascii="宋体" w:hAnsi="宋体" w:cs="宋体"/>
          <w:b/>
          <w:sz w:val="30"/>
          <w:szCs w:val="30"/>
          <w:highlight w:val="none"/>
        </w:rPr>
        <w:t>录</w:t>
      </w:r>
    </w:p>
    <w:p>
      <w:pPr>
        <w:numPr>
          <w:ilvl w:val="0"/>
          <w:numId w:val="13"/>
        </w:numPr>
        <w:spacing w:line="480" w:lineRule="auto"/>
        <w:ind w:firstLine="480" w:firstLineChars="200"/>
        <w:rPr>
          <w:rFonts w:ascii="宋体" w:cs="宋体"/>
          <w:sz w:val="24"/>
          <w:highlight w:val="none"/>
        </w:rPr>
      </w:pPr>
      <w:r>
        <w:rPr>
          <w:rFonts w:hint="eastAsia" w:ascii="宋体" w:hAnsi="宋体" w:cs="宋体"/>
          <w:sz w:val="24"/>
          <w:highlight w:val="none"/>
        </w:rPr>
        <w:t>磋商响应函</w:t>
      </w:r>
    </w:p>
    <w:p>
      <w:pPr>
        <w:numPr>
          <w:ilvl w:val="0"/>
          <w:numId w:val="13"/>
        </w:numPr>
        <w:spacing w:line="480" w:lineRule="auto"/>
        <w:ind w:firstLine="480" w:firstLineChars="200"/>
        <w:rPr>
          <w:rFonts w:ascii="宋体" w:cs="宋体"/>
          <w:sz w:val="24"/>
          <w:highlight w:val="none"/>
        </w:rPr>
      </w:pPr>
      <w:r>
        <w:rPr>
          <w:rFonts w:hint="eastAsia" w:ascii="宋体" w:hAnsi="宋体" w:cs="宋体"/>
          <w:sz w:val="24"/>
          <w:highlight w:val="none"/>
        </w:rPr>
        <w:t>服务报价表</w:t>
      </w:r>
    </w:p>
    <w:p>
      <w:pPr>
        <w:numPr>
          <w:ilvl w:val="0"/>
          <w:numId w:val="13"/>
        </w:numPr>
        <w:spacing w:line="480" w:lineRule="auto"/>
        <w:ind w:firstLine="480" w:firstLineChars="200"/>
        <w:rPr>
          <w:rFonts w:ascii="宋体" w:cs="宋体"/>
          <w:sz w:val="24"/>
          <w:highlight w:val="none"/>
        </w:rPr>
      </w:pPr>
      <w:r>
        <w:rPr>
          <w:rFonts w:hint="eastAsia" w:ascii="宋体" w:hAnsi="宋体" w:cs="宋体"/>
          <w:sz w:val="24"/>
          <w:highlight w:val="none"/>
        </w:rPr>
        <w:t>服务内容及质量要求响应表</w:t>
      </w:r>
    </w:p>
    <w:p>
      <w:pPr>
        <w:numPr>
          <w:ilvl w:val="0"/>
          <w:numId w:val="13"/>
        </w:numPr>
        <w:spacing w:line="480" w:lineRule="auto"/>
        <w:ind w:firstLine="480" w:firstLineChars="200"/>
        <w:rPr>
          <w:rFonts w:ascii="宋体" w:cs="宋体"/>
          <w:sz w:val="24"/>
          <w:highlight w:val="none"/>
        </w:rPr>
      </w:pPr>
      <w:r>
        <w:rPr>
          <w:rFonts w:hint="eastAsia" w:ascii="宋体" w:hAnsi="宋体" w:cs="宋体"/>
          <w:sz w:val="24"/>
          <w:highlight w:val="none"/>
        </w:rPr>
        <w:t>最后报价表</w:t>
      </w:r>
    </w:p>
    <w:p>
      <w:pPr>
        <w:spacing w:line="480" w:lineRule="auto"/>
        <w:ind w:firstLine="480" w:firstLineChars="200"/>
        <w:rPr>
          <w:rFonts w:ascii="宋体" w:cs="宋体"/>
          <w:sz w:val="24"/>
          <w:highlight w:val="none"/>
        </w:rPr>
      </w:pPr>
      <w:r>
        <w:rPr>
          <w:rFonts w:hint="eastAsia" w:ascii="宋体" w:hAnsi="宋体" w:cs="宋体"/>
          <w:sz w:val="24"/>
          <w:highlight w:val="none"/>
        </w:rPr>
        <w:t>五、服务方案</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六、诚信响应承诺书</w:t>
      </w:r>
    </w:p>
    <w:p>
      <w:pPr>
        <w:spacing w:line="480" w:lineRule="auto"/>
        <w:ind w:firstLine="480" w:firstLineChars="200"/>
        <w:rPr>
          <w:rFonts w:ascii="宋体" w:hAnsi="宋体" w:cs="宋体"/>
          <w:color w:val="000000"/>
          <w:sz w:val="24"/>
          <w:highlight w:val="none"/>
        </w:rPr>
      </w:pPr>
      <w:r>
        <w:rPr>
          <w:rFonts w:hint="eastAsia" w:ascii="宋体" w:hAnsi="宋体"/>
          <w:sz w:val="24"/>
          <w:highlight w:val="none"/>
        </w:rPr>
        <w:t>七、</w:t>
      </w:r>
      <w:r>
        <w:rPr>
          <w:rFonts w:hint="eastAsia" w:ascii="宋体" w:hAnsi="宋体" w:cs="宋体"/>
          <w:color w:val="000000"/>
          <w:sz w:val="24"/>
          <w:highlight w:val="none"/>
        </w:rPr>
        <w:t>资格证明文件</w:t>
      </w:r>
    </w:p>
    <w:p>
      <w:pPr>
        <w:spacing w:line="480" w:lineRule="auto"/>
        <w:ind w:firstLine="480" w:firstLineChars="200"/>
        <w:rPr>
          <w:rFonts w:ascii="宋体" w:hAnsi="宋体" w:cs="宋体"/>
          <w:sz w:val="24"/>
          <w:highlight w:val="none"/>
        </w:rPr>
      </w:pPr>
    </w:p>
    <w:p>
      <w:pPr>
        <w:spacing w:line="480" w:lineRule="auto"/>
        <w:ind w:firstLine="480" w:firstLineChars="200"/>
        <w:rPr>
          <w:rFonts w:ascii="宋体" w:cs="宋体"/>
          <w:sz w:val="24"/>
          <w:highlight w:val="none"/>
        </w:rPr>
      </w:pPr>
    </w:p>
    <w:p>
      <w:pPr>
        <w:spacing w:line="360" w:lineRule="auto"/>
        <w:ind w:firstLine="480" w:firstLineChars="200"/>
        <w:rPr>
          <w:rFonts w:ascii="宋体" w:cs="宋体"/>
          <w:sz w:val="24"/>
          <w:highlight w:val="none"/>
        </w:rPr>
      </w:pPr>
    </w:p>
    <w:p>
      <w:pPr>
        <w:widowControl/>
        <w:jc w:val="left"/>
        <w:rPr>
          <w:rFonts w:ascii="宋体" w:cs="宋体"/>
          <w:sz w:val="24"/>
          <w:highlight w:val="none"/>
        </w:rPr>
      </w:pPr>
      <w:r>
        <w:rPr>
          <w:rFonts w:ascii="宋体" w:cs="宋体"/>
          <w:sz w:val="24"/>
          <w:highlight w:val="none"/>
        </w:rPr>
        <w:br w:type="page"/>
      </w:r>
    </w:p>
    <w:p>
      <w:pPr>
        <w:pStyle w:val="5"/>
        <w:spacing w:line="440" w:lineRule="exact"/>
        <w:rPr>
          <w:rFonts w:cs="宋体"/>
          <w:szCs w:val="28"/>
          <w:highlight w:val="none"/>
        </w:rPr>
      </w:pPr>
      <w:bookmarkStart w:id="149" w:name="_Toc8767"/>
      <w:bookmarkStart w:id="150" w:name="_Toc476584433"/>
      <w:r>
        <w:rPr>
          <w:rFonts w:hint="eastAsia" w:cs="宋体"/>
          <w:szCs w:val="28"/>
          <w:highlight w:val="none"/>
        </w:rPr>
        <w:t>一、磋商响应函</w:t>
      </w:r>
      <w:bookmarkEnd w:id="149"/>
      <w:bookmarkEnd w:id="150"/>
    </w:p>
    <w:p>
      <w:pPr>
        <w:tabs>
          <w:tab w:val="left" w:pos="5580"/>
        </w:tabs>
        <w:spacing w:before="120" w:line="480" w:lineRule="auto"/>
        <w:rPr>
          <w:rFonts w:asci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安庆职业技术学院</w:t>
      </w:r>
    </w:p>
    <w:p>
      <w:pPr>
        <w:pStyle w:val="29"/>
        <w:tabs>
          <w:tab w:val="left" w:pos="5580"/>
        </w:tabs>
        <w:spacing w:line="480" w:lineRule="auto"/>
        <w:ind w:firstLine="420" w:firstLineChars="200"/>
        <w:rPr>
          <w:rFonts w:hAnsi="宋体" w:cs="宋体"/>
          <w:highlight w:val="none"/>
        </w:rPr>
      </w:pPr>
      <w:r>
        <w:rPr>
          <w:rFonts w:hAnsi="宋体" w:cs="宋体"/>
          <w:highlight w:val="none"/>
        </w:rPr>
        <w:t>1</w:t>
      </w:r>
      <w:r>
        <w:rPr>
          <w:rFonts w:hint="eastAsia" w:hAnsi="宋体" w:cs="宋体"/>
          <w:highlight w:val="none"/>
        </w:rPr>
        <w:t>、根据贵方磋商公告，我方决定参加贵方组织的</w:t>
      </w:r>
      <w:r>
        <w:rPr>
          <w:rFonts w:hAnsi="宋体" w:cs="宋体"/>
          <w:highlight w:val="none"/>
          <w:u w:val="single"/>
        </w:rPr>
        <w:t xml:space="preserve"> </w:t>
      </w:r>
      <w:r>
        <w:rPr>
          <w:rFonts w:hint="eastAsia" w:hAnsi="宋体" w:cs="宋体"/>
          <w:highlight w:val="none"/>
          <w:u w:val="single"/>
        </w:rPr>
        <w:t>安庆职业技术学院网络安全等级保护测评项目</w:t>
      </w:r>
      <w:r>
        <w:rPr>
          <w:rFonts w:hint="eastAsia" w:hAnsi="宋体" w:cs="宋体"/>
          <w:highlight w:val="none"/>
        </w:rPr>
        <w:t>的磋商活动。我方授权</w:t>
      </w:r>
      <w:r>
        <w:rPr>
          <w:rFonts w:hAnsi="宋体" w:cs="宋体"/>
          <w:highlight w:val="none"/>
          <w:u w:val="single"/>
        </w:rPr>
        <w:t xml:space="preserve">        </w:t>
      </w:r>
      <w:r>
        <w:rPr>
          <w:rFonts w:hAnsi="宋体" w:cs="宋体"/>
          <w:highlight w:val="none"/>
        </w:rPr>
        <w:t>(</w:t>
      </w:r>
      <w:r>
        <w:rPr>
          <w:rFonts w:hint="eastAsia" w:hAnsi="宋体" w:cs="宋体"/>
          <w:highlight w:val="none"/>
        </w:rPr>
        <w:t>姓名和职务</w:t>
      </w:r>
      <w:r>
        <w:rPr>
          <w:rFonts w:hAnsi="宋体" w:cs="宋体"/>
          <w:highlight w:val="none"/>
        </w:rPr>
        <w:t>)</w:t>
      </w:r>
      <w:r>
        <w:rPr>
          <w:rFonts w:hint="eastAsia" w:hAnsi="宋体" w:cs="宋体"/>
          <w:highlight w:val="none"/>
        </w:rPr>
        <w:t>代表我方</w:t>
      </w:r>
      <w:r>
        <w:rPr>
          <w:rFonts w:hAnsi="宋体" w:cs="宋体"/>
          <w:highlight w:val="none"/>
          <w:u w:val="single"/>
        </w:rPr>
        <w:t xml:space="preserve">                    </w:t>
      </w:r>
      <w:r>
        <w:rPr>
          <w:rFonts w:hint="eastAsia" w:hAnsi="宋体" w:cs="宋体"/>
          <w:highlight w:val="none"/>
        </w:rPr>
        <w:t>（供应商的名称）全权处理本项目响应的有关事宜。</w:t>
      </w:r>
    </w:p>
    <w:p>
      <w:pPr>
        <w:pStyle w:val="29"/>
        <w:tabs>
          <w:tab w:val="left" w:pos="5580"/>
        </w:tabs>
        <w:spacing w:line="480" w:lineRule="auto"/>
        <w:ind w:firstLine="420" w:firstLineChars="200"/>
        <w:rPr>
          <w:rFonts w:hAnsi="宋体" w:cs="宋体"/>
          <w:b/>
          <w:bCs/>
          <w:highlight w:val="none"/>
        </w:rPr>
      </w:pPr>
      <w:r>
        <w:rPr>
          <w:rFonts w:hAnsi="宋体" w:cs="宋体"/>
          <w:highlight w:val="none"/>
        </w:rPr>
        <w:t>2</w:t>
      </w:r>
      <w:r>
        <w:rPr>
          <w:rFonts w:hint="eastAsia" w:hAnsi="宋体" w:cs="宋体"/>
          <w:highlight w:val="none"/>
        </w:rPr>
        <w:t>、我方愿意按照磋商文件约定的各项要求，向采购人提供所需的服务，</w:t>
      </w:r>
      <w:r>
        <w:rPr>
          <w:rFonts w:hint="eastAsia" w:hAnsi="宋体" w:cs="宋体"/>
          <w:b/>
          <w:bCs/>
          <w:highlight w:val="none"/>
        </w:rPr>
        <w:t>报价为人民币（大写）</w:t>
      </w:r>
      <w:r>
        <w:rPr>
          <w:rFonts w:hint="eastAsia" w:hAnsi="宋体" w:cs="宋体"/>
          <w:b/>
          <w:bCs/>
          <w:highlight w:val="none"/>
          <w:u w:val="single"/>
        </w:rPr>
        <w:t xml:space="preserve">         元 </w:t>
      </w:r>
      <w:r>
        <w:rPr>
          <w:rFonts w:hint="eastAsia" w:hAnsi="宋体" w:cs="宋体"/>
          <w:b/>
          <w:bCs/>
          <w:highlight w:val="none"/>
        </w:rPr>
        <w:t>(小写)</w:t>
      </w:r>
      <w:r>
        <w:rPr>
          <w:rFonts w:hint="eastAsia" w:hAnsi="宋体" w:cs="宋体"/>
          <w:b/>
          <w:bCs/>
          <w:highlight w:val="none"/>
          <w:u w:val="single"/>
        </w:rPr>
        <w:t xml:space="preserve">       元</w:t>
      </w:r>
      <w:r>
        <w:rPr>
          <w:rFonts w:hint="eastAsia" w:hAnsi="宋体" w:cs="宋体"/>
          <w:b/>
          <w:bCs/>
          <w:highlight w:val="none"/>
        </w:rPr>
        <w:t>。</w:t>
      </w:r>
    </w:p>
    <w:p>
      <w:pPr>
        <w:pStyle w:val="29"/>
        <w:tabs>
          <w:tab w:val="left" w:pos="5580"/>
        </w:tabs>
        <w:spacing w:line="480" w:lineRule="auto"/>
        <w:ind w:firstLine="417" w:firstLineChars="199"/>
        <w:rPr>
          <w:rFonts w:hAnsi="宋体" w:cs="宋体"/>
          <w:b/>
          <w:bCs/>
          <w:highlight w:val="none"/>
        </w:rPr>
      </w:pPr>
      <w:r>
        <w:rPr>
          <w:rFonts w:hAnsi="宋体" w:cs="宋体"/>
          <w:highlight w:val="none"/>
        </w:rPr>
        <w:t>3</w:t>
      </w:r>
      <w:r>
        <w:rPr>
          <w:rFonts w:hint="eastAsia" w:hAnsi="宋体" w:cs="宋体"/>
          <w:highlight w:val="none"/>
        </w:rPr>
        <w:t>、一旦我方成交，我方将严格履行合同约定的责任和义务</w:t>
      </w:r>
      <w:r>
        <w:rPr>
          <w:rFonts w:hint="eastAsia" w:hAnsi="宋体" w:cs="宋体"/>
          <w:highlight w:val="none"/>
        </w:rPr>
        <w:t>，</w:t>
      </w:r>
      <w:r>
        <w:rPr>
          <w:rFonts w:hint="eastAsia" w:hAnsi="宋体" w:cs="宋体"/>
          <w:b/>
          <w:bCs/>
          <w:highlight w:val="none"/>
        </w:rPr>
        <w:t>保证于合同签字生效后</w:t>
      </w:r>
      <w:r>
        <w:rPr>
          <w:rFonts w:hint="eastAsia" w:hAnsi="宋体" w:cs="宋体"/>
          <w:b/>
          <w:bCs/>
          <w:highlight w:val="none"/>
          <w:u w:val="single"/>
        </w:rPr>
        <w:t xml:space="preserve">     </w:t>
      </w:r>
      <w:r>
        <w:rPr>
          <w:rFonts w:hint="eastAsia" w:hAnsi="宋体" w:cs="宋体"/>
          <w:b/>
          <w:bCs/>
          <w:highlight w:val="none"/>
        </w:rPr>
        <w:t>日历天内完成本项目的全部内容，并通过采购人验收。</w:t>
      </w:r>
    </w:p>
    <w:p>
      <w:pPr>
        <w:pStyle w:val="29"/>
        <w:tabs>
          <w:tab w:val="left" w:pos="5580"/>
        </w:tabs>
        <w:spacing w:line="360" w:lineRule="auto"/>
        <w:ind w:firstLine="394" w:firstLineChars="199"/>
        <w:rPr>
          <w:rFonts w:hAnsi="宋体" w:cs="宋体"/>
          <w:spacing w:val="-6"/>
          <w:highlight w:val="none"/>
        </w:rPr>
      </w:pPr>
      <w:r>
        <w:rPr>
          <w:rFonts w:hAnsi="宋体" w:cs="宋体"/>
          <w:spacing w:val="-6"/>
          <w:highlight w:val="none"/>
        </w:rPr>
        <w:t>4</w:t>
      </w:r>
      <w:r>
        <w:rPr>
          <w:rFonts w:hint="eastAsia" w:hAnsi="宋体" w:cs="宋体"/>
          <w:spacing w:val="-6"/>
          <w:highlight w:val="none"/>
        </w:rPr>
        <w:t>、我方保证按照本项目竞争性磋商文件要求提交磋商响应文件。</w:t>
      </w:r>
    </w:p>
    <w:p>
      <w:pPr>
        <w:pStyle w:val="29"/>
        <w:tabs>
          <w:tab w:val="left" w:pos="5580"/>
        </w:tabs>
        <w:spacing w:line="480" w:lineRule="auto"/>
        <w:ind w:firstLine="394" w:firstLineChars="199"/>
        <w:rPr>
          <w:rFonts w:hAnsi="宋体" w:cs="宋体"/>
          <w:highlight w:val="none"/>
        </w:rPr>
      </w:pPr>
      <w:r>
        <w:rPr>
          <w:rFonts w:hint="eastAsia" w:hAnsi="宋体" w:cs="宋体"/>
          <w:spacing w:val="-6"/>
          <w:highlight w:val="none"/>
        </w:rPr>
        <w:t>5、</w:t>
      </w:r>
      <w:r>
        <w:rPr>
          <w:rFonts w:hint="eastAsia" w:hAnsi="宋体" w:cs="宋体"/>
          <w:highlight w:val="none"/>
        </w:rPr>
        <w:t>我方愿意提供贵方可能另外要求的、与响应有关的文件资料，并保证我方已提供和将要提供的文件是真实的、准确的。</w:t>
      </w:r>
    </w:p>
    <w:p>
      <w:pPr>
        <w:pStyle w:val="29"/>
        <w:tabs>
          <w:tab w:val="left" w:pos="5580"/>
        </w:tabs>
        <w:spacing w:line="480" w:lineRule="auto"/>
        <w:ind w:firstLine="417" w:firstLineChars="199"/>
        <w:rPr>
          <w:rFonts w:hAnsi="宋体" w:cs="宋体"/>
          <w:highlight w:val="none"/>
        </w:rPr>
      </w:pPr>
      <w:r>
        <w:rPr>
          <w:rFonts w:hint="eastAsia" w:hAnsi="宋体" w:cs="宋体"/>
          <w:highlight w:val="none"/>
        </w:rPr>
        <w:t>6、我方完全理解贵方不一定将合同授予最低报价的供应商。</w:t>
      </w:r>
    </w:p>
    <w:p>
      <w:pPr>
        <w:pStyle w:val="29"/>
        <w:tabs>
          <w:tab w:val="left" w:pos="5580"/>
        </w:tabs>
        <w:spacing w:line="480" w:lineRule="auto"/>
        <w:ind w:right="360" w:firstLine="3570" w:firstLineChars="1700"/>
        <w:rPr>
          <w:rFonts w:hAnsi="宋体" w:cs="宋体"/>
          <w:highlight w:val="none"/>
        </w:rPr>
      </w:pPr>
    </w:p>
    <w:p>
      <w:pPr>
        <w:pStyle w:val="29"/>
        <w:tabs>
          <w:tab w:val="left" w:pos="5580"/>
        </w:tabs>
        <w:spacing w:line="480" w:lineRule="auto"/>
        <w:ind w:right="360" w:firstLine="3570" w:firstLineChars="1700"/>
        <w:rPr>
          <w:rFonts w:hAnsi="宋体" w:cs="宋体"/>
          <w:highlight w:val="none"/>
        </w:rPr>
      </w:pPr>
    </w:p>
    <w:p>
      <w:pPr>
        <w:pStyle w:val="29"/>
        <w:tabs>
          <w:tab w:val="left" w:pos="5580"/>
        </w:tabs>
        <w:spacing w:line="480" w:lineRule="auto"/>
        <w:ind w:right="360" w:firstLine="3570" w:firstLineChars="1700"/>
        <w:rPr>
          <w:rFonts w:hAnsi="宋体" w:cs="宋体"/>
          <w:highlight w:val="none"/>
          <w:u w:val="single"/>
        </w:rPr>
      </w:pPr>
      <w:r>
        <w:rPr>
          <w:rFonts w:hint="eastAsia" w:hAnsi="宋体" w:cs="宋体"/>
          <w:highlight w:val="none"/>
        </w:rPr>
        <w:t>供应商：</w:t>
      </w:r>
      <w:r>
        <w:rPr>
          <w:rFonts w:hAnsi="宋体" w:cs="宋体"/>
          <w:highlight w:val="none"/>
          <w:u w:val="single"/>
        </w:rPr>
        <w:t xml:space="preserve">                           </w:t>
      </w:r>
      <w:r>
        <w:rPr>
          <w:rFonts w:hint="eastAsia" w:hAnsi="宋体" w:cs="宋体"/>
          <w:highlight w:val="none"/>
          <w:u w:val="single"/>
        </w:rPr>
        <w:t>（盖章）</w:t>
      </w:r>
      <w:r>
        <w:rPr>
          <w:rFonts w:hAnsi="宋体" w:cs="宋体"/>
          <w:highlight w:val="none"/>
          <w:u w:val="single"/>
        </w:rPr>
        <w:t xml:space="preserve"> </w:t>
      </w:r>
    </w:p>
    <w:p>
      <w:pPr>
        <w:pStyle w:val="29"/>
        <w:tabs>
          <w:tab w:val="left" w:pos="5580"/>
        </w:tabs>
        <w:spacing w:line="480" w:lineRule="auto"/>
        <w:ind w:firstLine="420" w:firstLineChars="200"/>
        <w:rPr>
          <w:rFonts w:hAnsi="宋体" w:cs="宋体"/>
          <w:highlight w:val="none"/>
          <w:u w:val="single"/>
        </w:rPr>
      </w:pPr>
      <w:r>
        <w:rPr>
          <w:rFonts w:hAnsi="宋体" w:cs="宋体"/>
          <w:highlight w:val="none"/>
        </w:rPr>
        <w:t xml:space="preserve">                              </w:t>
      </w:r>
      <w:r>
        <w:rPr>
          <w:rFonts w:hint="eastAsia" w:hAnsi="宋体" w:cs="宋体"/>
          <w:highlight w:val="none"/>
        </w:rPr>
        <w:t>单位地址：</w:t>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 xml:space="preserve">      </w:t>
      </w:r>
    </w:p>
    <w:p>
      <w:pPr>
        <w:pStyle w:val="29"/>
        <w:tabs>
          <w:tab w:val="left" w:pos="5580"/>
        </w:tabs>
        <w:spacing w:line="480" w:lineRule="auto"/>
        <w:ind w:firstLine="420" w:firstLineChars="200"/>
        <w:rPr>
          <w:rFonts w:hAnsi="宋体" w:cs="宋体"/>
          <w:highlight w:val="none"/>
          <w:u w:val="single"/>
        </w:rPr>
      </w:pPr>
      <w:r>
        <w:rPr>
          <w:rFonts w:hAnsi="宋体" w:cs="宋体"/>
          <w:highlight w:val="none"/>
        </w:rPr>
        <w:t xml:space="preserve">                             </w:t>
      </w:r>
      <w:r>
        <w:rPr>
          <w:rFonts w:hint="eastAsia" w:hAnsi="宋体" w:cs="宋体"/>
          <w:highlight w:val="none"/>
        </w:rPr>
        <w:t>法定代表人或委托代理人：</w:t>
      </w:r>
      <w:r>
        <w:rPr>
          <w:rFonts w:hint="eastAsia" w:hAnsi="宋体" w:cs="宋体"/>
          <w:highlight w:val="none"/>
          <w:u w:val="single"/>
        </w:rPr>
        <w:t xml:space="preserve">         （签字或盖章）</w:t>
      </w:r>
    </w:p>
    <w:p>
      <w:pPr>
        <w:pStyle w:val="29"/>
        <w:tabs>
          <w:tab w:val="left" w:pos="5580"/>
        </w:tabs>
        <w:spacing w:line="480" w:lineRule="auto"/>
        <w:ind w:firstLine="3570" w:firstLineChars="1700"/>
        <w:rPr>
          <w:rFonts w:hAnsi="宋体" w:cs="宋体"/>
          <w:highlight w:val="none"/>
        </w:rPr>
      </w:pPr>
      <w:r>
        <w:rPr>
          <w:rFonts w:hint="eastAsia" w:hAnsi="宋体" w:cs="宋体"/>
          <w:highlight w:val="none"/>
        </w:rPr>
        <w:t>日期：</w:t>
      </w:r>
      <w:r>
        <w:rPr>
          <w:rFonts w:hAnsi="宋体" w:cs="宋体"/>
          <w:highlight w:val="none"/>
        </w:rPr>
        <w:t xml:space="preserve">          </w:t>
      </w:r>
      <w:r>
        <w:rPr>
          <w:rFonts w:hint="eastAsia" w:hAnsi="宋体" w:cs="宋体"/>
          <w:highlight w:val="none"/>
        </w:rPr>
        <w:t>年</w:t>
      </w:r>
      <w:r>
        <w:rPr>
          <w:rFonts w:hAnsi="宋体" w:cs="宋体"/>
          <w:highlight w:val="none"/>
        </w:rPr>
        <w:t xml:space="preserve">      </w:t>
      </w:r>
      <w:r>
        <w:rPr>
          <w:rFonts w:hint="eastAsia" w:hAnsi="宋体" w:cs="宋体"/>
          <w:highlight w:val="none"/>
        </w:rPr>
        <w:t>月</w:t>
      </w:r>
      <w:r>
        <w:rPr>
          <w:rFonts w:hAnsi="宋体" w:cs="宋体"/>
          <w:highlight w:val="none"/>
        </w:rPr>
        <w:t xml:space="preserve">      </w:t>
      </w:r>
      <w:r>
        <w:rPr>
          <w:rFonts w:hint="eastAsia" w:hAnsi="宋体" w:cs="宋体"/>
          <w:highlight w:val="none"/>
        </w:rPr>
        <w:t>日</w:t>
      </w:r>
    </w:p>
    <w:p>
      <w:pPr>
        <w:spacing w:line="360" w:lineRule="auto"/>
        <w:rPr>
          <w:rFonts w:ascii="宋体" w:cs="宋体"/>
          <w:sz w:val="24"/>
          <w:highlight w:val="none"/>
        </w:rPr>
      </w:pPr>
    </w:p>
    <w:p>
      <w:pPr>
        <w:spacing w:line="360" w:lineRule="auto"/>
        <w:rPr>
          <w:rFonts w:ascii="宋体" w:cs="宋体"/>
          <w:sz w:val="24"/>
          <w:highlight w:val="none"/>
        </w:rPr>
      </w:pPr>
    </w:p>
    <w:p>
      <w:pPr>
        <w:spacing w:line="360" w:lineRule="auto"/>
        <w:rPr>
          <w:rFonts w:ascii="宋体" w:cs="宋体"/>
          <w:sz w:val="24"/>
          <w:highlight w:val="none"/>
        </w:rPr>
      </w:pPr>
    </w:p>
    <w:p>
      <w:pPr>
        <w:spacing w:line="360" w:lineRule="auto"/>
        <w:rPr>
          <w:rFonts w:ascii="宋体" w:cs="宋体"/>
          <w:sz w:val="24"/>
          <w:highlight w:val="none"/>
        </w:rPr>
      </w:pPr>
    </w:p>
    <w:p>
      <w:pPr>
        <w:pStyle w:val="5"/>
        <w:numPr>
          <w:ilvl w:val="0"/>
          <w:numId w:val="14"/>
        </w:numPr>
        <w:rPr>
          <w:rFonts w:cs="宋体"/>
          <w:szCs w:val="28"/>
          <w:highlight w:val="none"/>
        </w:rPr>
      </w:pPr>
      <w:bookmarkStart w:id="151" w:name="_Toc476584434"/>
      <w:bookmarkStart w:id="152" w:name="_Toc1030"/>
      <w:bookmarkStart w:id="153" w:name="_Toc28034"/>
      <w:bookmarkStart w:id="154" w:name="_Toc27341"/>
      <w:r>
        <w:rPr>
          <w:rFonts w:hint="eastAsia" w:cs="宋体"/>
          <w:szCs w:val="28"/>
          <w:highlight w:val="none"/>
        </w:rPr>
        <w:t>服务报价表</w:t>
      </w:r>
      <w:bookmarkEnd w:id="151"/>
      <w:bookmarkEnd w:id="152"/>
      <w:bookmarkEnd w:id="153"/>
    </w:p>
    <w:p>
      <w:pPr>
        <w:pStyle w:val="4"/>
        <w:rPr>
          <w:rFonts w:hAnsi="宋体" w:cs="宋体"/>
          <w:highlight w:val="none"/>
        </w:rPr>
      </w:pPr>
    </w:p>
    <w:p>
      <w:pPr>
        <w:pStyle w:val="4"/>
        <w:spacing w:line="360" w:lineRule="auto"/>
        <w:ind w:firstLine="0"/>
        <w:rPr>
          <w:rFonts w:hAnsi="宋体" w:cs="宋体"/>
          <w:highlight w:val="none"/>
        </w:rPr>
      </w:pPr>
      <w:r>
        <w:rPr>
          <w:rFonts w:hint="eastAsia" w:hAnsi="宋体" w:cs="宋体"/>
          <w:highlight w:val="none"/>
        </w:rPr>
        <w:t>项目名称：安庆职业技术学院网络安全等级保护测评项目</w:t>
      </w:r>
    </w:p>
    <w:p>
      <w:pPr>
        <w:spacing w:line="360" w:lineRule="auto"/>
        <w:rPr>
          <w:rFonts w:hAnsi="宋体" w:cs="宋体"/>
          <w:highlight w:val="none"/>
        </w:rPr>
      </w:pPr>
      <w:r>
        <w:rPr>
          <w:rFonts w:hint="eastAsia" w:hAnsi="宋体" w:cs="宋体"/>
          <w:highlight w:val="none"/>
        </w:rPr>
        <w:t>项目编号：CG-AZ-2021-026</w:t>
      </w:r>
    </w:p>
    <w:p>
      <w:pPr>
        <w:rPr>
          <w:rFonts w:hAnsi="宋体" w:cs="宋体"/>
          <w:highlight w:val="none"/>
        </w:rPr>
      </w:pPr>
    </w:p>
    <w:tbl>
      <w:tblPr>
        <w:tblStyle w:val="60"/>
        <w:tblW w:w="0" w:type="auto"/>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r>
              <w:rPr>
                <w:rFonts w:hint="eastAsia" w:ascii="宋体" w:hAnsi="宋体" w:cs="宋体"/>
                <w:highlight w:val="none"/>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r>
              <w:rPr>
                <w:rFonts w:hint="eastAsia" w:ascii="宋体" w:hAnsi="宋体" w:cs="宋体"/>
                <w:highlight w:val="none"/>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r>
              <w:rPr>
                <w:rFonts w:hint="eastAsia" w:ascii="宋体" w:hAnsi="宋体" w:cs="宋体"/>
                <w:highlight w:val="none"/>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r>
              <w:rPr>
                <w:rFonts w:hint="eastAsia" w:ascii="宋体" w:hAnsi="宋体" w:cs="宋体"/>
                <w:highlight w:val="none"/>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highlight w:val="none"/>
              </w:rPr>
            </w:pPr>
            <w:r>
              <w:rPr>
                <w:rFonts w:hint="eastAsia" w:ascii="宋体" w:hAnsi="宋体" w:cs="宋体"/>
                <w:highlight w:val="none"/>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highlight w:val="none"/>
              </w:rPr>
            </w:pPr>
            <w:r>
              <w:rPr>
                <w:rFonts w:hint="eastAsia" w:ascii="宋体" w:hAnsi="宋体" w:cs="宋体"/>
                <w:highlight w:val="none"/>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p>
        </w:tc>
        <w:tc>
          <w:tcPr>
            <w:tcW w:w="3335"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91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65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p>
        </w:tc>
        <w:tc>
          <w:tcPr>
            <w:tcW w:w="3335"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91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65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p>
        </w:tc>
        <w:tc>
          <w:tcPr>
            <w:tcW w:w="3335"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91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65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p>
        </w:tc>
        <w:tc>
          <w:tcPr>
            <w:tcW w:w="3335"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91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65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p>
        </w:tc>
        <w:tc>
          <w:tcPr>
            <w:tcW w:w="3335"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91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65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highlight w:val="none"/>
              </w:rPr>
            </w:pPr>
          </w:p>
        </w:tc>
        <w:tc>
          <w:tcPr>
            <w:tcW w:w="3335"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91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657" w:type="dxa"/>
            <w:tcBorders>
              <w:top w:val="single" w:color="auto" w:sz="4" w:space="0"/>
              <w:left w:val="single" w:color="auto" w:sz="4" w:space="0"/>
              <w:bottom w:val="nil"/>
              <w:right w:val="nil"/>
            </w:tcBorders>
            <w:shd w:val="clear" w:color="auto" w:fill="FFFFFF"/>
          </w:tcPr>
          <w:p>
            <w:pPr>
              <w:rPr>
                <w:rFonts w:ascii="宋体" w:cs="宋体"/>
                <w:highlight w:val="none"/>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highlight w:val="none"/>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highlight w:val="none"/>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cs="宋体"/>
                <w:highlight w:val="none"/>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cs="宋体"/>
                <w:highlight w:val="none"/>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cs="宋体"/>
                <w:highlight w:val="none"/>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highlight w:val="none"/>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highlight w:val="none"/>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highlight w:val="none"/>
              </w:rPr>
            </w:pPr>
            <w:r>
              <w:rPr>
                <w:rFonts w:hint="eastAsia" w:ascii="宋体" w:hAnsi="宋体" w:cs="宋体"/>
                <w:highlight w:val="none"/>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highlight w:val="none"/>
              </w:rPr>
            </w:pPr>
            <w:r>
              <w:rPr>
                <w:rFonts w:hint="eastAsia" w:ascii="宋体" w:hAnsi="宋体"/>
                <w:szCs w:val="21"/>
                <w:highlight w:val="none"/>
              </w:rPr>
              <w:t>小写：</w:t>
            </w:r>
            <w:r>
              <w:rPr>
                <w:rFonts w:ascii="宋体" w:hAnsi="宋体"/>
                <w:szCs w:val="21"/>
                <w:highlight w:val="none"/>
              </w:rPr>
              <w:t xml:space="preserve">           </w:t>
            </w:r>
            <w:r>
              <w:rPr>
                <w:rFonts w:hint="eastAsia" w:ascii="宋体" w:hAnsi="宋体"/>
                <w:szCs w:val="21"/>
                <w:highlight w:val="none"/>
              </w:rPr>
              <w:t>元</w:t>
            </w:r>
          </w:p>
        </w:tc>
      </w:tr>
    </w:tbl>
    <w:p>
      <w:pPr>
        <w:spacing w:line="360" w:lineRule="auto"/>
        <w:rPr>
          <w:rFonts w:ascii="宋体" w:cs="宋体"/>
          <w:szCs w:val="21"/>
          <w:highlight w:val="none"/>
        </w:rPr>
      </w:pPr>
    </w:p>
    <w:p>
      <w:pPr>
        <w:spacing w:line="360" w:lineRule="auto"/>
        <w:rPr>
          <w:rFonts w:ascii="宋体" w:cs="宋体"/>
          <w:szCs w:val="21"/>
          <w:highlight w:val="none"/>
        </w:rPr>
      </w:pPr>
      <w:r>
        <w:rPr>
          <w:rFonts w:hint="eastAsia" w:ascii="宋体" w:hAnsi="宋体" w:cs="宋体"/>
          <w:szCs w:val="21"/>
          <w:highlight w:val="none"/>
        </w:rPr>
        <w:t>注：供应商可根据实际情况自行填写，但必须注明具体的细目内容，栏目不够可自行添加。</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ind w:firstLine="3561" w:firstLineChars="1696"/>
        <w:rPr>
          <w:rFonts w:ascii="宋体" w:cs="宋体"/>
          <w:szCs w:val="21"/>
          <w:highlight w:val="none"/>
        </w:rPr>
      </w:pPr>
      <w:r>
        <w:rPr>
          <w:rFonts w:hint="eastAsia" w:ascii="宋体" w:hAnsi="宋体" w:cs="宋体"/>
          <w:szCs w:val="21"/>
          <w:highlight w:val="none"/>
        </w:rPr>
        <w:t>供应商：</w:t>
      </w:r>
      <w:r>
        <w:rPr>
          <w:rFonts w:ascii="宋体" w:hAnsi="宋体" w:cs="宋体"/>
          <w:szCs w:val="21"/>
          <w:highlight w:val="none"/>
          <w:u w:val="single"/>
        </w:rPr>
        <w:t xml:space="preserve">                             </w:t>
      </w:r>
      <w:r>
        <w:rPr>
          <w:rFonts w:hint="eastAsia" w:ascii="宋体" w:hAnsi="宋体" w:cs="宋体"/>
          <w:szCs w:val="21"/>
          <w:highlight w:val="none"/>
        </w:rPr>
        <w:t>（盖章）</w:t>
      </w:r>
    </w:p>
    <w:p>
      <w:pPr>
        <w:spacing w:line="360" w:lineRule="auto"/>
        <w:ind w:firstLine="3561" w:firstLineChars="1696"/>
        <w:rPr>
          <w:rFonts w:ascii="宋体" w:cs="宋体"/>
          <w:szCs w:val="21"/>
          <w:highlight w:val="none"/>
        </w:rPr>
      </w:pP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法定代表人或委托代理人：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spacing w:line="360" w:lineRule="auto"/>
        <w:ind w:firstLine="3570" w:firstLineChars="1700"/>
        <w:rPr>
          <w:rFonts w:ascii="宋体" w:cs="宋体"/>
          <w:szCs w:val="21"/>
          <w:highlight w:val="none"/>
        </w:rPr>
      </w:pPr>
    </w:p>
    <w:p>
      <w:pPr>
        <w:spacing w:line="360" w:lineRule="auto"/>
        <w:ind w:firstLine="3570" w:firstLineChars="1700"/>
        <w:rPr>
          <w:rFonts w:asci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rPr>
        <w:t>　</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ascii="宋体" w:cs="宋体"/>
          <w:b/>
          <w:bCs/>
          <w:sz w:val="24"/>
          <w:highlight w:val="none"/>
        </w:rPr>
      </w:pPr>
    </w:p>
    <w:p>
      <w:pPr>
        <w:spacing w:line="360" w:lineRule="auto"/>
        <w:rPr>
          <w:rFonts w:ascii="宋体" w:cs="宋体"/>
          <w:b/>
          <w:bCs/>
          <w:sz w:val="24"/>
          <w:highlight w:val="none"/>
        </w:rPr>
      </w:pPr>
    </w:p>
    <w:p>
      <w:pPr>
        <w:spacing w:line="360" w:lineRule="auto"/>
        <w:rPr>
          <w:rFonts w:ascii="宋体" w:cs="宋体"/>
          <w:b/>
          <w:bCs/>
          <w:sz w:val="24"/>
          <w:highlight w:val="none"/>
        </w:rPr>
      </w:pPr>
    </w:p>
    <w:p>
      <w:pPr>
        <w:spacing w:line="360" w:lineRule="auto"/>
        <w:rPr>
          <w:rFonts w:ascii="宋体" w:cs="宋体"/>
          <w:b/>
          <w:bCs/>
          <w:sz w:val="24"/>
          <w:highlight w:val="none"/>
        </w:rPr>
      </w:pPr>
    </w:p>
    <w:p>
      <w:pPr>
        <w:spacing w:line="360" w:lineRule="auto"/>
        <w:rPr>
          <w:rFonts w:ascii="宋体" w:cs="宋体"/>
          <w:b/>
          <w:bCs/>
          <w:sz w:val="24"/>
          <w:highlight w:val="none"/>
        </w:rPr>
      </w:pPr>
    </w:p>
    <w:p>
      <w:pPr>
        <w:spacing w:line="360" w:lineRule="auto"/>
        <w:rPr>
          <w:rFonts w:ascii="宋体" w:cs="宋体"/>
          <w:b/>
          <w:bCs/>
          <w:sz w:val="24"/>
          <w:highlight w:val="none"/>
        </w:rPr>
      </w:pPr>
    </w:p>
    <w:p>
      <w:pPr>
        <w:pStyle w:val="5"/>
        <w:rPr>
          <w:rFonts w:cs="宋体"/>
          <w:szCs w:val="28"/>
          <w:highlight w:val="none"/>
        </w:rPr>
      </w:pPr>
      <w:r>
        <w:rPr>
          <w:rFonts w:cs="宋体"/>
          <w:b w:val="0"/>
          <w:bCs/>
          <w:szCs w:val="28"/>
          <w:highlight w:val="none"/>
        </w:rPr>
        <w:t xml:space="preserve">  </w:t>
      </w:r>
      <w:bookmarkEnd w:id="154"/>
      <w:bookmarkStart w:id="155" w:name="_Toc11099"/>
      <w:bookmarkStart w:id="156" w:name="_Toc476584435"/>
      <w:bookmarkStart w:id="157" w:name="_Toc18853"/>
      <w:bookmarkStart w:id="158" w:name="_Toc388283751"/>
      <w:r>
        <w:rPr>
          <w:rFonts w:hint="eastAsia" w:cs="宋体"/>
          <w:szCs w:val="28"/>
          <w:highlight w:val="none"/>
        </w:rPr>
        <w:t>三、服务内容及质量要求响应表</w:t>
      </w:r>
      <w:bookmarkEnd w:id="155"/>
      <w:bookmarkEnd w:id="156"/>
      <w:bookmarkEnd w:id="157"/>
    </w:p>
    <w:p>
      <w:pPr>
        <w:spacing w:line="360" w:lineRule="auto"/>
        <w:rPr>
          <w:rFonts w:ascii="宋体" w:cs="宋体"/>
          <w:b/>
          <w:szCs w:val="21"/>
          <w:highlight w:val="none"/>
        </w:rPr>
      </w:pPr>
      <w:r>
        <w:rPr>
          <w:rFonts w:hint="eastAsia" w:ascii="宋体" w:hAnsi="宋体" w:cs="宋体"/>
          <w:szCs w:val="21"/>
          <w:highlight w:val="none"/>
        </w:rPr>
        <w:t>项目名称：</w:t>
      </w:r>
      <w:r>
        <w:rPr>
          <w:rFonts w:hint="eastAsia" w:hAnsi="宋体" w:cs="宋体"/>
          <w:highlight w:val="none"/>
        </w:rPr>
        <w:t>安庆职业技术学院网络安全等级保护测评项目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89"/>
        <w:gridCol w:w="28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cs="宋体"/>
                <w:szCs w:val="21"/>
                <w:highlight w:val="none"/>
              </w:rPr>
            </w:pPr>
            <w:r>
              <w:rPr>
                <w:rFonts w:hint="eastAsia" w:ascii="宋体" w:hAnsi="宋体" w:cs="宋体"/>
                <w:szCs w:val="21"/>
                <w:highlight w:val="none"/>
              </w:rPr>
              <w:t>序号</w:t>
            </w:r>
          </w:p>
        </w:tc>
        <w:tc>
          <w:tcPr>
            <w:tcW w:w="3389" w:type="dxa"/>
            <w:vAlign w:val="center"/>
          </w:tcPr>
          <w:p>
            <w:pPr>
              <w:spacing w:line="360" w:lineRule="auto"/>
              <w:jc w:val="center"/>
              <w:rPr>
                <w:rFonts w:ascii="宋体" w:cs="宋体"/>
                <w:szCs w:val="21"/>
                <w:highlight w:val="none"/>
              </w:rPr>
            </w:pPr>
            <w:r>
              <w:rPr>
                <w:rFonts w:hint="eastAsia" w:ascii="宋体" w:hAnsi="宋体" w:cs="宋体"/>
                <w:szCs w:val="21"/>
                <w:highlight w:val="none"/>
              </w:rPr>
              <w:t>磋商服务内容质量要求</w:t>
            </w:r>
          </w:p>
        </w:tc>
        <w:tc>
          <w:tcPr>
            <w:tcW w:w="2850" w:type="dxa"/>
            <w:vAlign w:val="center"/>
          </w:tcPr>
          <w:p>
            <w:pPr>
              <w:spacing w:line="360" w:lineRule="auto"/>
              <w:jc w:val="center"/>
              <w:rPr>
                <w:rFonts w:ascii="宋体" w:cs="宋体"/>
                <w:szCs w:val="21"/>
                <w:highlight w:val="none"/>
              </w:rPr>
            </w:pPr>
            <w:r>
              <w:rPr>
                <w:rFonts w:hint="eastAsia" w:ascii="宋体" w:hAnsi="宋体" w:cs="宋体"/>
                <w:szCs w:val="21"/>
                <w:highlight w:val="none"/>
              </w:rPr>
              <w:t>响应服务内容质量要求</w:t>
            </w:r>
          </w:p>
        </w:tc>
        <w:tc>
          <w:tcPr>
            <w:tcW w:w="2209" w:type="dxa"/>
            <w:vAlign w:val="center"/>
          </w:tcPr>
          <w:p>
            <w:pPr>
              <w:spacing w:line="360" w:lineRule="auto"/>
              <w:jc w:val="center"/>
              <w:rPr>
                <w:rFonts w:ascii="宋体" w:cs="宋体"/>
                <w:szCs w:val="21"/>
                <w:highlight w:val="none"/>
              </w:rPr>
            </w:pPr>
            <w:r>
              <w:rPr>
                <w:rFonts w:hint="eastAsia" w:ascii="宋体" w:hAnsi="宋体" w:cs="宋体"/>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highlight w:val="none"/>
              </w:rPr>
            </w:pPr>
          </w:p>
        </w:tc>
        <w:tc>
          <w:tcPr>
            <w:tcW w:w="3389" w:type="dxa"/>
            <w:vAlign w:val="center"/>
          </w:tcPr>
          <w:p>
            <w:pPr>
              <w:spacing w:line="360" w:lineRule="auto"/>
              <w:jc w:val="center"/>
              <w:rPr>
                <w:rFonts w:ascii="宋体" w:cs="宋体"/>
                <w:b/>
                <w:szCs w:val="21"/>
                <w:highlight w:val="none"/>
              </w:rPr>
            </w:pPr>
          </w:p>
        </w:tc>
        <w:tc>
          <w:tcPr>
            <w:tcW w:w="2850" w:type="dxa"/>
            <w:vAlign w:val="center"/>
          </w:tcPr>
          <w:p>
            <w:pPr>
              <w:spacing w:line="360" w:lineRule="auto"/>
              <w:jc w:val="center"/>
              <w:rPr>
                <w:rFonts w:ascii="宋体" w:cs="宋体"/>
                <w:b/>
                <w:szCs w:val="21"/>
                <w:highlight w:val="none"/>
              </w:rPr>
            </w:pPr>
          </w:p>
        </w:tc>
        <w:tc>
          <w:tcPr>
            <w:tcW w:w="2209" w:type="dxa"/>
            <w:vAlign w:val="center"/>
          </w:tcPr>
          <w:p>
            <w:pPr>
              <w:spacing w:line="360" w:lineRule="auto"/>
              <w:jc w:val="center"/>
              <w:rPr>
                <w:rFonts w:asci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highlight w:val="none"/>
              </w:rPr>
            </w:pPr>
          </w:p>
        </w:tc>
        <w:tc>
          <w:tcPr>
            <w:tcW w:w="3389" w:type="dxa"/>
            <w:vAlign w:val="center"/>
          </w:tcPr>
          <w:p>
            <w:pPr>
              <w:spacing w:line="360" w:lineRule="auto"/>
              <w:jc w:val="center"/>
              <w:rPr>
                <w:rFonts w:ascii="宋体" w:cs="宋体"/>
                <w:b/>
                <w:szCs w:val="21"/>
                <w:highlight w:val="none"/>
              </w:rPr>
            </w:pPr>
          </w:p>
        </w:tc>
        <w:tc>
          <w:tcPr>
            <w:tcW w:w="2850" w:type="dxa"/>
            <w:vAlign w:val="center"/>
          </w:tcPr>
          <w:p>
            <w:pPr>
              <w:spacing w:line="360" w:lineRule="auto"/>
              <w:jc w:val="center"/>
              <w:rPr>
                <w:rFonts w:ascii="宋体" w:cs="宋体"/>
                <w:b/>
                <w:szCs w:val="21"/>
                <w:highlight w:val="none"/>
              </w:rPr>
            </w:pPr>
          </w:p>
        </w:tc>
        <w:tc>
          <w:tcPr>
            <w:tcW w:w="2209" w:type="dxa"/>
            <w:vAlign w:val="center"/>
          </w:tcPr>
          <w:p>
            <w:pPr>
              <w:spacing w:line="360" w:lineRule="auto"/>
              <w:jc w:val="center"/>
              <w:rPr>
                <w:rFonts w:asci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highlight w:val="none"/>
              </w:rPr>
            </w:pPr>
          </w:p>
        </w:tc>
        <w:tc>
          <w:tcPr>
            <w:tcW w:w="3389" w:type="dxa"/>
            <w:vAlign w:val="center"/>
          </w:tcPr>
          <w:p>
            <w:pPr>
              <w:spacing w:line="360" w:lineRule="auto"/>
              <w:jc w:val="center"/>
              <w:rPr>
                <w:rFonts w:ascii="宋体" w:cs="宋体"/>
                <w:b/>
                <w:szCs w:val="21"/>
                <w:highlight w:val="none"/>
              </w:rPr>
            </w:pPr>
          </w:p>
        </w:tc>
        <w:tc>
          <w:tcPr>
            <w:tcW w:w="2850" w:type="dxa"/>
            <w:vAlign w:val="center"/>
          </w:tcPr>
          <w:p>
            <w:pPr>
              <w:spacing w:line="360" w:lineRule="auto"/>
              <w:jc w:val="center"/>
              <w:rPr>
                <w:rFonts w:ascii="宋体" w:cs="宋体"/>
                <w:b/>
                <w:szCs w:val="21"/>
                <w:highlight w:val="none"/>
              </w:rPr>
            </w:pPr>
          </w:p>
        </w:tc>
        <w:tc>
          <w:tcPr>
            <w:tcW w:w="2209" w:type="dxa"/>
            <w:vAlign w:val="center"/>
          </w:tcPr>
          <w:p>
            <w:pPr>
              <w:spacing w:line="360" w:lineRule="auto"/>
              <w:jc w:val="center"/>
              <w:rPr>
                <w:rFonts w:asci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highlight w:val="none"/>
              </w:rPr>
            </w:pPr>
          </w:p>
        </w:tc>
        <w:tc>
          <w:tcPr>
            <w:tcW w:w="3389" w:type="dxa"/>
            <w:vAlign w:val="center"/>
          </w:tcPr>
          <w:p>
            <w:pPr>
              <w:spacing w:line="360" w:lineRule="auto"/>
              <w:jc w:val="center"/>
              <w:rPr>
                <w:rFonts w:ascii="宋体" w:cs="宋体"/>
                <w:b/>
                <w:szCs w:val="21"/>
                <w:highlight w:val="none"/>
              </w:rPr>
            </w:pPr>
          </w:p>
        </w:tc>
        <w:tc>
          <w:tcPr>
            <w:tcW w:w="2850" w:type="dxa"/>
            <w:vAlign w:val="center"/>
          </w:tcPr>
          <w:p>
            <w:pPr>
              <w:spacing w:line="360" w:lineRule="auto"/>
              <w:jc w:val="center"/>
              <w:rPr>
                <w:rFonts w:ascii="宋体" w:cs="宋体"/>
                <w:b/>
                <w:szCs w:val="21"/>
                <w:highlight w:val="none"/>
              </w:rPr>
            </w:pPr>
          </w:p>
        </w:tc>
        <w:tc>
          <w:tcPr>
            <w:tcW w:w="2209" w:type="dxa"/>
            <w:vAlign w:val="center"/>
          </w:tcPr>
          <w:p>
            <w:pPr>
              <w:spacing w:line="360" w:lineRule="auto"/>
              <w:jc w:val="center"/>
              <w:rPr>
                <w:rFonts w:asci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highlight w:val="none"/>
              </w:rPr>
            </w:pPr>
          </w:p>
        </w:tc>
        <w:tc>
          <w:tcPr>
            <w:tcW w:w="3389" w:type="dxa"/>
            <w:vAlign w:val="center"/>
          </w:tcPr>
          <w:p>
            <w:pPr>
              <w:spacing w:line="360" w:lineRule="auto"/>
              <w:jc w:val="center"/>
              <w:rPr>
                <w:rFonts w:ascii="宋体" w:cs="宋体"/>
                <w:b/>
                <w:szCs w:val="21"/>
                <w:highlight w:val="none"/>
              </w:rPr>
            </w:pPr>
          </w:p>
        </w:tc>
        <w:tc>
          <w:tcPr>
            <w:tcW w:w="2850" w:type="dxa"/>
            <w:vAlign w:val="center"/>
          </w:tcPr>
          <w:p>
            <w:pPr>
              <w:spacing w:line="360" w:lineRule="auto"/>
              <w:jc w:val="center"/>
              <w:rPr>
                <w:rFonts w:ascii="宋体" w:cs="宋体"/>
                <w:b/>
                <w:szCs w:val="21"/>
                <w:highlight w:val="none"/>
              </w:rPr>
            </w:pPr>
          </w:p>
        </w:tc>
        <w:tc>
          <w:tcPr>
            <w:tcW w:w="2209" w:type="dxa"/>
            <w:vAlign w:val="center"/>
          </w:tcPr>
          <w:p>
            <w:pPr>
              <w:spacing w:line="360" w:lineRule="auto"/>
              <w:jc w:val="center"/>
              <w:rPr>
                <w:rFonts w:asci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highlight w:val="none"/>
              </w:rPr>
            </w:pPr>
          </w:p>
        </w:tc>
        <w:tc>
          <w:tcPr>
            <w:tcW w:w="3389" w:type="dxa"/>
            <w:vAlign w:val="center"/>
          </w:tcPr>
          <w:p>
            <w:pPr>
              <w:spacing w:line="360" w:lineRule="auto"/>
              <w:jc w:val="center"/>
              <w:rPr>
                <w:rFonts w:ascii="宋体" w:cs="宋体"/>
                <w:b/>
                <w:szCs w:val="21"/>
                <w:highlight w:val="none"/>
              </w:rPr>
            </w:pPr>
          </w:p>
        </w:tc>
        <w:tc>
          <w:tcPr>
            <w:tcW w:w="2850" w:type="dxa"/>
            <w:vAlign w:val="center"/>
          </w:tcPr>
          <w:p>
            <w:pPr>
              <w:spacing w:line="360" w:lineRule="auto"/>
              <w:jc w:val="center"/>
              <w:rPr>
                <w:rFonts w:ascii="宋体" w:cs="宋体"/>
                <w:b/>
                <w:szCs w:val="21"/>
                <w:highlight w:val="none"/>
              </w:rPr>
            </w:pPr>
          </w:p>
        </w:tc>
        <w:tc>
          <w:tcPr>
            <w:tcW w:w="2209" w:type="dxa"/>
            <w:vAlign w:val="center"/>
          </w:tcPr>
          <w:p>
            <w:pPr>
              <w:spacing w:line="360" w:lineRule="auto"/>
              <w:jc w:val="center"/>
              <w:rPr>
                <w:rFonts w:ascii="宋体" w:cs="宋体"/>
                <w:b/>
                <w:szCs w:val="21"/>
                <w:highlight w:val="none"/>
              </w:rPr>
            </w:pPr>
          </w:p>
        </w:tc>
      </w:tr>
    </w:tbl>
    <w:p>
      <w:pPr>
        <w:spacing w:line="360" w:lineRule="auto"/>
        <w:rPr>
          <w:rFonts w:ascii="宋体" w:cs="宋体"/>
          <w:szCs w:val="21"/>
          <w:highlight w:val="none"/>
        </w:rPr>
      </w:pPr>
      <w:r>
        <w:rPr>
          <w:rFonts w:hint="eastAsia" w:ascii="宋体" w:hAnsi="宋体" w:cs="宋体"/>
          <w:b/>
          <w:szCs w:val="21"/>
          <w:highlight w:val="none"/>
        </w:rPr>
        <w:t>注：</w:t>
      </w:r>
      <w:r>
        <w:rPr>
          <w:rFonts w:ascii="宋体" w:hAnsi="宋体" w:cs="宋体"/>
          <w:szCs w:val="21"/>
          <w:highlight w:val="none"/>
        </w:rPr>
        <w:t>1</w:t>
      </w:r>
      <w:r>
        <w:rPr>
          <w:rFonts w:hint="eastAsia" w:ascii="宋体" w:hAnsi="宋体" w:cs="宋体"/>
          <w:szCs w:val="21"/>
          <w:highlight w:val="none"/>
        </w:rPr>
        <w:t>、供应商必须将自己所投服务真实、准确地填入以上表格中。供应商可根据实际情况自行调整格式，但必须注明具体的细目内容。</w:t>
      </w:r>
    </w:p>
    <w:p>
      <w:pPr>
        <w:tabs>
          <w:tab w:val="left" w:pos="1815"/>
        </w:tabs>
        <w:spacing w:line="360" w:lineRule="auto"/>
        <w:ind w:left="1" w:firstLine="417" w:firstLineChars="199"/>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、供应商必须根据自己所投服务与“</w:t>
      </w:r>
      <w:r>
        <w:rPr>
          <w:rFonts w:hint="eastAsia" w:ascii="宋体" w:hAnsi="宋体" w:cs="宋体"/>
          <w:b/>
          <w:szCs w:val="21"/>
          <w:highlight w:val="none"/>
        </w:rPr>
        <w:t>服务需求及技术要求</w:t>
      </w:r>
      <w:r>
        <w:rPr>
          <w:rFonts w:hint="eastAsia" w:ascii="宋体" w:hAnsi="宋体" w:cs="宋体"/>
          <w:szCs w:val="21"/>
          <w:highlight w:val="none"/>
        </w:rPr>
        <w:t>”的差异情况，实事求是地填写“响应情况”（优于、满足、不满足） 。</w:t>
      </w:r>
    </w:p>
    <w:p>
      <w:pPr>
        <w:tabs>
          <w:tab w:val="left" w:pos="1815"/>
        </w:tabs>
        <w:spacing w:line="360" w:lineRule="auto"/>
        <w:ind w:firstLine="420" w:firstLineChars="200"/>
        <w:rPr>
          <w:rFonts w:ascii="宋体" w:cs="宋体"/>
          <w:strike/>
          <w:color w:val="FF0000"/>
          <w:szCs w:val="21"/>
          <w:highlight w:val="none"/>
        </w:rPr>
      </w:pPr>
    </w:p>
    <w:p>
      <w:pPr>
        <w:tabs>
          <w:tab w:val="left" w:pos="1815"/>
        </w:tabs>
        <w:spacing w:line="360" w:lineRule="auto"/>
        <w:ind w:firstLine="420" w:firstLineChars="200"/>
        <w:rPr>
          <w:rFonts w:ascii="宋体" w:cs="宋体"/>
          <w:strike/>
          <w:color w:val="FF0000"/>
          <w:szCs w:val="21"/>
          <w:highlight w:val="none"/>
        </w:rPr>
      </w:pPr>
    </w:p>
    <w:p>
      <w:pPr>
        <w:tabs>
          <w:tab w:val="left" w:pos="1815"/>
        </w:tabs>
        <w:spacing w:line="360" w:lineRule="auto"/>
        <w:ind w:firstLine="420" w:firstLineChars="200"/>
        <w:rPr>
          <w:rFonts w:ascii="宋体" w:cs="宋体"/>
          <w:strike/>
          <w:color w:val="FF0000"/>
          <w:szCs w:val="21"/>
          <w:highlight w:val="none"/>
        </w:rPr>
      </w:pPr>
    </w:p>
    <w:p>
      <w:pPr>
        <w:tabs>
          <w:tab w:val="left" w:pos="1815"/>
        </w:tabs>
        <w:spacing w:line="360" w:lineRule="auto"/>
        <w:ind w:firstLine="420" w:firstLineChars="200"/>
        <w:rPr>
          <w:rFonts w:ascii="宋体" w:cs="宋体"/>
          <w:szCs w:val="21"/>
          <w:highlight w:val="none"/>
        </w:rPr>
      </w:pPr>
    </w:p>
    <w:p>
      <w:pPr>
        <w:spacing w:line="360" w:lineRule="auto"/>
        <w:ind w:firstLine="3561" w:firstLineChars="1696"/>
        <w:rPr>
          <w:rFonts w:ascii="宋体" w:cs="宋体"/>
          <w:szCs w:val="21"/>
          <w:highlight w:val="none"/>
        </w:rPr>
      </w:pPr>
      <w:r>
        <w:rPr>
          <w:rFonts w:hint="eastAsia" w:ascii="宋体" w:hAnsi="宋体" w:cs="宋体"/>
          <w:szCs w:val="21"/>
          <w:highlight w:val="none"/>
        </w:rPr>
        <w:t>供应商：</w:t>
      </w:r>
      <w:r>
        <w:rPr>
          <w:rFonts w:ascii="宋体" w:hAnsi="宋体" w:cs="宋体"/>
          <w:szCs w:val="21"/>
          <w:highlight w:val="none"/>
          <w:u w:val="single"/>
        </w:rPr>
        <w:t xml:space="preserve">                             </w:t>
      </w:r>
      <w:r>
        <w:rPr>
          <w:rFonts w:hint="eastAsia" w:ascii="宋体" w:hAnsi="宋体" w:cs="宋体"/>
          <w:szCs w:val="21"/>
          <w:highlight w:val="none"/>
        </w:rPr>
        <w:t>（盖章）</w:t>
      </w:r>
    </w:p>
    <w:p>
      <w:pPr>
        <w:spacing w:line="360" w:lineRule="auto"/>
        <w:ind w:firstLine="3561" w:firstLineChars="1696"/>
        <w:rPr>
          <w:rFonts w:ascii="宋体" w:cs="宋体"/>
          <w:szCs w:val="21"/>
          <w:highlight w:val="none"/>
        </w:rPr>
      </w:pP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法定代表人或委托代理人：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spacing w:line="360" w:lineRule="auto"/>
        <w:ind w:firstLine="3570" w:firstLineChars="1700"/>
        <w:rPr>
          <w:rFonts w:ascii="宋体" w:cs="宋体"/>
          <w:szCs w:val="21"/>
          <w:highlight w:val="none"/>
        </w:rPr>
      </w:pP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rPr>
        <w:t>　</w:t>
      </w:r>
      <w:r>
        <w:rPr>
          <w:rFonts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3570" w:firstLineChars="1700"/>
        <w:rPr>
          <w:rFonts w:ascii="宋体" w:hAnsi="宋体" w:cs="宋体"/>
          <w:szCs w:val="21"/>
          <w:highlight w:val="none"/>
        </w:rPr>
      </w:pPr>
    </w:p>
    <w:p>
      <w:pPr>
        <w:spacing w:line="360" w:lineRule="auto"/>
        <w:ind w:firstLine="3570" w:firstLineChars="1700"/>
        <w:rPr>
          <w:rFonts w:ascii="宋体" w:hAnsi="宋体" w:cs="宋体"/>
          <w:szCs w:val="21"/>
          <w:highlight w:val="none"/>
        </w:rPr>
      </w:pPr>
    </w:p>
    <w:bookmarkEnd w:id="158"/>
    <w:p>
      <w:pPr>
        <w:pStyle w:val="5"/>
        <w:numPr>
          <w:ilvl w:val="0"/>
          <w:numId w:val="15"/>
        </w:numPr>
        <w:rPr>
          <w:rFonts w:cs="宋体"/>
          <w:szCs w:val="28"/>
          <w:highlight w:val="none"/>
        </w:rPr>
      </w:pPr>
      <w:bookmarkStart w:id="159" w:name="_Toc5836"/>
      <w:bookmarkStart w:id="160" w:name="_Toc476584436"/>
      <w:bookmarkStart w:id="161" w:name="_Toc15038"/>
      <w:r>
        <w:rPr>
          <w:rFonts w:hint="eastAsia" w:cs="宋体"/>
          <w:szCs w:val="28"/>
          <w:highlight w:val="none"/>
        </w:rPr>
        <w:t>最后报价表</w:t>
      </w:r>
      <w:bookmarkEnd w:id="159"/>
    </w:p>
    <w:p>
      <w:pPr>
        <w:pStyle w:val="4"/>
        <w:rPr>
          <w:highlight w:val="none"/>
        </w:rPr>
      </w:pPr>
    </w:p>
    <w:p>
      <w:pPr>
        <w:spacing w:line="360" w:lineRule="auto"/>
        <w:rPr>
          <w:sz w:val="24"/>
          <w:highlight w:val="none"/>
        </w:rPr>
      </w:pPr>
      <w:r>
        <w:rPr>
          <w:rFonts w:hint="eastAsia" w:ascii="宋体" w:hAnsi="宋体"/>
          <w:szCs w:val="21"/>
          <w:highlight w:val="none"/>
        </w:rPr>
        <w:t>项目名称：安庆职业技术学院网络安全等级保护测评项目</w:t>
      </w:r>
      <w:r>
        <w:rPr>
          <w:rFonts w:ascii="宋体" w:hAnsi="宋体"/>
          <w:szCs w:val="21"/>
          <w:highlight w:val="none"/>
        </w:rPr>
        <w:t xml:space="preserve">  </w:t>
      </w:r>
    </w:p>
    <w:p>
      <w:pPr>
        <w:spacing w:line="360" w:lineRule="auto"/>
        <w:rPr>
          <w:rFonts w:ascii="宋体" w:hAnsi="宋体"/>
          <w:szCs w:val="21"/>
          <w:highlight w:val="none"/>
        </w:rPr>
      </w:pPr>
      <w:r>
        <w:rPr>
          <w:rFonts w:hint="eastAsia" w:ascii="宋体" w:hAnsi="宋体"/>
          <w:szCs w:val="21"/>
          <w:highlight w:val="none"/>
        </w:rPr>
        <w:t>项目编号：CG-AZ-2021-026</w:t>
      </w:r>
      <w:r>
        <w:rPr>
          <w:rFonts w:ascii="宋体" w:hAnsi="宋体"/>
          <w:szCs w:val="21"/>
          <w:highlight w:val="none"/>
        </w:rPr>
        <w:t xml:space="preserve"> </w:t>
      </w:r>
    </w:p>
    <w:p>
      <w:pPr>
        <w:spacing w:line="360" w:lineRule="auto"/>
        <w:jc w:val="right"/>
        <w:rPr>
          <w:rFonts w:ascii="宋体" w:hAnsi="宋体"/>
          <w:szCs w:val="21"/>
          <w:highlight w:val="none"/>
          <w:lang w:val="zh-CN"/>
        </w:rPr>
      </w:pPr>
      <w:r>
        <w:rPr>
          <w:rFonts w:hint="eastAsia" w:ascii="宋体" w:hAnsi="宋体"/>
          <w:szCs w:val="21"/>
          <w:highlight w:val="none"/>
          <w:lang w:val="zh-CN"/>
        </w:rPr>
        <w:t>金额单位：人民币（元）</w:t>
      </w:r>
    </w:p>
    <w:tbl>
      <w:tblPr>
        <w:tblStyle w:val="60"/>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highlight w:val="none"/>
              </w:rPr>
            </w:pPr>
            <w:r>
              <w:rPr>
                <w:rFonts w:hint="eastAsia" w:hAnsi="宋体"/>
                <w:sz w:val="24"/>
                <w:highlight w:val="none"/>
              </w:rPr>
              <w:t>最后报价</w:t>
            </w:r>
          </w:p>
        </w:tc>
        <w:tc>
          <w:tcPr>
            <w:tcW w:w="7641" w:type="dxa"/>
            <w:vAlign w:val="center"/>
          </w:tcPr>
          <w:p>
            <w:pPr>
              <w:wordWrap w:val="0"/>
              <w:spacing w:line="400" w:lineRule="exact"/>
              <w:rPr>
                <w:sz w:val="24"/>
                <w:highlight w:val="none"/>
              </w:rPr>
            </w:pPr>
            <w:r>
              <w:rPr>
                <w:rFonts w:hint="eastAsia" w:hAnsi="宋体"/>
                <w:sz w:val="24"/>
                <w:highlight w:val="none"/>
              </w:rPr>
              <w:t>大写：</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highlight w:val="none"/>
              </w:rPr>
            </w:pPr>
          </w:p>
        </w:tc>
        <w:tc>
          <w:tcPr>
            <w:tcW w:w="7641" w:type="dxa"/>
            <w:vAlign w:val="center"/>
          </w:tcPr>
          <w:p>
            <w:pPr>
              <w:wordWrap w:val="0"/>
              <w:rPr>
                <w:rFonts w:hAnsi="宋体"/>
                <w:sz w:val="24"/>
                <w:highlight w:val="none"/>
              </w:rPr>
            </w:pPr>
            <w:r>
              <w:rPr>
                <w:rFonts w:hint="eastAsia" w:hAnsi="宋体"/>
                <w:sz w:val="24"/>
                <w:highlight w:val="none"/>
              </w:rPr>
              <w:t>小写：</w:t>
            </w:r>
            <w:r>
              <w:rPr>
                <w:rFonts w:hAnsi="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463" w:type="dxa"/>
            <w:vAlign w:val="center"/>
          </w:tcPr>
          <w:p>
            <w:pPr>
              <w:spacing w:line="400" w:lineRule="exact"/>
              <w:ind w:firstLine="120" w:firstLineChars="50"/>
              <w:jc w:val="center"/>
              <w:rPr>
                <w:sz w:val="24"/>
                <w:highlight w:val="none"/>
              </w:rPr>
            </w:pPr>
            <w:r>
              <w:rPr>
                <w:rFonts w:hint="eastAsia"/>
                <w:sz w:val="24"/>
                <w:highlight w:val="none"/>
              </w:rPr>
              <w:t>服务期</w:t>
            </w:r>
          </w:p>
        </w:tc>
        <w:tc>
          <w:tcPr>
            <w:tcW w:w="7641" w:type="dxa"/>
            <w:vAlign w:val="center"/>
          </w:tcPr>
          <w:p>
            <w:pPr>
              <w:spacing w:line="400" w:lineRule="exact"/>
              <w:rPr>
                <w:sz w:val="24"/>
                <w:highlight w:val="none"/>
              </w:rPr>
            </w:pPr>
            <w:r>
              <w:rPr>
                <w:rFonts w:hint="eastAsia"/>
                <w:b/>
                <w:bCs/>
                <w:sz w:val="24"/>
                <w:highlight w:val="none"/>
              </w:rPr>
              <w:t>合同签字生效后</w:t>
            </w:r>
            <w:r>
              <w:rPr>
                <w:rFonts w:hint="eastAsia"/>
                <w:b/>
                <w:bCs/>
                <w:sz w:val="24"/>
                <w:highlight w:val="none"/>
                <w:u w:val="single"/>
              </w:rPr>
              <w:t xml:space="preserve">     </w:t>
            </w:r>
            <w:r>
              <w:rPr>
                <w:rFonts w:hint="eastAsia"/>
                <w:b/>
                <w:bCs/>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104" w:type="dxa"/>
            <w:gridSpan w:val="2"/>
            <w:vAlign w:val="center"/>
          </w:tcPr>
          <w:p>
            <w:pPr>
              <w:spacing w:line="400" w:lineRule="exact"/>
              <w:rPr>
                <w:rFonts w:hAnsi="宋体"/>
                <w:sz w:val="24"/>
                <w:highlight w:val="none"/>
              </w:rPr>
            </w:pPr>
            <w:r>
              <w:rPr>
                <w:rFonts w:hint="eastAsia" w:hAnsi="宋体"/>
                <w:sz w:val="24"/>
                <w:highlight w:val="none"/>
              </w:rPr>
              <w:t>备注：</w:t>
            </w:r>
          </w:p>
          <w:p>
            <w:pPr>
              <w:spacing w:line="400" w:lineRule="exact"/>
              <w:rPr>
                <w:rFonts w:hAnsi="宋体"/>
                <w:sz w:val="24"/>
                <w:highlight w:val="none"/>
              </w:rPr>
            </w:pPr>
            <w:r>
              <w:rPr>
                <w:rFonts w:hAnsi="宋体"/>
                <w:sz w:val="24"/>
                <w:highlight w:val="none"/>
              </w:rPr>
              <w:t>1</w:t>
            </w:r>
            <w:r>
              <w:rPr>
                <w:rFonts w:hint="eastAsia" w:hAnsi="宋体"/>
                <w:sz w:val="24"/>
                <w:highlight w:val="none"/>
              </w:rPr>
              <w:t>、分项报价按总报价的同等比例下浮；</w:t>
            </w:r>
          </w:p>
          <w:p>
            <w:pPr>
              <w:spacing w:line="400" w:lineRule="exact"/>
              <w:rPr>
                <w:rFonts w:hAnsi="宋体"/>
                <w:sz w:val="24"/>
                <w:highlight w:val="none"/>
              </w:rPr>
            </w:pPr>
            <w:r>
              <w:rPr>
                <w:rFonts w:hAnsi="宋体"/>
                <w:sz w:val="24"/>
                <w:highlight w:val="none"/>
              </w:rPr>
              <w:t>2</w:t>
            </w:r>
            <w:r>
              <w:rPr>
                <w:rFonts w:hint="eastAsia" w:hAnsi="宋体"/>
                <w:sz w:val="24"/>
                <w:highlight w:val="none"/>
              </w:rPr>
              <w:t>、最后报价保留两位小数，小数点后第三位四舍五入。</w:t>
            </w:r>
          </w:p>
        </w:tc>
      </w:tr>
    </w:tbl>
    <w:p>
      <w:pPr>
        <w:spacing w:line="360" w:lineRule="auto"/>
        <w:rPr>
          <w:rFonts w:ascii="宋体"/>
          <w:b/>
          <w:sz w:val="24"/>
          <w:highlight w:val="none"/>
        </w:rPr>
      </w:pPr>
    </w:p>
    <w:p>
      <w:pPr>
        <w:spacing w:line="360" w:lineRule="auto"/>
        <w:rPr>
          <w:rFonts w:ascii="宋体"/>
          <w:b/>
          <w:sz w:val="24"/>
          <w:highlight w:val="none"/>
        </w:rPr>
      </w:pPr>
      <w:r>
        <w:rPr>
          <w:rFonts w:hint="eastAsia" w:ascii="宋体" w:hAnsi="宋体"/>
          <w:b/>
          <w:sz w:val="24"/>
          <w:highlight w:val="none"/>
        </w:rPr>
        <w:t>此表请各供应商多准备几份，并加盖供应商公章及法定代表人或委托代理人签字或盖章，以便在磋商最后报价时使用。（此表由供应商磋商现场递交）</w:t>
      </w:r>
    </w:p>
    <w:p>
      <w:pPr>
        <w:spacing w:line="360" w:lineRule="auto"/>
        <w:ind w:firstLine="3465" w:firstLineChars="1650"/>
        <w:rPr>
          <w:rFonts w:ascii="宋体"/>
          <w:szCs w:val="21"/>
          <w:highlight w:val="none"/>
        </w:rPr>
      </w:pPr>
    </w:p>
    <w:p>
      <w:pPr>
        <w:spacing w:line="360" w:lineRule="auto"/>
        <w:ind w:firstLine="3465" w:firstLineChars="1650"/>
        <w:rPr>
          <w:rFonts w:ascii="宋体"/>
          <w:szCs w:val="21"/>
          <w:highlight w:val="none"/>
        </w:rPr>
      </w:pPr>
      <w:r>
        <w:rPr>
          <w:rFonts w:hint="eastAsia" w:ascii="宋体" w:hAnsi="宋体"/>
          <w:szCs w:val="21"/>
          <w:highlight w:val="none"/>
        </w:rPr>
        <w:t>供应商：</w:t>
      </w:r>
      <w:r>
        <w:rPr>
          <w:rFonts w:ascii="宋体" w:hAnsi="宋体"/>
          <w:szCs w:val="21"/>
          <w:highlight w:val="none"/>
          <w:u w:val="single"/>
        </w:rPr>
        <w:t xml:space="preserve">                          </w:t>
      </w:r>
      <w:r>
        <w:rPr>
          <w:rFonts w:hint="eastAsia" w:ascii="宋体" w:hAnsi="宋体"/>
          <w:szCs w:val="21"/>
          <w:highlight w:val="none"/>
        </w:rPr>
        <w:t>（盖章）</w:t>
      </w:r>
    </w:p>
    <w:p>
      <w:pPr>
        <w:spacing w:line="360" w:lineRule="auto"/>
        <w:ind w:firstLine="3561" w:firstLineChars="1696"/>
        <w:rPr>
          <w:rFonts w:ascii="宋体"/>
          <w:szCs w:val="21"/>
          <w:highlight w:val="none"/>
        </w:rPr>
      </w:pPr>
    </w:p>
    <w:p>
      <w:pPr>
        <w:spacing w:line="360" w:lineRule="auto"/>
        <w:ind w:firstLine="3465" w:firstLineChars="1650"/>
        <w:rPr>
          <w:rFonts w:ascii="宋体"/>
          <w:szCs w:val="21"/>
          <w:highlight w:val="none"/>
        </w:rPr>
      </w:pPr>
      <w:r>
        <w:rPr>
          <w:rFonts w:hint="eastAsia" w:ascii="宋体" w:hAnsi="宋体"/>
          <w:szCs w:val="21"/>
          <w:highlight w:val="none"/>
        </w:rPr>
        <w:t>法定代表人或委托代理人：</w:t>
      </w:r>
      <w:r>
        <w:rPr>
          <w:rFonts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3570" w:firstLineChars="1700"/>
        <w:rPr>
          <w:rFonts w:ascii="宋体"/>
          <w:szCs w:val="21"/>
          <w:highlight w:val="none"/>
        </w:rPr>
      </w:pPr>
    </w:p>
    <w:p>
      <w:pPr>
        <w:spacing w:line="360" w:lineRule="auto"/>
        <w:ind w:firstLine="3570" w:firstLineChars="1700"/>
        <w:rPr>
          <w:rFonts w:ascii="宋体"/>
          <w:szCs w:val="21"/>
          <w:highlight w:val="none"/>
        </w:rPr>
      </w:pPr>
      <w:r>
        <w:rPr>
          <w:rFonts w:hint="eastAsia"/>
          <w:szCs w:val="21"/>
          <w:highlight w:val="none"/>
        </w:rPr>
        <w:t>日</w:t>
      </w:r>
      <w:r>
        <w:rPr>
          <w:szCs w:val="21"/>
          <w:highlight w:val="none"/>
        </w:rPr>
        <w:t xml:space="preserve">  </w:t>
      </w:r>
      <w:r>
        <w:rPr>
          <w:rFonts w:hint="eastAsia"/>
          <w:szCs w:val="21"/>
          <w:highlight w:val="none"/>
        </w:rPr>
        <w:t>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u w:val="single"/>
        </w:rPr>
        <w:t>　</w:t>
      </w:r>
      <w:r>
        <w:rPr>
          <w:szCs w:val="21"/>
          <w:highlight w:val="none"/>
          <w:u w:val="single"/>
        </w:rPr>
        <w:t xml:space="preserve">     </w:t>
      </w:r>
      <w:r>
        <w:rPr>
          <w:rFonts w:hint="eastAsia"/>
          <w:szCs w:val="21"/>
          <w:highlight w:val="none"/>
        </w:rPr>
        <w:t>日</w:t>
      </w:r>
    </w:p>
    <w:p>
      <w:pPr>
        <w:spacing w:line="360" w:lineRule="auto"/>
        <w:ind w:left="2833" w:leftChars="1349"/>
        <w:rPr>
          <w:rFonts w:ascii="宋体"/>
          <w:szCs w:val="21"/>
          <w:highlight w:val="none"/>
        </w:rPr>
      </w:pPr>
    </w:p>
    <w:p>
      <w:pPr>
        <w:spacing w:line="360" w:lineRule="auto"/>
        <w:ind w:left="2833" w:leftChars="1349"/>
        <w:rPr>
          <w:rFonts w:ascii="宋体"/>
          <w:szCs w:val="21"/>
          <w:highlight w:val="none"/>
        </w:rPr>
      </w:pPr>
    </w:p>
    <w:p>
      <w:pPr>
        <w:spacing w:line="360" w:lineRule="auto"/>
        <w:ind w:left="2833" w:leftChars="1349"/>
        <w:rPr>
          <w:rFonts w:ascii="宋体"/>
          <w:szCs w:val="21"/>
          <w:highlight w:val="none"/>
        </w:rPr>
      </w:pPr>
    </w:p>
    <w:p>
      <w:pPr>
        <w:spacing w:line="360" w:lineRule="auto"/>
        <w:ind w:left="2833" w:leftChars="1349"/>
        <w:rPr>
          <w:rFonts w:ascii="宋体"/>
          <w:szCs w:val="21"/>
          <w:highlight w:val="none"/>
        </w:rPr>
      </w:pPr>
    </w:p>
    <w:p>
      <w:pPr>
        <w:spacing w:line="360" w:lineRule="auto"/>
        <w:ind w:left="2833" w:leftChars="1349"/>
        <w:rPr>
          <w:rFonts w:ascii="宋体"/>
          <w:szCs w:val="21"/>
          <w:highlight w:val="none"/>
        </w:rPr>
      </w:pPr>
    </w:p>
    <w:p>
      <w:pPr>
        <w:pStyle w:val="5"/>
        <w:rPr>
          <w:rFonts w:cs="宋体"/>
          <w:szCs w:val="28"/>
          <w:highlight w:val="none"/>
          <w:bdr w:val="single" w:color="auto" w:sz="4" w:space="0"/>
        </w:rPr>
      </w:pPr>
      <w:bookmarkStart w:id="162" w:name="_Toc6619"/>
      <w:r>
        <w:rPr>
          <w:rFonts w:hint="eastAsia" w:cs="宋体"/>
          <w:szCs w:val="28"/>
          <w:highlight w:val="none"/>
        </w:rPr>
        <w:t>五、服务方案</w:t>
      </w:r>
      <w:bookmarkEnd w:id="160"/>
      <w:bookmarkEnd w:id="161"/>
      <w:bookmarkEnd w:id="162"/>
    </w:p>
    <w:p>
      <w:pPr>
        <w:spacing w:line="360" w:lineRule="auto"/>
        <w:ind w:firstLine="420" w:firstLineChars="200"/>
        <w:rPr>
          <w:rFonts w:ascii="宋体" w:cs="宋体"/>
          <w:szCs w:val="21"/>
          <w:highlight w:val="none"/>
        </w:rPr>
      </w:pPr>
      <w:r>
        <w:rPr>
          <w:rFonts w:hint="eastAsia" w:ascii="宋体" w:hAnsi="宋体" w:cs="宋体"/>
          <w:szCs w:val="21"/>
          <w:highlight w:val="none"/>
        </w:rPr>
        <w:t>供应商依据第三章“服务需求及技术要求”自行提供。</w:t>
      </w: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pStyle w:val="5"/>
        <w:pageBreakBefore/>
        <w:rPr>
          <w:rFonts w:cs="宋体"/>
          <w:szCs w:val="28"/>
          <w:highlight w:val="none"/>
        </w:rPr>
      </w:pPr>
      <w:bookmarkStart w:id="163" w:name="_Toc17267"/>
      <w:bookmarkStart w:id="164" w:name="_Toc19236"/>
      <w:bookmarkStart w:id="165" w:name="_Toc476584437"/>
      <w:r>
        <w:rPr>
          <w:rFonts w:hint="eastAsia" w:cs="宋体"/>
          <w:szCs w:val="28"/>
          <w:highlight w:val="none"/>
        </w:rPr>
        <w:t>六、诚信响应承诺书</w:t>
      </w:r>
      <w:bookmarkEnd w:id="163"/>
      <w:bookmarkEnd w:id="164"/>
      <w:bookmarkEnd w:id="165"/>
    </w:p>
    <w:p>
      <w:pPr>
        <w:rPr>
          <w:rFonts w:ascii="宋体" w:cs="宋体"/>
          <w:b/>
          <w:bCs/>
          <w:sz w:val="24"/>
          <w:highlight w:val="none"/>
        </w:rPr>
      </w:pPr>
    </w:p>
    <w:p>
      <w:pPr>
        <w:spacing w:line="440" w:lineRule="exact"/>
        <w:ind w:firstLine="482" w:firstLineChars="200"/>
        <w:rPr>
          <w:rFonts w:ascii="宋体" w:cs="宋体"/>
          <w:b/>
          <w:sz w:val="24"/>
          <w:highlight w:val="none"/>
        </w:rPr>
      </w:pPr>
      <w:r>
        <w:rPr>
          <w:rFonts w:hint="eastAsia" w:ascii="宋体" w:hAnsi="宋体" w:cs="宋体"/>
          <w:b/>
          <w:sz w:val="24"/>
          <w:highlight w:val="none"/>
        </w:rPr>
        <w:t>本单位郑重声明：</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一、将遵循公开、公正和诚实信用的原则自愿参加</w:t>
      </w:r>
      <w:r>
        <w:rPr>
          <w:rFonts w:hint="eastAsia" w:ascii="仿宋" w:hAnsi="仿宋" w:eastAsia="仿宋" w:cs="仿宋"/>
          <w:b/>
          <w:bCs/>
          <w:sz w:val="24"/>
          <w:highlight w:val="none"/>
          <w:u w:val="single"/>
        </w:rPr>
        <w:t>安庆职业技术学院网络安全等级保护测评项目</w:t>
      </w:r>
      <w:r>
        <w:rPr>
          <w:rFonts w:hint="eastAsia" w:ascii="仿宋" w:hAnsi="仿宋" w:eastAsia="仿宋" w:cs="仿宋"/>
          <w:b/>
          <w:bCs/>
          <w:sz w:val="24"/>
          <w:highlight w:val="none"/>
        </w:rPr>
        <w:t>的竞争性磋商；</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二、所提供的一切材料都是真实、有效、合法的；</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三、不出借、转让资质证书，不让他人挂靠磋商，不以他人名义磋商或者以其他方式弄虚作假，骗取成交；</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四、不与其他磋商供应商相互串通响应报价，不排挤其他磋商供应商的公平竞争、损害采购人的合法权益；</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五、不与采购单位或其他磋商供应商串通磋商，损害国家利益、社会公共利益或者他人的合法权益；</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六、严格遵守开标现场纪律，服从监管人员管理；</w:t>
      </w:r>
      <w:r>
        <w:rPr>
          <w:rFonts w:ascii="仿宋" w:hAnsi="仿宋" w:eastAsia="仿宋" w:cs="仿宋"/>
          <w:b/>
          <w:bCs/>
          <w:sz w:val="24"/>
          <w:highlight w:val="none"/>
        </w:rPr>
        <w:t xml:space="preserve">  </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七、保证成交后不转包，若有合法分包征得采购人同意；</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八、保证成交之后，按照磋商响应文件承诺提供货物、服务及派驻人员；</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九、保证企业及所属相关人员在本次磋商响应中无行贿等犯罪行为；</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十、我单位在安徽省公共资源交易市场主体库中录入的信息真实，无编造虚假信息。一旦发现弄虚作假将按有关法律法规和《诚信响应承诺书》中的约定接受处理。</w:t>
      </w:r>
    </w:p>
    <w:p>
      <w:pPr>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十一、我方保证对本次磋商活动有任何质疑或投诉，都依法在约定的时间内提出。否则，不针对本次磋商活动提出任何质疑或投诉。</w:t>
      </w:r>
    </w:p>
    <w:p>
      <w:pPr>
        <w:spacing w:line="440" w:lineRule="exact"/>
        <w:ind w:firstLine="482" w:firstLineChars="200"/>
        <w:rPr>
          <w:rFonts w:ascii="宋体" w:hAnsi="宋体" w:cs="宋体"/>
          <w:b/>
          <w:sz w:val="24"/>
          <w:highlight w:val="none"/>
        </w:rPr>
      </w:pPr>
      <w:r>
        <w:rPr>
          <w:rFonts w:hint="eastAsia" w:ascii="仿宋" w:hAnsi="仿宋" w:eastAsia="仿宋" w:cs="仿宋"/>
          <w:b/>
          <w:bCs/>
          <w:sz w:val="24"/>
          <w:highlight w:val="none"/>
        </w:rPr>
        <w:t>以上内容我方已仔细阅读，本公司若有违反承诺内容的行为，自愿承担磋商文件确定的责任和法律责任并接受相关行政部门给予的处理和处罚。给采购人造成损失的，依法承担赔偿责任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highlight w:val="none"/>
        </w:rPr>
        <w:t>。</w:t>
      </w:r>
    </w:p>
    <w:p>
      <w:pPr>
        <w:spacing w:line="440" w:lineRule="exact"/>
        <w:ind w:firstLine="482" w:firstLineChars="200"/>
        <w:rPr>
          <w:rFonts w:ascii="宋体" w:hAnsi="宋体" w:cs="宋体"/>
          <w:b/>
          <w:sz w:val="24"/>
          <w:highlight w:val="none"/>
        </w:rPr>
      </w:pPr>
    </w:p>
    <w:p>
      <w:pPr>
        <w:spacing w:line="440" w:lineRule="exact"/>
        <w:ind w:firstLine="482" w:firstLineChars="200"/>
        <w:rPr>
          <w:rFonts w:ascii="宋体" w:hAnsi="宋体" w:cs="宋体"/>
          <w:b/>
          <w:sz w:val="24"/>
          <w:highlight w:val="none"/>
        </w:rPr>
      </w:pPr>
    </w:p>
    <w:p>
      <w:pPr>
        <w:rPr>
          <w:rFonts w:ascii="宋体" w:hAnsi="宋体" w:cs="宋体"/>
          <w:b/>
          <w:sz w:val="22"/>
          <w:szCs w:val="22"/>
          <w:highlight w:val="none"/>
        </w:rPr>
      </w:pPr>
      <w:r>
        <w:rPr>
          <w:rFonts w:ascii="宋体" w:hAnsi="宋体" w:cs="宋体"/>
          <w:b/>
          <w:sz w:val="22"/>
          <w:szCs w:val="22"/>
          <w:highlight w:val="none"/>
        </w:rPr>
        <w:t xml:space="preserve">  </w:t>
      </w:r>
    </w:p>
    <w:p>
      <w:pPr>
        <w:ind w:firstLine="5060" w:firstLineChars="2100"/>
        <w:rPr>
          <w:rFonts w:ascii="宋体" w:hAnsi="宋体" w:cs="宋体"/>
          <w:b/>
          <w:sz w:val="24"/>
          <w:highlight w:val="none"/>
        </w:rPr>
      </w:pPr>
      <w:r>
        <w:rPr>
          <w:rFonts w:hint="eastAsia" w:ascii="宋体" w:hAnsi="宋体" w:cs="宋体"/>
          <w:b/>
          <w:sz w:val="24"/>
          <w:highlight w:val="none"/>
        </w:rPr>
        <w:t>供应商（公章）：</w:t>
      </w:r>
    </w:p>
    <w:p>
      <w:pPr>
        <w:ind w:firstLine="5060" w:firstLineChars="2100"/>
        <w:rPr>
          <w:rFonts w:ascii="宋体" w:hAnsi="宋体" w:cs="宋体"/>
          <w:b/>
          <w:sz w:val="24"/>
          <w:highlight w:val="none"/>
        </w:rPr>
      </w:pPr>
    </w:p>
    <w:p>
      <w:pPr>
        <w:jc w:val="right"/>
        <w:rPr>
          <w:rFonts w:ascii="宋体" w:hAnsi="宋体" w:cs="宋体"/>
          <w:b/>
          <w:bCs/>
          <w:szCs w:val="21"/>
          <w:highlight w:val="none"/>
        </w:rPr>
      </w:pPr>
      <w:r>
        <w:rPr>
          <w:rFonts w:hint="eastAsia" w:ascii="宋体" w:hAnsi="宋体" w:cs="宋体"/>
          <w:b/>
          <w:bCs/>
          <w:szCs w:val="21"/>
          <w:highlight w:val="none"/>
        </w:rPr>
        <w:t>法定代表人或委托代理人：</w:t>
      </w:r>
      <w:r>
        <w:rPr>
          <w:rFonts w:hint="eastAsia" w:ascii="宋体" w:hAnsi="宋体" w:cs="宋体"/>
          <w:b/>
          <w:bCs/>
          <w:szCs w:val="21"/>
          <w:highlight w:val="none"/>
          <w:u w:val="single"/>
        </w:rPr>
        <w:t xml:space="preserve">           </w:t>
      </w:r>
      <w:r>
        <w:rPr>
          <w:rFonts w:hint="eastAsia" w:ascii="宋体" w:hAnsi="宋体" w:cs="宋体"/>
          <w:b/>
          <w:bCs/>
          <w:szCs w:val="21"/>
          <w:highlight w:val="none"/>
        </w:rPr>
        <w:t>（签字或盖章）</w:t>
      </w:r>
    </w:p>
    <w:p>
      <w:pPr>
        <w:ind w:firstLine="3795" w:firstLineChars="1800"/>
        <w:rPr>
          <w:rFonts w:ascii="宋体" w:hAnsi="宋体" w:cs="宋体"/>
          <w:b/>
          <w:bCs/>
          <w:szCs w:val="21"/>
          <w:highlight w:val="none"/>
        </w:rPr>
      </w:pPr>
    </w:p>
    <w:p>
      <w:pPr>
        <w:jc w:val="right"/>
        <w:rPr>
          <w:rFonts w:ascii="宋体" w:hAnsi="宋体" w:cs="宋体"/>
          <w:b/>
          <w:bCs/>
          <w:sz w:val="24"/>
          <w:highlight w:val="none"/>
        </w:rPr>
      </w:pPr>
      <w:r>
        <w:rPr>
          <w:rFonts w:hint="eastAsia" w:ascii="宋体" w:hAnsi="宋体" w:cs="宋体"/>
          <w:b/>
          <w:bCs/>
          <w:sz w:val="24"/>
          <w:highlight w:val="none"/>
        </w:rPr>
        <w:t>日期：</w:t>
      </w:r>
      <w:r>
        <w:rPr>
          <w:rFonts w:ascii="宋体" w:hAnsi="宋体" w:cs="宋体"/>
          <w:b/>
          <w:bCs/>
          <w:sz w:val="24"/>
          <w:highlight w:val="none"/>
        </w:rPr>
        <w:t>_____</w:t>
      </w:r>
      <w:r>
        <w:rPr>
          <w:rFonts w:hint="eastAsia" w:ascii="宋体" w:hAnsi="宋体" w:cs="宋体"/>
          <w:b/>
          <w:bCs/>
          <w:sz w:val="24"/>
          <w:highlight w:val="none"/>
        </w:rPr>
        <w:t>年</w:t>
      </w:r>
      <w:r>
        <w:rPr>
          <w:rFonts w:ascii="宋体" w:hAnsi="宋体" w:cs="宋体"/>
          <w:b/>
          <w:bCs/>
          <w:sz w:val="24"/>
          <w:highlight w:val="none"/>
        </w:rPr>
        <w:t>____</w:t>
      </w:r>
      <w:r>
        <w:rPr>
          <w:rFonts w:hint="eastAsia" w:ascii="宋体" w:hAnsi="宋体" w:cs="宋体"/>
          <w:b/>
          <w:bCs/>
          <w:sz w:val="24"/>
          <w:highlight w:val="none"/>
        </w:rPr>
        <w:t>月</w:t>
      </w:r>
      <w:r>
        <w:rPr>
          <w:rFonts w:ascii="宋体" w:hAnsi="宋体" w:cs="宋体"/>
          <w:b/>
          <w:bCs/>
          <w:sz w:val="24"/>
          <w:highlight w:val="none"/>
        </w:rPr>
        <w:t>____</w:t>
      </w:r>
      <w:r>
        <w:rPr>
          <w:rFonts w:hint="eastAsia" w:ascii="宋体" w:hAnsi="宋体" w:cs="宋体"/>
          <w:b/>
          <w:bCs/>
          <w:sz w:val="24"/>
          <w:highlight w:val="none"/>
        </w:rPr>
        <w:t>日</w:t>
      </w:r>
    </w:p>
    <w:p>
      <w:pPr>
        <w:jc w:val="right"/>
        <w:rPr>
          <w:rFonts w:ascii="宋体" w:hAnsi="宋体" w:cs="宋体"/>
          <w:b/>
          <w:bCs/>
          <w:sz w:val="24"/>
          <w:highlight w:val="none"/>
        </w:rPr>
      </w:pPr>
    </w:p>
    <w:p>
      <w:pPr>
        <w:rPr>
          <w:rFonts w:ascii="宋体" w:hAnsi="宋体" w:cs="宋体"/>
          <w:b/>
          <w:bCs/>
          <w:sz w:val="24"/>
          <w:highlight w:val="none"/>
        </w:rPr>
      </w:pPr>
    </w:p>
    <w:p>
      <w:pPr>
        <w:pStyle w:val="5"/>
        <w:rPr>
          <w:highlight w:val="none"/>
        </w:rPr>
      </w:pPr>
      <w:bookmarkStart w:id="166" w:name="_Toc26001"/>
      <w:bookmarkStart w:id="167" w:name="_Toc476584438"/>
      <w:r>
        <w:rPr>
          <w:rFonts w:hint="eastAsia"/>
          <w:highlight w:val="none"/>
        </w:rPr>
        <w:t>七、资格证明文件</w:t>
      </w:r>
      <w:bookmarkEnd w:id="166"/>
      <w:bookmarkEnd w:id="167"/>
    </w:p>
    <w:p>
      <w:pPr>
        <w:spacing w:line="360" w:lineRule="auto"/>
        <w:ind w:firstLine="420" w:firstLineChars="200"/>
        <w:rPr>
          <w:rFonts w:ascii="宋体"/>
          <w:szCs w:val="21"/>
          <w:highlight w:val="none"/>
        </w:rPr>
      </w:pPr>
      <w:r>
        <w:rPr>
          <w:rFonts w:ascii="宋体" w:hAnsi="宋体" w:cs="宋体"/>
          <w:szCs w:val="21"/>
          <w:highlight w:val="none"/>
        </w:rPr>
        <w:t>1</w:t>
      </w:r>
      <w:r>
        <w:rPr>
          <w:rFonts w:hint="eastAsia" w:ascii="宋体" w:hAnsi="宋体" w:cs="宋体"/>
          <w:szCs w:val="21"/>
          <w:highlight w:val="none"/>
        </w:rPr>
        <w:t>、</w:t>
      </w:r>
      <w:r>
        <w:rPr>
          <w:rFonts w:hint="eastAsia" w:ascii="宋体" w:hAnsi="宋体"/>
          <w:szCs w:val="21"/>
          <w:highlight w:val="none"/>
        </w:rPr>
        <w:t>营业执照；</w:t>
      </w:r>
    </w:p>
    <w:p>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、税务登记证；（如为三证合一的，只需提供三证合一的营业执照）</w:t>
      </w:r>
    </w:p>
    <w:p>
      <w:pPr>
        <w:spacing w:line="360" w:lineRule="auto"/>
        <w:ind w:firstLine="422" w:firstLineChars="200"/>
        <w:rPr>
          <w:rFonts w:ascii="宋体" w:hAnsi="宋体"/>
          <w:szCs w:val="21"/>
          <w:highlight w:val="none"/>
        </w:rPr>
      </w:pPr>
      <w:r>
        <w:rPr>
          <w:rFonts w:hint="eastAsia" w:ascii="宋体" w:hAnsi="宋体"/>
          <w:b/>
          <w:bCs/>
          <w:szCs w:val="21"/>
          <w:highlight w:val="none"/>
        </w:rPr>
        <w:t>3、</w:t>
      </w:r>
      <w:r>
        <w:rPr>
          <w:rFonts w:hint="eastAsia" w:ascii="宋体" w:hAnsi="宋体"/>
          <w:szCs w:val="21"/>
          <w:highlight w:val="none"/>
        </w:rPr>
        <w:t>缴纳税收和社保资金的证明材料复印件（只需提供近一年内任意月份）；</w:t>
      </w:r>
    </w:p>
    <w:p>
      <w:pPr>
        <w:spacing w:line="360" w:lineRule="auto"/>
        <w:ind w:firstLine="420" w:firstLineChars="200"/>
        <w:rPr>
          <w:rFonts w:ascii="宋体" w:hAnsi="宋体"/>
          <w:szCs w:val="21"/>
          <w:highlight w:val="none"/>
        </w:rPr>
      </w:pPr>
      <w:r>
        <w:rPr>
          <w:rFonts w:hint="eastAsia" w:ascii="宋体" w:hAnsi="宋体"/>
          <w:szCs w:val="21"/>
          <w:highlight w:val="none"/>
        </w:rPr>
        <w:t>银行、保险、石油化工、电力、电信等特殊行业的分公司取得总公司相关授权的，磋商文件中关于法定代表人的要求事项可由分公司负责人代理。</w:t>
      </w:r>
    </w:p>
    <w:p>
      <w:pPr>
        <w:spacing w:line="360" w:lineRule="auto"/>
        <w:ind w:firstLine="422" w:firstLineChars="200"/>
        <w:rPr>
          <w:rFonts w:ascii="宋体" w:hAnsi="宋体"/>
          <w:szCs w:val="21"/>
          <w:highlight w:val="none"/>
        </w:rPr>
      </w:pPr>
      <w:r>
        <w:rPr>
          <w:rFonts w:hint="eastAsia" w:ascii="宋体" w:hAnsi="宋体"/>
          <w:b/>
          <w:bCs/>
          <w:szCs w:val="21"/>
          <w:highlight w:val="none"/>
        </w:rPr>
        <w:t>4、供应商需具备省级及以上网络安全等级保护工作协调小组办公室颁发的网络安全等级保护测评机构推荐证书；</w:t>
      </w:r>
    </w:p>
    <w:p>
      <w:pPr>
        <w:spacing w:line="360" w:lineRule="auto"/>
        <w:ind w:firstLine="420" w:firstLineChars="200"/>
        <w:rPr>
          <w:rFonts w:ascii="宋体" w:cs="宋体"/>
          <w:szCs w:val="21"/>
          <w:highlight w:val="none"/>
        </w:rPr>
      </w:pPr>
      <w:r>
        <w:rPr>
          <w:rFonts w:hint="eastAsia" w:ascii="宋体" w:hAnsi="宋体"/>
          <w:szCs w:val="21"/>
          <w:highlight w:val="none"/>
        </w:rPr>
        <w:t>5、</w:t>
      </w:r>
      <w:r>
        <w:rPr>
          <w:rFonts w:hint="eastAsia" w:ascii="宋体" w:hAnsi="宋体" w:cs="宋体"/>
          <w:szCs w:val="21"/>
          <w:highlight w:val="none"/>
        </w:rPr>
        <w:t>履行合同所必需的设备专业技术能力证明文件。</w:t>
      </w:r>
      <w:r>
        <w:rPr>
          <w:rFonts w:hint="eastAsia" w:ascii="宋体" w:hAnsi="宋体" w:cs="宋体"/>
          <w:color w:val="000000"/>
          <w:szCs w:val="21"/>
          <w:highlight w:val="none"/>
        </w:rPr>
        <w:t>（由磋商响应人根据项目情况决定是否填写）</w:t>
      </w:r>
    </w:p>
    <w:p>
      <w:pPr>
        <w:spacing w:line="360" w:lineRule="auto"/>
        <w:ind w:firstLine="315" w:firstLineChars="15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）服务于本项目的专业设备一览表</w:t>
      </w:r>
    </w:p>
    <w:tbl>
      <w:tblPr>
        <w:tblStyle w:val="6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756"/>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39" w:type="dxa"/>
            <w:vAlign w:val="center"/>
          </w:tcPr>
          <w:p>
            <w:pPr>
              <w:spacing w:line="360" w:lineRule="auto"/>
              <w:jc w:val="center"/>
              <w:rPr>
                <w:rFonts w:ascii="宋体" w:cs="宋体"/>
                <w:szCs w:val="21"/>
                <w:highlight w:val="none"/>
              </w:rPr>
            </w:pPr>
            <w:r>
              <w:rPr>
                <w:rFonts w:hint="eastAsia" w:ascii="宋体" w:hAnsi="宋体" w:cs="宋体"/>
                <w:szCs w:val="21"/>
                <w:highlight w:val="none"/>
              </w:rPr>
              <w:t>序号</w:t>
            </w:r>
          </w:p>
        </w:tc>
        <w:tc>
          <w:tcPr>
            <w:tcW w:w="1756" w:type="dxa"/>
            <w:vAlign w:val="center"/>
          </w:tcPr>
          <w:p>
            <w:pPr>
              <w:spacing w:line="360" w:lineRule="auto"/>
              <w:jc w:val="center"/>
              <w:rPr>
                <w:rFonts w:ascii="宋体" w:cs="宋体"/>
                <w:szCs w:val="21"/>
                <w:highlight w:val="none"/>
              </w:rPr>
            </w:pPr>
            <w:r>
              <w:rPr>
                <w:rFonts w:hint="eastAsia" w:ascii="宋体" w:hAnsi="宋体" w:cs="宋体"/>
                <w:szCs w:val="21"/>
                <w:highlight w:val="none"/>
              </w:rPr>
              <w:t>设备名称</w:t>
            </w:r>
          </w:p>
        </w:tc>
        <w:tc>
          <w:tcPr>
            <w:tcW w:w="1453" w:type="dxa"/>
            <w:vAlign w:val="center"/>
          </w:tcPr>
          <w:p>
            <w:pPr>
              <w:spacing w:line="360" w:lineRule="auto"/>
              <w:jc w:val="center"/>
              <w:rPr>
                <w:rFonts w:ascii="宋体" w:cs="宋体"/>
                <w:szCs w:val="21"/>
                <w:highlight w:val="none"/>
              </w:rPr>
            </w:pPr>
            <w:r>
              <w:rPr>
                <w:rFonts w:hint="eastAsia" w:ascii="宋体" w:hAnsi="宋体" w:cs="宋体"/>
                <w:szCs w:val="21"/>
                <w:highlight w:val="none"/>
              </w:rPr>
              <w:t>购入时间</w:t>
            </w:r>
          </w:p>
        </w:tc>
        <w:tc>
          <w:tcPr>
            <w:tcW w:w="934" w:type="dxa"/>
            <w:vAlign w:val="center"/>
          </w:tcPr>
          <w:p>
            <w:pPr>
              <w:spacing w:line="360" w:lineRule="auto"/>
              <w:jc w:val="center"/>
              <w:rPr>
                <w:rFonts w:ascii="宋体" w:cs="宋体"/>
                <w:szCs w:val="21"/>
                <w:highlight w:val="none"/>
              </w:rPr>
            </w:pPr>
            <w:r>
              <w:rPr>
                <w:rFonts w:hint="eastAsia" w:ascii="宋体" w:hAnsi="宋体" w:cs="宋体"/>
                <w:szCs w:val="21"/>
                <w:highlight w:val="none"/>
              </w:rPr>
              <w:t>价值</w:t>
            </w:r>
          </w:p>
        </w:tc>
        <w:tc>
          <w:tcPr>
            <w:tcW w:w="878" w:type="dxa"/>
            <w:vAlign w:val="center"/>
          </w:tcPr>
          <w:p>
            <w:pPr>
              <w:spacing w:line="360" w:lineRule="auto"/>
              <w:jc w:val="center"/>
              <w:rPr>
                <w:rFonts w:ascii="宋体" w:cs="宋体"/>
                <w:szCs w:val="21"/>
                <w:highlight w:val="none"/>
              </w:rPr>
            </w:pPr>
            <w:r>
              <w:rPr>
                <w:rFonts w:hint="eastAsia" w:ascii="宋体" w:hAnsi="宋体" w:cs="宋体"/>
                <w:szCs w:val="21"/>
                <w:highlight w:val="none"/>
              </w:rPr>
              <w:t>数量</w:t>
            </w:r>
          </w:p>
        </w:tc>
        <w:tc>
          <w:tcPr>
            <w:tcW w:w="1495" w:type="dxa"/>
            <w:vAlign w:val="center"/>
          </w:tcPr>
          <w:p>
            <w:pPr>
              <w:spacing w:line="360" w:lineRule="auto"/>
              <w:jc w:val="center"/>
              <w:rPr>
                <w:rFonts w:ascii="宋体" w:cs="宋体"/>
                <w:szCs w:val="21"/>
                <w:highlight w:val="none"/>
              </w:rPr>
            </w:pPr>
            <w:r>
              <w:rPr>
                <w:rFonts w:hint="eastAsia" w:ascii="宋体" w:hAnsi="宋体" w:cs="宋体"/>
                <w:szCs w:val="21"/>
                <w:highlight w:val="none"/>
              </w:rPr>
              <w:t>生产厂家</w:t>
            </w:r>
          </w:p>
        </w:tc>
        <w:tc>
          <w:tcPr>
            <w:tcW w:w="1504" w:type="dxa"/>
            <w:vAlign w:val="center"/>
          </w:tcPr>
          <w:p>
            <w:pPr>
              <w:spacing w:line="360" w:lineRule="auto"/>
              <w:jc w:val="center"/>
              <w:rPr>
                <w:rFonts w:asci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9" w:type="dxa"/>
            <w:vAlign w:val="center"/>
          </w:tcPr>
          <w:p>
            <w:pPr>
              <w:spacing w:line="360" w:lineRule="auto"/>
              <w:ind w:firstLine="420" w:firstLineChars="200"/>
              <w:rPr>
                <w:rFonts w:ascii="宋体" w:cs="宋体"/>
                <w:szCs w:val="21"/>
                <w:highlight w:val="none"/>
              </w:rPr>
            </w:pPr>
          </w:p>
        </w:tc>
        <w:tc>
          <w:tcPr>
            <w:tcW w:w="1756" w:type="dxa"/>
            <w:vAlign w:val="center"/>
          </w:tcPr>
          <w:p>
            <w:pPr>
              <w:spacing w:line="360" w:lineRule="auto"/>
              <w:ind w:firstLine="420" w:firstLineChars="200"/>
              <w:rPr>
                <w:rFonts w:ascii="宋体" w:cs="宋体"/>
                <w:szCs w:val="21"/>
                <w:highlight w:val="none"/>
              </w:rPr>
            </w:pPr>
          </w:p>
        </w:tc>
        <w:tc>
          <w:tcPr>
            <w:tcW w:w="1453" w:type="dxa"/>
            <w:vAlign w:val="center"/>
          </w:tcPr>
          <w:p>
            <w:pPr>
              <w:spacing w:line="360" w:lineRule="auto"/>
              <w:ind w:firstLine="420" w:firstLineChars="200"/>
              <w:rPr>
                <w:rFonts w:ascii="宋体" w:cs="宋体"/>
                <w:szCs w:val="21"/>
                <w:highlight w:val="none"/>
              </w:rPr>
            </w:pPr>
          </w:p>
        </w:tc>
        <w:tc>
          <w:tcPr>
            <w:tcW w:w="934" w:type="dxa"/>
            <w:vAlign w:val="center"/>
          </w:tcPr>
          <w:p>
            <w:pPr>
              <w:spacing w:line="360" w:lineRule="auto"/>
              <w:ind w:firstLine="420" w:firstLineChars="200"/>
              <w:rPr>
                <w:rFonts w:ascii="宋体" w:cs="宋体"/>
                <w:szCs w:val="21"/>
                <w:highlight w:val="none"/>
              </w:rPr>
            </w:pPr>
          </w:p>
        </w:tc>
        <w:tc>
          <w:tcPr>
            <w:tcW w:w="878" w:type="dxa"/>
            <w:vAlign w:val="center"/>
          </w:tcPr>
          <w:p>
            <w:pPr>
              <w:spacing w:line="360" w:lineRule="auto"/>
              <w:ind w:firstLine="420" w:firstLineChars="200"/>
              <w:rPr>
                <w:rFonts w:ascii="宋体" w:cs="宋体"/>
                <w:szCs w:val="21"/>
                <w:highlight w:val="none"/>
              </w:rPr>
            </w:pPr>
          </w:p>
        </w:tc>
        <w:tc>
          <w:tcPr>
            <w:tcW w:w="1495" w:type="dxa"/>
            <w:vAlign w:val="center"/>
          </w:tcPr>
          <w:p>
            <w:pPr>
              <w:spacing w:line="360" w:lineRule="auto"/>
              <w:ind w:firstLine="420" w:firstLineChars="200"/>
              <w:rPr>
                <w:rFonts w:ascii="宋体" w:cs="宋体"/>
                <w:szCs w:val="21"/>
                <w:highlight w:val="none"/>
              </w:rPr>
            </w:pPr>
          </w:p>
        </w:tc>
        <w:tc>
          <w:tcPr>
            <w:tcW w:w="1504" w:type="dxa"/>
            <w:vAlign w:val="center"/>
          </w:tcPr>
          <w:p>
            <w:pPr>
              <w:spacing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39" w:type="dxa"/>
            <w:vAlign w:val="center"/>
          </w:tcPr>
          <w:p>
            <w:pPr>
              <w:spacing w:line="360" w:lineRule="auto"/>
              <w:ind w:firstLine="420" w:firstLineChars="200"/>
              <w:rPr>
                <w:rFonts w:ascii="宋体" w:cs="宋体"/>
                <w:szCs w:val="21"/>
                <w:highlight w:val="none"/>
              </w:rPr>
            </w:pPr>
          </w:p>
        </w:tc>
        <w:tc>
          <w:tcPr>
            <w:tcW w:w="1756" w:type="dxa"/>
            <w:vAlign w:val="center"/>
          </w:tcPr>
          <w:p>
            <w:pPr>
              <w:spacing w:line="360" w:lineRule="auto"/>
              <w:ind w:firstLine="420" w:firstLineChars="200"/>
              <w:rPr>
                <w:rFonts w:ascii="宋体" w:cs="宋体"/>
                <w:szCs w:val="21"/>
                <w:highlight w:val="none"/>
              </w:rPr>
            </w:pPr>
          </w:p>
        </w:tc>
        <w:tc>
          <w:tcPr>
            <w:tcW w:w="1453" w:type="dxa"/>
            <w:vAlign w:val="center"/>
          </w:tcPr>
          <w:p>
            <w:pPr>
              <w:spacing w:line="360" w:lineRule="auto"/>
              <w:ind w:firstLine="420" w:firstLineChars="200"/>
              <w:rPr>
                <w:rFonts w:ascii="宋体" w:cs="宋体"/>
                <w:szCs w:val="21"/>
                <w:highlight w:val="none"/>
              </w:rPr>
            </w:pPr>
          </w:p>
        </w:tc>
        <w:tc>
          <w:tcPr>
            <w:tcW w:w="934" w:type="dxa"/>
            <w:vAlign w:val="center"/>
          </w:tcPr>
          <w:p>
            <w:pPr>
              <w:spacing w:line="360" w:lineRule="auto"/>
              <w:ind w:firstLine="420" w:firstLineChars="200"/>
              <w:rPr>
                <w:rFonts w:ascii="宋体" w:cs="宋体"/>
                <w:szCs w:val="21"/>
                <w:highlight w:val="none"/>
              </w:rPr>
            </w:pPr>
          </w:p>
        </w:tc>
        <w:tc>
          <w:tcPr>
            <w:tcW w:w="878" w:type="dxa"/>
            <w:vAlign w:val="center"/>
          </w:tcPr>
          <w:p>
            <w:pPr>
              <w:spacing w:line="360" w:lineRule="auto"/>
              <w:ind w:firstLine="420" w:firstLineChars="200"/>
              <w:rPr>
                <w:rFonts w:ascii="宋体" w:cs="宋体"/>
                <w:szCs w:val="21"/>
                <w:highlight w:val="none"/>
              </w:rPr>
            </w:pPr>
          </w:p>
        </w:tc>
        <w:tc>
          <w:tcPr>
            <w:tcW w:w="1495" w:type="dxa"/>
            <w:vAlign w:val="center"/>
          </w:tcPr>
          <w:p>
            <w:pPr>
              <w:spacing w:line="360" w:lineRule="auto"/>
              <w:ind w:firstLine="420" w:firstLineChars="200"/>
              <w:rPr>
                <w:rFonts w:ascii="宋体" w:cs="宋体"/>
                <w:szCs w:val="21"/>
                <w:highlight w:val="none"/>
              </w:rPr>
            </w:pPr>
          </w:p>
        </w:tc>
        <w:tc>
          <w:tcPr>
            <w:tcW w:w="1504" w:type="dxa"/>
            <w:vAlign w:val="center"/>
          </w:tcPr>
          <w:p>
            <w:pPr>
              <w:spacing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9" w:type="dxa"/>
            <w:vAlign w:val="center"/>
          </w:tcPr>
          <w:p>
            <w:pPr>
              <w:spacing w:line="360" w:lineRule="auto"/>
              <w:ind w:firstLine="420" w:firstLineChars="200"/>
              <w:rPr>
                <w:rFonts w:ascii="宋体" w:cs="宋体"/>
                <w:szCs w:val="21"/>
                <w:highlight w:val="none"/>
              </w:rPr>
            </w:pPr>
          </w:p>
        </w:tc>
        <w:tc>
          <w:tcPr>
            <w:tcW w:w="1756" w:type="dxa"/>
            <w:vAlign w:val="center"/>
          </w:tcPr>
          <w:p>
            <w:pPr>
              <w:spacing w:line="360" w:lineRule="auto"/>
              <w:ind w:firstLine="420" w:firstLineChars="200"/>
              <w:rPr>
                <w:rFonts w:ascii="宋体" w:cs="宋体"/>
                <w:szCs w:val="21"/>
                <w:highlight w:val="none"/>
              </w:rPr>
            </w:pPr>
          </w:p>
        </w:tc>
        <w:tc>
          <w:tcPr>
            <w:tcW w:w="1453" w:type="dxa"/>
            <w:vAlign w:val="center"/>
          </w:tcPr>
          <w:p>
            <w:pPr>
              <w:spacing w:line="360" w:lineRule="auto"/>
              <w:ind w:firstLine="420" w:firstLineChars="200"/>
              <w:rPr>
                <w:rFonts w:ascii="宋体" w:cs="宋体"/>
                <w:szCs w:val="21"/>
                <w:highlight w:val="none"/>
              </w:rPr>
            </w:pPr>
          </w:p>
        </w:tc>
        <w:tc>
          <w:tcPr>
            <w:tcW w:w="934" w:type="dxa"/>
            <w:vAlign w:val="center"/>
          </w:tcPr>
          <w:p>
            <w:pPr>
              <w:spacing w:line="360" w:lineRule="auto"/>
              <w:ind w:firstLine="420" w:firstLineChars="200"/>
              <w:rPr>
                <w:rFonts w:ascii="宋体" w:cs="宋体"/>
                <w:szCs w:val="21"/>
                <w:highlight w:val="none"/>
              </w:rPr>
            </w:pPr>
          </w:p>
        </w:tc>
        <w:tc>
          <w:tcPr>
            <w:tcW w:w="878" w:type="dxa"/>
            <w:vAlign w:val="center"/>
          </w:tcPr>
          <w:p>
            <w:pPr>
              <w:spacing w:line="360" w:lineRule="auto"/>
              <w:ind w:firstLine="420" w:firstLineChars="200"/>
              <w:rPr>
                <w:rFonts w:ascii="宋体" w:cs="宋体"/>
                <w:szCs w:val="21"/>
                <w:highlight w:val="none"/>
              </w:rPr>
            </w:pPr>
          </w:p>
        </w:tc>
        <w:tc>
          <w:tcPr>
            <w:tcW w:w="1495" w:type="dxa"/>
            <w:vAlign w:val="center"/>
          </w:tcPr>
          <w:p>
            <w:pPr>
              <w:spacing w:line="360" w:lineRule="auto"/>
              <w:ind w:firstLine="420" w:firstLineChars="200"/>
              <w:rPr>
                <w:rFonts w:ascii="宋体" w:cs="宋体"/>
                <w:szCs w:val="21"/>
                <w:highlight w:val="none"/>
              </w:rPr>
            </w:pPr>
          </w:p>
        </w:tc>
        <w:tc>
          <w:tcPr>
            <w:tcW w:w="1504" w:type="dxa"/>
            <w:vAlign w:val="center"/>
          </w:tcPr>
          <w:p>
            <w:pPr>
              <w:spacing w:line="360" w:lineRule="auto"/>
              <w:ind w:firstLine="420" w:firstLineChars="200"/>
              <w:rPr>
                <w:rFonts w:ascii="宋体" w:cs="宋体"/>
                <w:szCs w:val="21"/>
                <w:highlight w:val="none"/>
              </w:rPr>
            </w:pPr>
          </w:p>
        </w:tc>
      </w:tr>
    </w:tbl>
    <w:p>
      <w:pPr>
        <w:spacing w:line="360" w:lineRule="auto"/>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）服务本项目人员一览表</w:t>
      </w:r>
    </w:p>
    <w:tbl>
      <w:tblPr>
        <w:tblStyle w:val="60"/>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87"/>
        <w:gridCol w:w="1185"/>
        <w:gridCol w:w="1185"/>
        <w:gridCol w:w="1974"/>
        <w:gridCol w:w="98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44" w:type="dxa"/>
            <w:vMerge w:val="restart"/>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类别</w:t>
            </w:r>
          </w:p>
        </w:tc>
        <w:tc>
          <w:tcPr>
            <w:tcW w:w="1187" w:type="dxa"/>
            <w:vMerge w:val="restart"/>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姓名</w:t>
            </w:r>
          </w:p>
        </w:tc>
        <w:tc>
          <w:tcPr>
            <w:tcW w:w="1185" w:type="dxa"/>
            <w:vMerge w:val="restart"/>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职务</w:t>
            </w:r>
          </w:p>
        </w:tc>
        <w:tc>
          <w:tcPr>
            <w:tcW w:w="1185" w:type="dxa"/>
            <w:vMerge w:val="restart"/>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职称</w:t>
            </w:r>
          </w:p>
        </w:tc>
        <w:tc>
          <w:tcPr>
            <w:tcW w:w="1974" w:type="dxa"/>
            <w:vMerge w:val="restart"/>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手机号</w:t>
            </w:r>
          </w:p>
        </w:tc>
        <w:tc>
          <w:tcPr>
            <w:tcW w:w="2172" w:type="dxa"/>
            <w:gridSpan w:val="2"/>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44" w:type="dxa"/>
            <w:vMerge w:val="continue"/>
            <w:vAlign w:val="center"/>
          </w:tcPr>
          <w:p>
            <w:pPr>
              <w:spacing w:before="100" w:beforeAutospacing="1" w:after="100" w:afterAutospacing="1" w:line="360" w:lineRule="auto"/>
              <w:ind w:firstLine="420" w:firstLineChars="200"/>
              <w:jc w:val="center"/>
              <w:rPr>
                <w:rFonts w:ascii="宋体" w:cs="宋体"/>
                <w:szCs w:val="21"/>
                <w:highlight w:val="none"/>
              </w:rPr>
            </w:pPr>
          </w:p>
        </w:tc>
        <w:tc>
          <w:tcPr>
            <w:tcW w:w="1187" w:type="dxa"/>
            <w:vMerge w:val="continue"/>
            <w:vAlign w:val="center"/>
          </w:tcPr>
          <w:p>
            <w:pPr>
              <w:spacing w:before="100" w:beforeAutospacing="1" w:after="100" w:afterAutospacing="1" w:line="360" w:lineRule="auto"/>
              <w:ind w:firstLine="420" w:firstLineChars="200"/>
              <w:jc w:val="center"/>
              <w:rPr>
                <w:rFonts w:ascii="宋体" w:cs="宋体"/>
                <w:szCs w:val="21"/>
                <w:highlight w:val="none"/>
              </w:rPr>
            </w:pPr>
          </w:p>
        </w:tc>
        <w:tc>
          <w:tcPr>
            <w:tcW w:w="1185" w:type="dxa"/>
            <w:vMerge w:val="continue"/>
            <w:vAlign w:val="center"/>
          </w:tcPr>
          <w:p>
            <w:pPr>
              <w:spacing w:before="100" w:beforeAutospacing="1" w:after="100" w:afterAutospacing="1" w:line="360" w:lineRule="auto"/>
              <w:ind w:firstLine="420" w:firstLineChars="200"/>
              <w:jc w:val="center"/>
              <w:rPr>
                <w:rFonts w:ascii="宋体" w:cs="宋体"/>
                <w:szCs w:val="21"/>
                <w:highlight w:val="none"/>
              </w:rPr>
            </w:pPr>
          </w:p>
        </w:tc>
        <w:tc>
          <w:tcPr>
            <w:tcW w:w="1185" w:type="dxa"/>
            <w:vMerge w:val="continue"/>
            <w:vAlign w:val="center"/>
          </w:tcPr>
          <w:p>
            <w:pPr>
              <w:spacing w:before="100" w:beforeAutospacing="1" w:after="100" w:afterAutospacing="1" w:line="360" w:lineRule="auto"/>
              <w:ind w:firstLine="420" w:firstLineChars="200"/>
              <w:jc w:val="center"/>
              <w:rPr>
                <w:rFonts w:ascii="宋体" w:cs="宋体"/>
                <w:szCs w:val="21"/>
                <w:highlight w:val="none"/>
              </w:rPr>
            </w:pPr>
          </w:p>
        </w:tc>
        <w:tc>
          <w:tcPr>
            <w:tcW w:w="1974" w:type="dxa"/>
            <w:vMerge w:val="continue"/>
            <w:vAlign w:val="center"/>
          </w:tcPr>
          <w:p>
            <w:pPr>
              <w:spacing w:before="100" w:beforeAutospacing="1" w:after="100" w:afterAutospacing="1" w:line="360" w:lineRule="auto"/>
              <w:ind w:firstLine="420" w:firstLineChars="200"/>
              <w:jc w:val="center"/>
              <w:rPr>
                <w:rFonts w:ascii="宋体" w:cs="宋体"/>
                <w:szCs w:val="21"/>
                <w:highlight w:val="none"/>
              </w:rPr>
            </w:pPr>
          </w:p>
        </w:tc>
        <w:tc>
          <w:tcPr>
            <w:tcW w:w="987" w:type="dxa"/>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名称</w:t>
            </w:r>
          </w:p>
        </w:tc>
        <w:tc>
          <w:tcPr>
            <w:tcW w:w="1185" w:type="dxa"/>
            <w:vAlign w:val="center"/>
          </w:tcPr>
          <w:p>
            <w:pPr>
              <w:spacing w:before="100" w:beforeAutospacing="1" w:after="100" w:afterAutospacing="1" w:line="360" w:lineRule="auto"/>
              <w:jc w:val="center"/>
              <w:rPr>
                <w:rFonts w:ascii="宋体" w:cs="宋体"/>
                <w:szCs w:val="21"/>
                <w:highlight w:val="none"/>
              </w:rPr>
            </w:pPr>
            <w:r>
              <w:rPr>
                <w:rFonts w:hint="eastAsia" w:ascii="宋体" w:hAnsi="宋体" w:cs="宋体"/>
                <w:szCs w:val="21"/>
                <w:highlight w:val="none"/>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4" w:type="dxa"/>
            <w:vMerge w:val="restart"/>
            <w:textDirection w:val="tbRlV"/>
            <w:vAlign w:val="center"/>
          </w:tcPr>
          <w:p>
            <w:pPr>
              <w:spacing w:before="100" w:beforeAutospacing="1" w:after="100" w:afterAutospacing="1" w:line="360" w:lineRule="auto"/>
              <w:ind w:firstLine="420" w:firstLineChars="200"/>
              <w:rPr>
                <w:rFonts w:ascii="宋体" w:cs="宋体"/>
                <w:szCs w:val="21"/>
                <w:highlight w:val="none"/>
              </w:rPr>
            </w:pPr>
            <w:r>
              <w:rPr>
                <w:rFonts w:hint="eastAsia" w:ascii="宋体" w:hAnsi="宋体" w:cs="宋体"/>
                <w:szCs w:val="21"/>
                <w:highlight w:val="none"/>
              </w:rPr>
              <w:t>管理人员</w:t>
            </w: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4" w:type="dxa"/>
            <w:vMerge w:val="continue"/>
            <w:vAlign w:val="center"/>
          </w:tcPr>
          <w:p>
            <w:pPr>
              <w:spacing w:before="100" w:beforeAutospacing="1" w:after="100" w:afterAutospacing="1" w:line="360" w:lineRule="auto"/>
              <w:ind w:firstLine="420" w:firstLineChars="200"/>
              <w:rPr>
                <w:rFonts w:ascii="宋体" w:cs="宋体"/>
                <w:szCs w:val="21"/>
                <w:highlight w:val="none"/>
              </w:rPr>
            </w:pP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44" w:type="dxa"/>
            <w:vMerge w:val="continue"/>
            <w:vAlign w:val="center"/>
          </w:tcPr>
          <w:p>
            <w:pPr>
              <w:spacing w:before="100" w:beforeAutospacing="1" w:after="100" w:afterAutospacing="1" w:line="360" w:lineRule="auto"/>
              <w:ind w:firstLine="420" w:firstLineChars="200"/>
              <w:rPr>
                <w:rFonts w:ascii="宋体" w:cs="宋体"/>
                <w:szCs w:val="21"/>
                <w:highlight w:val="none"/>
              </w:rPr>
            </w:pP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4" w:type="dxa"/>
            <w:vMerge w:val="restart"/>
            <w:textDirection w:val="tbRlV"/>
            <w:vAlign w:val="center"/>
          </w:tcPr>
          <w:p>
            <w:pPr>
              <w:spacing w:before="100" w:beforeAutospacing="1" w:after="100" w:afterAutospacing="1" w:line="360" w:lineRule="auto"/>
              <w:ind w:firstLine="420" w:firstLineChars="200"/>
              <w:rPr>
                <w:rFonts w:ascii="宋体" w:cs="宋体"/>
                <w:szCs w:val="21"/>
                <w:highlight w:val="none"/>
              </w:rPr>
            </w:pPr>
            <w:r>
              <w:rPr>
                <w:rFonts w:hint="eastAsia" w:ascii="宋体" w:hAnsi="宋体" w:cs="宋体"/>
                <w:szCs w:val="21"/>
                <w:highlight w:val="none"/>
              </w:rPr>
              <w:t>技术人员</w:t>
            </w: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44" w:type="dxa"/>
            <w:vMerge w:val="continue"/>
            <w:vAlign w:val="center"/>
          </w:tcPr>
          <w:p>
            <w:pPr>
              <w:spacing w:before="100" w:beforeAutospacing="1" w:after="100" w:afterAutospacing="1" w:line="360" w:lineRule="auto"/>
              <w:ind w:firstLine="420" w:firstLineChars="200"/>
              <w:rPr>
                <w:rFonts w:ascii="宋体" w:cs="宋体"/>
                <w:szCs w:val="21"/>
                <w:highlight w:val="none"/>
              </w:rPr>
            </w:pP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44" w:type="dxa"/>
            <w:vMerge w:val="continue"/>
            <w:vAlign w:val="center"/>
          </w:tcPr>
          <w:p>
            <w:pPr>
              <w:spacing w:before="100" w:beforeAutospacing="1" w:after="100" w:afterAutospacing="1" w:line="360" w:lineRule="auto"/>
              <w:ind w:firstLine="420" w:firstLineChars="200"/>
              <w:rPr>
                <w:rFonts w:ascii="宋体" w:cs="宋体"/>
                <w:szCs w:val="21"/>
                <w:highlight w:val="none"/>
              </w:rPr>
            </w:pP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4" w:type="dxa"/>
            <w:vMerge w:val="restart"/>
            <w:textDirection w:val="tbRlV"/>
            <w:vAlign w:val="center"/>
          </w:tcPr>
          <w:p>
            <w:pPr>
              <w:spacing w:before="100" w:beforeAutospacing="1" w:after="100" w:afterAutospacing="1" w:line="360" w:lineRule="auto"/>
              <w:ind w:firstLine="420" w:firstLineChars="200"/>
              <w:jc w:val="center"/>
              <w:rPr>
                <w:rFonts w:ascii="宋体" w:cs="宋体"/>
                <w:szCs w:val="21"/>
                <w:highlight w:val="none"/>
              </w:rPr>
            </w:pPr>
            <w:r>
              <w:rPr>
                <w:rFonts w:hint="eastAsia" w:ascii="宋体" w:hAnsi="宋体" w:cs="宋体"/>
                <w:szCs w:val="21"/>
                <w:highlight w:val="none"/>
              </w:rPr>
              <w:t>其他</w:t>
            </w: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44" w:type="dxa"/>
            <w:vMerge w:val="continue"/>
            <w:textDirection w:val="tbRlV"/>
            <w:vAlign w:val="center"/>
          </w:tcPr>
          <w:p>
            <w:pPr>
              <w:spacing w:before="100" w:beforeAutospacing="1" w:after="100" w:afterAutospacing="1" w:line="360" w:lineRule="auto"/>
              <w:ind w:firstLine="420" w:firstLineChars="200"/>
              <w:rPr>
                <w:rFonts w:ascii="宋体" w:cs="宋体"/>
                <w:szCs w:val="21"/>
                <w:highlight w:val="none"/>
              </w:rPr>
            </w:pP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4" w:type="dxa"/>
            <w:vMerge w:val="continue"/>
          </w:tcPr>
          <w:p>
            <w:pPr>
              <w:spacing w:before="100" w:beforeAutospacing="1" w:after="100" w:afterAutospacing="1" w:line="360" w:lineRule="auto"/>
              <w:ind w:firstLine="420" w:firstLineChars="200"/>
              <w:rPr>
                <w:rFonts w:ascii="宋体" w:cs="宋体"/>
                <w:szCs w:val="21"/>
                <w:highlight w:val="none"/>
              </w:rPr>
            </w:pP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44" w:type="dxa"/>
            <w:vMerge w:val="continue"/>
          </w:tcPr>
          <w:p>
            <w:pPr>
              <w:spacing w:before="100" w:beforeAutospacing="1" w:after="100" w:afterAutospacing="1" w:line="360" w:lineRule="auto"/>
              <w:ind w:firstLine="420" w:firstLineChars="200"/>
              <w:rPr>
                <w:rFonts w:ascii="宋体" w:cs="宋体"/>
                <w:szCs w:val="21"/>
                <w:highlight w:val="none"/>
              </w:rPr>
            </w:pPr>
          </w:p>
        </w:tc>
        <w:tc>
          <w:tcPr>
            <w:tcW w:w="11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c>
          <w:tcPr>
            <w:tcW w:w="1974" w:type="dxa"/>
          </w:tcPr>
          <w:p>
            <w:pPr>
              <w:spacing w:before="100" w:beforeAutospacing="1" w:after="100" w:afterAutospacing="1" w:line="360" w:lineRule="auto"/>
              <w:ind w:firstLine="420" w:firstLineChars="200"/>
              <w:rPr>
                <w:rFonts w:ascii="宋体" w:cs="宋体"/>
                <w:szCs w:val="21"/>
                <w:highlight w:val="none"/>
              </w:rPr>
            </w:pPr>
          </w:p>
        </w:tc>
        <w:tc>
          <w:tcPr>
            <w:tcW w:w="987" w:type="dxa"/>
          </w:tcPr>
          <w:p>
            <w:pPr>
              <w:spacing w:before="100" w:beforeAutospacing="1" w:after="100" w:afterAutospacing="1" w:line="360" w:lineRule="auto"/>
              <w:ind w:firstLine="420" w:firstLineChars="200"/>
              <w:rPr>
                <w:rFonts w:ascii="宋体" w:cs="宋体"/>
                <w:szCs w:val="21"/>
                <w:highlight w:val="none"/>
              </w:rPr>
            </w:pPr>
          </w:p>
        </w:tc>
        <w:tc>
          <w:tcPr>
            <w:tcW w:w="1185" w:type="dxa"/>
          </w:tcPr>
          <w:p>
            <w:pPr>
              <w:spacing w:before="100" w:beforeAutospacing="1" w:after="100" w:afterAutospacing="1" w:line="360" w:lineRule="auto"/>
              <w:ind w:firstLine="420" w:firstLineChars="200"/>
              <w:rPr>
                <w:rFonts w:ascii="宋体" w:cs="宋体"/>
                <w:szCs w:val="21"/>
                <w:highlight w:val="none"/>
              </w:rPr>
            </w:pPr>
          </w:p>
        </w:tc>
      </w:tr>
    </w:tbl>
    <w:p>
      <w:pPr>
        <w:spacing w:line="360" w:lineRule="auto"/>
        <w:ind w:firstLine="420" w:firstLineChars="200"/>
        <w:rPr>
          <w:rFonts w:ascii="宋体"/>
          <w:szCs w:val="21"/>
          <w:highlight w:val="none"/>
        </w:rPr>
      </w:pPr>
      <w:r>
        <w:rPr>
          <w:rFonts w:hint="eastAsia" w:ascii="宋体" w:hAnsi="宋体"/>
          <w:szCs w:val="21"/>
          <w:highlight w:val="none"/>
        </w:rPr>
        <w:t>6、参加政府采购活动前</w:t>
      </w:r>
      <w:r>
        <w:rPr>
          <w:rFonts w:ascii="宋体" w:hAnsi="宋体"/>
          <w:szCs w:val="21"/>
          <w:highlight w:val="none"/>
        </w:rPr>
        <w:t>3</w:t>
      </w:r>
      <w:r>
        <w:rPr>
          <w:rFonts w:hint="eastAsia" w:ascii="宋体" w:hAnsi="宋体"/>
          <w:szCs w:val="21"/>
          <w:highlight w:val="none"/>
        </w:rPr>
        <w:t>年内在经营活动中没有重大违法记录的书面声明；</w:t>
      </w:r>
    </w:p>
    <w:p>
      <w:pPr>
        <w:spacing w:line="360" w:lineRule="auto"/>
        <w:jc w:val="center"/>
        <w:rPr>
          <w:rFonts w:ascii="宋体"/>
          <w:szCs w:val="21"/>
          <w:highlight w:val="none"/>
        </w:rPr>
      </w:pPr>
      <w:r>
        <w:rPr>
          <w:rFonts w:hint="eastAsia" w:ascii="宋体" w:hAnsi="宋体"/>
          <w:szCs w:val="21"/>
          <w:highlight w:val="none"/>
        </w:rPr>
        <w:t>声</w:t>
      </w:r>
      <w:r>
        <w:rPr>
          <w:rFonts w:ascii="宋体" w:hAnsi="宋体"/>
          <w:szCs w:val="21"/>
          <w:highlight w:val="none"/>
        </w:rPr>
        <w:t xml:space="preserve">  </w:t>
      </w:r>
      <w:r>
        <w:rPr>
          <w:rFonts w:hint="eastAsia" w:ascii="宋体" w:hAnsi="宋体"/>
          <w:szCs w:val="21"/>
          <w:highlight w:val="none"/>
        </w:rPr>
        <w:t>明</w:t>
      </w:r>
    </w:p>
    <w:p>
      <w:pPr>
        <w:spacing w:line="360" w:lineRule="auto"/>
        <w:ind w:firstLine="420" w:firstLineChars="200"/>
        <w:rPr>
          <w:rFonts w:ascii="宋体"/>
          <w:szCs w:val="21"/>
          <w:highlight w:val="none"/>
        </w:rPr>
      </w:pPr>
      <w:r>
        <w:rPr>
          <w:rFonts w:hint="eastAsia" w:ascii="宋体" w:hAnsi="宋体"/>
          <w:szCs w:val="21"/>
          <w:highlight w:val="none"/>
        </w:rPr>
        <w:t>致</w:t>
      </w:r>
      <w:r>
        <w:rPr>
          <w:rFonts w:ascii="宋体" w:hAnsi="宋体"/>
          <w:szCs w:val="21"/>
          <w:highlight w:val="none"/>
        </w:rPr>
        <w:t>:</w:t>
      </w:r>
      <w:r>
        <w:rPr>
          <w:rFonts w:hint="eastAsia" w:ascii="宋体" w:hAnsi="宋体"/>
          <w:szCs w:val="21"/>
          <w:highlight w:val="none"/>
        </w:rPr>
        <w:t>安庆职业技术学院</w:t>
      </w:r>
    </w:p>
    <w:p>
      <w:pPr>
        <w:spacing w:line="360" w:lineRule="auto"/>
        <w:ind w:left="420" w:leftChars="200" w:firstLine="525" w:firstLineChars="250"/>
        <w:rPr>
          <w:rFonts w:ascii="宋体"/>
          <w:szCs w:val="21"/>
          <w:highlight w:val="none"/>
        </w:rPr>
      </w:pPr>
      <w:r>
        <w:rPr>
          <w:rFonts w:hint="eastAsia" w:ascii="宋体" w:hAnsi="宋体"/>
          <w:szCs w:val="21"/>
          <w:highlight w:val="none"/>
        </w:rPr>
        <w:t>我单位在参加政府采购活动前</w:t>
      </w:r>
      <w:r>
        <w:rPr>
          <w:rFonts w:ascii="宋体" w:hAnsi="宋体"/>
          <w:szCs w:val="21"/>
          <w:highlight w:val="none"/>
        </w:rPr>
        <w:t>3</w:t>
      </w:r>
      <w:r>
        <w:rPr>
          <w:rFonts w:hint="eastAsia" w:ascii="宋体" w:hAnsi="宋体"/>
          <w:szCs w:val="21"/>
          <w:highlight w:val="none"/>
        </w:rPr>
        <w:t>年内在经营活动中没有政府采购法第二十二条第一款第（五）项所称重大违法记录，包括：</w:t>
      </w:r>
    </w:p>
    <w:p>
      <w:pPr>
        <w:spacing w:line="360" w:lineRule="auto"/>
        <w:ind w:left="420" w:leftChars="200" w:firstLine="420" w:firstLineChars="200"/>
        <w:rPr>
          <w:rFonts w:ascii="宋体"/>
          <w:szCs w:val="21"/>
          <w:highlight w:val="none"/>
        </w:rPr>
      </w:pPr>
      <w:r>
        <w:rPr>
          <w:rFonts w:hint="eastAsia" w:ascii="宋体" w:hAnsi="宋体"/>
          <w:szCs w:val="21"/>
          <w:highlight w:val="none"/>
        </w:rPr>
        <w:t>我单位因违法经营受到刑事处罚或者责令停产停业、吊销许可证或者执照、较大数额罚款等行政处罚。</w:t>
      </w:r>
    </w:p>
    <w:p>
      <w:pPr>
        <w:spacing w:line="360" w:lineRule="auto"/>
        <w:ind w:firstLine="420" w:firstLineChars="200"/>
        <w:rPr>
          <w:rFonts w:ascii="宋体"/>
          <w:szCs w:val="21"/>
          <w:highlight w:val="none"/>
        </w:rPr>
      </w:pPr>
      <w:r>
        <w:rPr>
          <w:rFonts w:hint="eastAsia" w:ascii="宋体" w:hAnsi="宋体"/>
          <w:szCs w:val="21"/>
          <w:highlight w:val="none"/>
        </w:rPr>
        <w:t>特此声明！</w:t>
      </w:r>
      <w:r>
        <w:rPr>
          <w:rFonts w:ascii="宋体" w:hAnsi="宋体"/>
          <w:szCs w:val="21"/>
          <w:highlight w:val="none"/>
        </w:rPr>
        <w:t xml:space="preserve">                                              </w:t>
      </w:r>
    </w:p>
    <w:p>
      <w:pPr>
        <w:spacing w:line="360" w:lineRule="auto"/>
        <w:ind w:firstLine="420" w:firstLineChars="200"/>
        <w:rPr>
          <w:rFonts w:ascii="宋体"/>
          <w:szCs w:val="21"/>
          <w:highlight w:val="none"/>
        </w:rPr>
      </w:pPr>
    </w:p>
    <w:p>
      <w:pPr>
        <w:spacing w:line="360" w:lineRule="auto"/>
        <w:ind w:firstLine="5040" w:firstLineChars="2400"/>
        <w:rPr>
          <w:rFonts w:ascii="宋体"/>
          <w:szCs w:val="21"/>
          <w:highlight w:val="none"/>
        </w:rPr>
      </w:pPr>
      <w:r>
        <w:rPr>
          <w:rFonts w:hint="eastAsia" w:ascii="宋体" w:hAnsi="宋体"/>
          <w:szCs w:val="21"/>
          <w:highlight w:val="none"/>
        </w:rPr>
        <w:t>供应商名称：（盖章）</w:t>
      </w:r>
    </w:p>
    <w:p>
      <w:pPr>
        <w:spacing w:line="360" w:lineRule="auto"/>
        <w:ind w:firstLine="420" w:firstLineChars="200"/>
        <w:rPr>
          <w:rFonts w:ascii="宋体"/>
          <w:szCs w:val="21"/>
          <w:highlight w:val="none"/>
        </w:rPr>
      </w:pPr>
      <w:r>
        <w:rPr>
          <w:rFonts w:ascii="宋体" w:hAnsi="宋体"/>
          <w:szCs w:val="21"/>
          <w:highlight w:val="none"/>
        </w:rPr>
        <w:t xml:space="preserve">                                        </w:t>
      </w:r>
      <w:r>
        <w:rPr>
          <w:rFonts w:hint="eastAsia" w:ascii="宋体" w:hAnsi="宋体"/>
          <w:szCs w:val="21"/>
          <w:highlight w:val="none"/>
        </w:rPr>
        <w:t xml:space="preserve">   法定代表人或委托代理人（签字或盖章）：</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spacing w:line="360" w:lineRule="auto"/>
        <w:ind w:firstLine="420" w:firstLineChars="200"/>
        <w:rPr>
          <w:rFonts w:ascii="宋体"/>
          <w:szCs w:val="21"/>
          <w:highlight w:val="none"/>
        </w:rPr>
      </w:pPr>
    </w:p>
    <w:p>
      <w:pPr>
        <w:pStyle w:val="414"/>
        <w:spacing w:line="360" w:lineRule="auto"/>
        <w:ind w:left="420" w:firstLine="0" w:firstLineChars="0"/>
        <w:rPr>
          <w:rFonts w:ascii="宋体" w:hAnsi="宋体"/>
          <w:b/>
          <w:szCs w:val="21"/>
          <w:highlight w:val="none"/>
        </w:rPr>
      </w:pPr>
      <w:r>
        <w:rPr>
          <w:rFonts w:hint="eastAsia" w:ascii="宋体" w:hAnsi="宋体"/>
          <w:b/>
          <w:szCs w:val="21"/>
          <w:highlight w:val="none"/>
        </w:rPr>
        <w:t>7、不在财政部门依法作出的禁止参加政府采购活动的行政处罚期限内的书面声明；</w:t>
      </w:r>
    </w:p>
    <w:p>
      <w:pPr>
        <w:spacing w:line="360" w:lineRule="auto"/>
        <w:jc w:val="center"/>
        <w:rPr>
          <w:rFonts w:ascii="Arial" w:hAnsi="Arial" w:cs="Arial"/>
          <w:b/>
          <w:kern w:val="0"/>
          <w:sz w:val="24"/>
          <w:szCs w:val="18"/>
          <w:highlight w:val="none"/>
        </w:rPr>
      </w:pPr>
      <w:r>
        <w:rPr>
          <w:rFonts w:hint="eastAsia" w:ascii="Arial" w:hAnsi="Arial" w:cs="Arial"/>
          <w:b/>
          <w:kern w:val="0"/>
          <w:sz w:val="24"/>
          <w:szCs w:val="18"/>
          <w:highlight w:val="none"/>
        </w:rPr>
        <w:t>声明</w:t>
      </w:r>
    </w:p>
    <w:p>
      <w:pPr>
        <w:spacing w:line="360" w:lineRule="auto"/>
        <w:ind w:firstLine="420" w:firstLineChars="200"/>
        <w:rPr>
          <w:rFonts w:ascii="宋体" w:hAnsi="宋体"/>
          <w:szCs w:val="21"/>
          <w:highlight w:val="none"/>
        </w:rPr>
      </w:pPr>
      <w:r>
        <w:rPr>
          <w:rFonts w:hint="eastAsia" w:ascii="宋体" w:hAnsi="宋体"/>
          <w:szCs w:val="21"/>
          <w:highlight w:val="none"/>
        </w:rPr>
        <w:t>致:安庆职业技术学院</w:t>
      </w:r>
    </w:p>
    <w:p>
      <w:pPr>
        <w:spacing w:line="360" w:lineRule="auto"/>
        <w:ind w:firstLine="420" w:firstLineChars="200"/>
        <w:rPr>
          <w:rFonts w:ascii="宋体" w:hAnsi="宋体"/>
          <w:szCs w:val="21"/>
          <w:highlight w:val="none"/>
        </w:rPr>
      </w:pPr>
      <w:r>
        <w:rPr>
          <w:rFonts w:hint="eastAsia" w:ascii="宋体" w:hAnsi="宋体"/>
          <w:szCs w:val="21"/>
          <w:highlight w:val="none"/>
        </w:rPr>
        <w:t>我单位不在财政部门依法作出的禁止参加政府采购活动的行政处罚期限内。</w:t>
      </w:r>
    </w:p>
    <w:p>
      <w:pPr>
        <w:spacing w:line="360" w:lineRule="auto"/>
        <w:ind w:firstLine="420" w:firstLineChars="200"/>
        <w:rPr>
          <w:rFonts w:ascii="宋体" w:hAnsi="宋体"/>
          <w:szCs w:val="21"/>
          <w:highlight w:val="none"/>
        </w:rPr>
      </w:pPr>
      <w:r>
        <w:rPr>
          <w:rFonts w:hint="eastAsia" w:ascii="宋体" w:hAnsi="宋体"/>
          <w:szCs w:val="21"/>
          <w:highlight w:val="none"/>
        </w:rPr>
        <w:t>特此声明！</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                                            供应商名称（盖章）：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                                            法定代表人或委托代理人（签字或盖章）：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                                            日期：     年      月      日</w:t>
      </w:r>
    </w:p>
    <w:p>
      <w:pPr>
        <w:spacing w:line="360" w:lineRule="auto"/>
        <w:ind w:firstLine="420" w:firstLineChars="200"/>
        <w:rPr>
          <w:rFonts w:ascii="宋体"/>
          <w:szCs w:val="21"/>
          <w:highlight w:val="none"/>
        </w:rPr>
      </w:pPr>
    </w:p>
    <w:p>
      <w:pPr>
        <w:spacing w:line="360" w:lineRule="auto"/>
        <w:ind w:firstLine="420" w:firstLineChars="200"/>
        <w:rPr>
          <w:rFonts w:ascii="宋体" w:cs="宋体"/>
          <w:szCs w:val="21"/>
          <w:highlight w:val="none"/>
        </w:rPr>
      </w:pPr>
      <w:r>
        <w:rPr>
          <w:rFonts w:hint="eastAsia" w:ascii="宋体" w:hAnsi="宋体"/>
          <w:szCs w:val="21"/>
          <w:highlight w:val="none"/>
        </w:rPr>
        <w:t>8、</w:t>
      </w:r>
      <w:r>
        <w:rPr>
          <w:rFonts w:hint="eastAsia" w:ascii="宋体" w:hAnsi="宋体" w:cs="宋体"/>
          <w:szCs w:val="21"/>
          <w:highlight w:val="none"/>
        </w:rPr>
        <w:t>一个完整年度（</w:t>
      </w:r>
      <w:r>
        <w:rPr>
          <w:rFonts w:hint="eastAsia" w:ascii="宋体" w:hAnsi="宋体"/>
          <w:szCs w:val="21"/>
          <w:highlight w:val="none"/>
        </w:rPr>
        <w:t>2019年或2020年</w:t>
      </w:r>
      <w:r>
        <w:rPr>
          <w:rFonts w:hint="eastAsia" w:ascii="宋体" w:hAnsi="宋体" w:cs="宋体"/>
          <w:szCs w:val="21"/>
          <w:highlight w:val="none"/>
        </w:rPr>
        <w:t>）财务会计报表。</w:t>
      </w:r>
    </w:p>
    <w:p>
      <w:pPr>
        <w:spacing w:line="360" w:lineRule="auto"/>
        <w:ind w:firstLine="840" w:firstLineChars="400"/>
        <w:rPr>
          <w:rFonts w:ascii="宋体" w:cs="宋体"/>
          <w:szCs w:val="21"/>
          <w:highlight w:val="none"/>
        </w:rPr>
      </w:pPr>
      <w:r>
        <w:rPr>
          <w:rFonts w:hint="eastAsia" w:ascii="宋体" w:hAnsi="宋体" w:cs="宋体"/>
          <w:szCs w:val="21"/>
          <w:highlight w:val="none"/>
        </w:rPr>
        <w:t>如供应商为新成立的供应商，请提供上一月度（或季度）财务会计报表复印件。</w:t>
      </w:r>
    </w:p>
    <w:p>
      <w:pPr>
        <w:spacing w:line="360" w:lineRule="auto"/>
        <w:ind w:firstLine="420" w:firstLineChars="200"/>
        <w:rPr>
          <w:rFonts w:ascii="宋体" w:cs="宋体"/>
          <w:b/>
          <w:spacing w:val="-4"/>
          <w:kern w:val="0"/>
          <w:szCs w:val="21"/>
          <w:highlight w:val="none"/>
        </w:rPr>
      </w:pPr>
      <w:r>
        <w:rPr>
          <w:rFonts w:hint="eastAsia" w:ascii="宋体" w:hAnsi="宋体" w:cs="宋体"/>
          <w:szCs w:val="21"/>
          <w:highlight w:val="none"/>
        </w:rPr>
        <w:t>9、本项目磋商文件中要求供应商提供的其他证明材料。</w:t>
      </w:r>
    </w:p>
    <w:p>
      <w:pPr>
        <w:spacing w:line="360" w:lineRule="auto"/>
        <w:ind w:firstLine="404" w:firstLineChars="200"/>
        <w:rPr>
          <w:rFonts w:ascii="宋体" w:hAnsi="宋体" w:cs="宋体"/>
          <w:spacing w:val="-4"/>
          <w:kern w:val="0"/>
          <w:szCs w:val="21"/>
          <w:highlight w:val="none"/>
        </w:rPr>
      </w:pPr>
      <w:r>
        <w:rPr>
          <w:rFonts w:hint="eastAsia" w:ascii="宋体" w:hAnsi="宋体" w:cs="宋体"/>
          <w:spacing w:val="-4"/>
          <w:kern w:val="0"/>
          <w:szCs w:val="21"/>
          <w:highlight w:val="none"/>
        </w:rPr>
        <w:t>10、</w:t>
      </w:r>
      <w:r>
        <w:rPr>
          <w:rFonts w:hint="eastAsia" w:ascii="宋体" w:hAnsi="宋体"/>
          <w:szCs w:val="21"/>
          <w:highlight w:val="none"/>
        </w:rPr>
        <w:t>须提供上述资格证明文件复印件或扫描件或影印件</w:t>
      </w:r>
      <w:r>
        <w:rPr>
          <w:rFonts w:hint="eastAsia" w:ascii="宋体" w:hAnsi="宋体" w:cs="宋体"/>
          <w:spacing w:val="-4"/>
          <w:kern w:val="0"/>
          <w:szCs w:val="21"/>
          <w:highlight w:val="none"/>
        </w:rPr>
        <w:t>。</w:t>
      </w:r>
    </w:p>
    <w:p>
      <w:pPr>
        <w:spacing w:line="360" w:lineRule="auto"/>
        <w:rPr>
          <w:rFonts w:ascii="宋体" w:cs="宋体"/>
          <w:szCs w:val="21"/>
          <w:highlight w:val="none"/>
        </w:rPr>
      </w:pPr>
      <w:r>
        <w:rPr>
          <w:rFonts w:ascii="宋体" w:hAnsi="宋体" w:cs="宋体"/>
          <w:spacing w:val="-4"/>
          <w:kern w:val="0"/>
          <w:szCs w:val="21"/>
          <w:highlight w:val="none"/>
        </w:rPr>
        <w:br w:type="page"/>
      </w:r>
      <w:r>
        <w:rPr>
          <w:rFonts w:hint="eastAsia" w:ascii="宋体" w:hAnsi="宋体" w:cs="宋体"/>
          <w:b/>
          <w:spacing w:val="-4"/>
          <w:kern w:val="0"/>
          <w:sz w:val="28"/>
          <w:szCs w:val="28"/>
          <w:highlight w:val="none"/>
        </w:rPr>
        <w:t>附件：</w:t>
      </w:r>
    </w:p>
    <w:p>
      <w:pPr>
        <w:wordWrap w:val="0"/>
        <w:spacing w:line="360" w:lineRule="auto"/>
        <w:jc w:val="center"/>
        <w:rPr>
          <w:rFonts w:ascii="宋体" w:cs="宋体"/>
          <w:b/>
          <w:sz w:val="24"/>
          <w:szCs w:val="24"/>
          <w:highlight w:val="none"/>
        </w:rPr>
      </w:pPr>
      <w:r>
        <w:rPr>
          <w:rFonts w:hint="eastAsia" w:ascii="宋体" w:hAnsi="宋体" w:cs="宋体"/>
          <w:b/>
          <w:sz w:val="24"/>
          <w:szCs w:val="24"/>
          <w:highlight w:val="none"/>
        </w:rPr>
        <w:t>授权书</w:t>
      </w:r>
    </w:p>
    <w:p>
      <w:pPr>
        <w:snapToGrid w:val="0"/>
        <w:spacing w:line="360" w:lineRule="auto"/>
        <w:ind w:firstLine="480" w:firstLineChars="200"/>
        <w:jc w:val="left"/>
        <w:rPr>
          <w:rFonts w:ascii="宋体" w:hAnsi="宋体"/>
          <w:sz w:val="24"/>
          <w:szCs w:val="28"/>
          <w:highlight w:val="none"/>
        </w:rPr>
      </w:pPr>
    </w:p>
    <w:p>
      <w:pPr>
        <w:snapToGrid w:val="0"/>
        <w:spacing w:line="360" w:lineRule="auto"/>
        <w:ind w:firstLine="480" w:firstLineChars="200"/>
        <w:jc w:val="left"/>
        <w:rPr>
          <w:rFonts w:ascii="宋体" w:hAnsi="宋体"/>
          <w:sz w:val="24"/>
          <w:szCs w:val="28"/>
          <w:highlight w:val="none"/>
        </w:rPr>
      </w:pPr>
      <w:r>
        <w:rPr>
          <w:rFonts w:hint="eastAsia" w:ascii="宋体" w:hAnsi="宋体"/>
          <w:sz w:val="24"/>
          <w:szCs w:val="28"/>
          <w:highlight w:val="none"/>
        </w:rPr>
        <w:t>本授权书声明：</w:t>
      </w:r>
      <w:r>
        <w:rPr>
          <w:rFonts w:hint="eastAsia" w:ascii="宋体" w:hAnsi="宋体"/>
          <w:sz w:val="24"/>
          <w:szCs w:val="28"/>
          <w:highlight w:val="none"/>
          <w:u w:val="single"/>
        </w:rPr>
        <w:t xml:space="preserve">             </w:t>
      </w:r>
      <w:r>
        <w:rPr>
          <w:rFonts w:hint="eastAsia" w:ascii="宋体" w:hAnsi="宋体"/>
          <w:sz w:val="24"/>
          <w:szCs w:val="28"/>
          <w:highlight w:val="none"/>
        </w:rPr>
        <w:t>（供应商名称）授权</w:t>
      </w:r>
      <w:r>
        <w:rPr>
          <w:rFonts w:hint="eastAsia" w:ascii="宋体" w:hAnsi="宋体"/>
          <w:sz w:val="24"/>
          <w:szCs w:val="28"/>
          <w:highlight w:val="none"/>
          <w:u w:val="single"/>
        </w:rPr>
        <w:t xml:space="preserve">       </w:t>
      </w:r>
      <w:r>
        <w:rPr>
          <w:rFonts w:hint="eastAsia" w:ascii="宋体" w:hAnsi="宋体"/>
          <w:sz w:val="24"/>
          <w:szCs w:val="28"/>
          <w:highlight w:val="none"/>
        </w:rPr>
        <w:t>（供应商授权代表姓名、职务）代表我方参加本项目</w:t>
      </w:r>
      <w:r>
        <w:rPr>
          <w:rFonts w:hint="eastAsia" w:ascii="宋体" w:hAnsi="宋体"/>
          <w:bCs/>
          <w:sz w:val="24"/>
          <w:szCs w:val="28"/>
          <w:highlight w:val="none"/>
        </w:rPr>
        <w:t>采购活动</w:t>
      </w:r>
      <w:r>
        <w:rPr>
          <w:rFonts w:hint="eastAsia" w:ascii="宋体" w:hAnsi="宋体"/>
          <w:sz w:val="24"/>
          <w:szCs w:val="28"/>
          <w:highlight w:val="none"/>
        </w:rPr>
        <w:t>，全权代表我方处理磋商过程的一切事宜，包括但不限于：提交响应文件、参与磋商、签约等。供应商授权代表在采购活动过程中所签署的一切文件和处理与之有关的一切事务，我方均予以认可并对此承担责任。供应商授权代表无转委托权。特此授权。</w:t>
      </w:r>
    </w:p>
    <w:p>
      <w:pPr>
        <w:snapToGrid w:val="0"/>
        <w:spacing w:line="360" w:lineRule="auto"/>
        <w:ind w:firstLine="480" w:firstLineChars="200"/>
        <w:jc w:val="left"/>
        <w:rPr>
          <w:rFonts w:ascii="宋体" w:hAnsi="宋体"/>
          <w:sz w:val="24"/>
          <w:szCs w:val="28"/>
          <w:highlight w:val="none"/>
        </w:rPr>
      </w:pPr>
      <w:r>
        <w:rPr>
          <w:rFonts w:hint="eastAsia" w:ascii="宋体" w:hAnsi="宋体"/>
          <w:sz w:val="24"/>
          <w:szCs w:val="28"/>
          <w:highlight w:val="none"/>
        </w:rPr>
        <w:t>本授权书自出具之日起生效。</w:t>
      </w:r>
    </w:p>
    <w:p>
      <w:pPr>
        <w:snapToGrid w:val="0"/>
        <w:spacing w:line="360" w:lineRule="auto"/>
        <w:ind w:firstLine="482" w:firstLineChars="200"/>
        <w:jc w:val="left"/>
        <w:rPr>
          <w:rFonts w:ascii="宋体" w:hAnsi="宋体"/>
          <w:sz w:val="24"/>
          <w:highlight w:val="none"/>
        </w:rPr>
      </w:pPr>
      <w:r>
        <w:rPr>
          <w:rFonts w:hint="eastAsia" w:ascii="宋体" w:hAnsi="宋体"/>
          <w:b/>
          <w:bCs/>
          <w:sz w:val="24"/>
          <w:szCs w:val="28"/>
          <w:highlight w:val="none"/>
        </w:rPr>
        <w:t>授权代表</w:t>
      </w:r>
      <w:r>
        <w:rPr>
          <w:rFonts w:hint="eastAsia" w:ascii="宋体" w:hAnsi="宋体"/>
          <w:b/>
          <w:bCs/>
          <w:sz w:val="24"/>
          <w:highlight w:val="none"/>
        </w:rPr>
        <w:t>身份证明复印件或扫描件：</w:t>
      </w:r>
    </w:p>
    <w:p>
      <w:pPr>
        <w:snapToGrid w:val="0"/>
        <w:spacing w:line="360" w:lineRule="auto"/>
        <w:ind w:firstLine="480" w:firstLineChars="200"/>
        <w:jc w:val="left"/>
        <w:rPr>
          <w:rFonts w:ascii="宋体" w:hAnsi="宋体"/>
          <w:sz w:val="24"/>
          <w:highlight w:val="none"/>
        </w:rPr>
      </w:pPr>
    </w:p>
    <w:p>
      <w:pPr>
        <w:snapToGrid w:val="0"/>
        <w:spacing w:line="360" w:lineRule="auto"/>
        <w:ind w:firstLine="480" w:firstLineChars="200"/>
        <w:jc w:val="left"/>
        <w:rPr>
          <w:rFonts w:ascii="宋体" w:hAnsi="宋体"/>
          <w:sz w:val="24"/>
          <w:szCs w:val="28"/>
          <w:highlight w:val="none"/>
        </w:rPr>
      </w:pPr>
    </w:p>
    <w:p>
      <w:pPr>
        <w:snapToGrid w:val="0"/>
        <w:spacing w:line="360" w:lineRule="auto"/>
        <w:ind w:firstLine="480" w:firstLineChars="200"/>
        <w:jc w:val="left"/>
        <w:rPr>
          <w:rFonts w:ascii="宋体" w:hAnsi="宋体"/>
          <w:sz w:val="24"/>
          <w:szCs w:val="28"/>
          <w:highlight w:val="none"/>
        </w:rPr>
      </w:pPr>
    </w:p>
    <w:p>
      <w:pPr>
        <w:snapToGrid w:val="0"/>
        <w:spacing w:line="360" w:lineRule="auto"/>
        <w:ind w:firstLine="480" w:firstLineChars="200"/>
        <w:jc w:val="left"/>
        <w:rPr>
          <w:rFonts w:ascii="宋体" w:hAnsi="宋体"/>
          <w:sz w:val="24"/>
          <w:szCs w:val="28"/>
          <w:highlight w:val="none"/>
        </w:rPr>
      </w:pPr>
      <w:r>
        <w:rPr>
          <w:rFonts w:hint="eastAsia" w:ascii="宋体" w:hAnsi="宋体"/>
          <w:sz w:val="24"/>
          <w:szCs w:val="28"/>
          <w:highlight w:val="none"/>
        </w:rPr>
        <w:t>授权代表联系方式：</w:t>
      </w:r>
      <w:r>
        <w:rPr>
          <w:rFonts w:hint="eastAsia" w:ascii="宋体" w:hAnsi="宋体"/>
          <w:sz w:val="24"/>
          <w:szCs w:val="28"/>
          <w:highlight w:val="none"/>
          <w:u w:val="single"/>
        </w:rPr>
        <w:t xml:space="preserve">          （填写手机号码）</w:t>
      </w: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特此声明。</w:t>
      </w:r>
    </w:p>
    <w:p>
      <w:pPr>
        <w:spacing w:line="360" w:lineRule="auto"/>
        <w:ind w:firstLine="4800" w:firstLineChars="2000"/>
        <w:rPr>
          <w:rFonts w:ascii="宋体" w:hAnsi="宋体"/>
          <w:bCs/>
          <w:sz w:val="24"/>
          <w:szCs w:val="28"/>
          <w:highlight w:val="none"/>
        </w:rPr>
      </w:pPr>
      <w:r>
        <w:rPr>
          <w:rFonts w:hint="eastAsia" w:ascii="宋体" w:hAnsi="宋体"/>
          <w:bCs/>
          <w:sz w:val="24"/>
          <w:szCs w:val="28"/>
          <w:highlight w:val="none"/>
        </w:rPr>
        <w:t>供应商名称（盖章）：</w:t>
      </w:r>
      <w:r>
        <w:rPr>
          <w:rFonts w:hint="eastAsia" w:ascii="宋体" w:hAnsi="宋体"/>
          <w:bCs/>
          <w:sz w:val="24"/>
          <w:szCs w:val="28"/>
          <w:highlight w:val="none"/>
          <w:u w:val="single"/>
        </w:rPr>
        <w:t xml:space="preserve">                    </w:t>
      </w:r>
    </w:p>
    <w:p>
      <w:pPr>
        <w:spacing w:line="360" w:lineRule="auto"/>
        <w:jc w:val="right"/>
        <w:rPr>
          <w:rFonts w:ascii="宋体" w:hAnsi="宋体"/>
          <w:sz w:val="24"/>
          <w:szCs w:val="28"/>
          <w:highlight w:val="none"/>
        </w:rPr>
      </w:pPr>
      <w:r>
        <w:rPr>
          <w:rFonts w:hint="eastAsia" w:ascii="宋体" w:hAnsi="宋体"/>
          <w:sz w:val="24"/>
          <w:szCs w:val="28"/>
          <w:highlight w:val="none"/>
        </w:rPr>
        <w:t>日  期：</w:t>
      </w:r>
      <w:r>
        <w:rPr>
          <w:rFonts w:hint="eastAsia" w:ascii="宋体" w:hAnsi="宋体"/>
          <w:bCs/>
          <w:sz w:val="24"/>
          <w:szCs w:val="28"/>
          <w:highlight w:val="none"/>
        </w:rPr>
        <w:t xml:space="preserve">     年      月     日</w:t>
      </w:r>
    </w:p>
    <w:p>
      <w:pPr>
        <w:snapToGrid w:val="0"/>
        <w:spacing w:line="360" w:lineRule="auto"/>
        <w:jc w:val="left"/>
        <w:rPr>
          <w:rFonts w:ascii="宋体" w:hAnsi="宋体"/>
          <w:sz w:val="24"/>
          <w:szCs w:val="28"/>
          <w:highlight w:val="none"/>
        </w:rPr>
      </w:pPr>
      <w:r>
        <w:rPr>
          <w:rFonts w:hint="eastAsia" w:ascii="宋体" w:hAnsi="宋体"/>
          <w:sz w:val="24"/>
          <w:szCs w:val="28"/>
          <w:highlight w:val="none"/>
        </w:rPr>
        <w:t>注：</w:t>
      </w:r>
    </w:p>
    <w:p>
      <w:pPr>
        <w:snapToGrid w:val="0"/>
        <w:spacing w:line="360" w:lineRule="auto"/>
        <w:ind w:firstLine="480" w:firstLineChars="200"/>
        <w:jc w:val="left"/>
        <w:rPr>
          <w:rFonts w:ascii="宋体" w:hAnsi="宋体"/>
          <w:sz w:val="24"/>
          <w:szCs w:val="28"/>
          <w:highlight w:val="none"/>
        </w:rPr>
      </w:pPr>
      <w:r>
        <w:rPr>
          <w:rFonts w:hint="eastAsia" w:ascii="宋体" w:hAnsi="宋体"/>
          <w:sz w:val="24"/>
          <w:szCs w:val="28"/>
          <w:highlight w:val="none"/>
        </w:rPr>
        <w:t>1.本项目只允许有唯一的供应商授权代表，提供身份证明复印件或扫描件；</w:t>
      </w:r>
    </w:p>
    <w:p>
      <w:pPr>
        <w:wordWrap w:val="0"/>
        <w:spacing w:line="360" w:lineRule="auto"/>
        <w:ind w:firstLine="480" w:firstLineChars="200"/>
        <w:rPr>
          <w:rFonts w:ascii="宋体" w:hAnsi="宋体" w:cs="宋体"/>
          <w:szCs w:val="21"/>
          <w:highlight w:val="none"/>
        </w:rPr>
      </w:pPr>
      <w:r>
        <w:rPr>
          <w:rFonts w:hint="eastAsia" w:hAnsi="宋体"/>
          <w:sz w:val="24"/>
          <w:szCs w:val="28"/>
          <w:highlight w:val="none"/>
        </w:rPr>
        <w:t>2.法定代表人参加谈判的无需提供授权书，提供身份证明和营业执照复印件或扫描件。</w:t>
      </w:r>
    </w:p>
    <w:p>
      <w:pPr>
        <w:spacing w:line="360" w:lineRule="auto"/>
        <w:ind w:firstLine="608" w:firstLineChars="300"/>
        <w:rPr>
          <w:rFonts w:ascii="宋体" w:cs="宋体"/>
          <w:b/>
          <w:spacing w:val="-4"/>
          <w:kern w:val="0"/>
          <w:szCs w:val="21"/>
          <w:highlight w:val="none"/>
        </w:rPr>
      </w:pPr>
    </w:p>
    <w:bookmarkEnd w:id="168"/>
    <w:sectPr>
      <w:headerReference r:id="rId7" w:type="default"/>
      <w:footerReference r:id="rId8" w:type="default"/>
      <w:pgSz w:w="11906" w:h="16838"/>
      <w:pgMar w:top="1417" w:right="1633" w:bottom="1417" w:left="1633" w:header="851" w:footer="992" w:gutter="0"/>
      <w:pgBorders>
        <w:bottom w:val="single" w:color="auto" w:sz="4" w:space="1"/>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5"/>
      </w:rPr>
    </w:pPr>
    <w:r>
      <w:fldChar w:fldCharType="begin"/>
    </w:r>
    <w:r>
      <w:rPr>
        <w:rStyle w:val="65"/>
      </w:rPr>
      <w:instrText xml:space="preserve">PAGE  </w:instrText>
    </w:r>
    <w:r>
      <w:fldChar w:fldCharType="separate"/>
    </w:r>
    <w:r>
      <w:rPr>
        <w:rStyle w:val="65"/>
      </w:rPr>
      <w:t>1</w: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宋体"/>
      </w:rPr>
    </w:pPr>
    <w:r>
      <w:pict>
        <v:shape id="_x0000_s1025" o:spid="_x0000_s1025" o:spt="202" type="#_x0000_t202" style="position:absolute;left:0pt;flip:y;margin-left:198pt;margin-top:-2.2pt;height:12.15pt;width:36pt;mso-position-horizontal-relative:margin;rotation:11796480f;z-index:251659264;mso-width-relative:page;mso-height-relative:page;" filled="f" stroked="f" coordsize="21600,21600">
          <v:path/>
          <v:fill on="f" focussize="0,0"/>
          <v:stroke on="f" joinstyle="miter"/>
          <v:imagedata o:title=""/>
          <o:lock v:ext="edit"/>
          <v:textbox inset="0mm,0mm,0mm,0mm">
            <w:txbxContent>
              <w:p>
                <w:pPr>
                  <w:pStyle w:val="36"/>
                </w:pPr>
                <w:r>
                  <w:t xml:space="preserve">第 </w:t>
                </w:r>
                <w:r>
                  <w:fldChar w:fldCharType="begin"/>
                </w:r>
                <w:r>
                  <w:instrText xml:space="preserve"> PAGE  \* MERGEFORMAT </w:instrText>
                </w:r>
                <w:r>
                  <w:fldChar w:fldCharType="separate"/>
                </w:r>
                <w:r>
                  <w:t>二</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eastAsia="楷体_GB2312"/>
        <w:i/>
      </w:rPr>
    </w:pPr>
    <w:r>
      <w:rPr>
        <w:rFonts w:hint="eastAsia" w:eastAsia="楷体_GB2312"/>
        <w:b/>
        <w:iCs/>
      </w:rPr>
      <w:t>安庆职业技术学院网络安全等级保护测评项目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2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6"/>
      <w:lvlText w:val=""/>
      <w:lvlJc w:val="left"/>
      <w:pPr>
        <w:tabs>
          <w:tab w:val="left" w:pos="360"/>
        </w:tabs>
        <w:ind w:left="360" w:hanging="360"/>
      </w:pPr>
      <w:rPr>
        <w:rFonts w:hint="default" w:ascii="Symbol" w:hAnsi="Symbol"/>
      </w:rPr>
    </w:lvl>
  </w:abstractNum>
  <w:abstractNum w:abstractNumId="2">
    <w:nsid w:val="00000005"/>
    <w:multiLevelType w:val="singleLevel"/>
    <w:tmpl w:val="00000005"/>
    <w:lvl w:ilvl="0" w:tentative="0">
      <w:start w:val="1"/>
      <w:numFmt w:val="chineseCounting"/>
      <w:suff w:val="nothing"/>
      <w:lvlText w:val="%1、"/>
      <w:lvlJc w:val="left"/>
      <w:rPr>
        <w:rFonts w:cs="Times New Roman"/>
      </w:rPr>
    </w:lvl>
  </w:abstractNum>
  <w:abstractNum w:abstractNumId="3">
    <w:nsid w:val="0000000A"/>
    <w:multiLevelType w:val="singleLevel"/>
    <w:tmpl w:val="0000000A"/>
    <w:lvl w:ilvl="0" w:tentative="0">
      <w:start w:val="3"/>
      <w:numFmt w:val="chineseCounting"/>
      <w:suff w:val="nothing"/>
      <w:lvlText w:val="%1、"/>
      <w:lvlJc w:val="left"/>
      <w:rPr>
        <w:rFonts w:cs="Times New Roman"/>
      </w:rPr>
    </w:lvl>
  </w:abstractNum>
  <w:abstractNum w:abstractNumId="4">
    <w:nsid w:val="0000000C"/>
    <w:multiLevelType w:val="singleLevel"/>
    <w:tmpl w:val="0000000C"/>
    <w:lvl w:ilvl="0" w:tentative="0">
      <w:start w:val="1"/>
      <w:numFmt w:val="chineseCounting"/>
      <w:suff w:val="nothing"/>
      <w:lvlText w:val="%1、"/>
      <w:lvlJc w:val="left"/>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7"/>
    <w:multiLevelType w:val="singleLevel"/>
    <w:tmpl w:val="00000017"/>
    <w:lvl w:ilvl="0" w:tentative="0">
      <w:start w:val="11"/>
      <w:numFmt w:val="decimal"/>
      <w:suff w:val="nothing"/>
      <w:lvlText w:val="%1、"/>
      <w:lvlJc w:val="left"/>
      <w:rPr>
        <w:rFonts w:cs="Times New Roman"/>
      </w:rPr>
    </w:lvl>
  </w:abstractNum>
  <w:abstractNum w:abstractNumId="8">
    <w:nsid w:val="00000018"/>
    <w:multiLevelType w:val="singleLevel"/>
    <w:tmpl w:val="00000018"/>
    <w:lvl w:ilvl="0" w:tentative="0">
      <w:start w:val="4"/>
      <w:numFmt w:val="chineseCounting"/>
      <w:suff w:val="nothing"/>
      <w:lvlText w:val="%1、"/>
      <w:lvlJc w:val="left"/>
      <w:rPr>
        <w:rFonts w:cs="Times New Roman"/>
      </w:rPr>
    </w:lvl>
  </w:abstractNum>
  <w:abstractNum w:abstractNumId="9">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0">
    <w:nsid w:val="1A58484B"/>
    <w:multiLevelType w:val="multilevel"/>
    <w:tmpl w:val="1A5848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DC001FD"/>
    <w:multiLevelType w:val="multilevel"/>
    <w:tmpl w:val="1DC001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13">
    <w:nsid w:val="24366283"/>
    <w:multiLevelType w:val="multilevel"/>
    <w:tmpl w:val="24366283"/>
    <w:lvl w:ilvl="0" w:tentative="0">
      <w:start w:val="1"/>
      <w:numFmt w:val="decimal"/>
      <w:pStyle w:val="348"/>
      <w:lvlText w:val="%1"/>
      <w:lvlJc w:val="left"/>
      <w:pPr>
        <w:tabs>
          <w:tab w:val="left" w:pos="567"/>
        </w:tabs>
        <w:ind w:left="567" w:hanging="567"/>
      </w:pPr>
      <w:rPr>
        <w:rFonts w:hint="eastAsia" w:cs="Times New Roman"/>
      </w:rPr>
    </w:lvl>
    <w:lvl w:ilvl="1" w:tentative="0">
      <w:start w:val="1"/>
      <w:numFmt w:val="decimal"/>
      <w:pStyle w:val="345"/>
      <w:lvlText w:val="%1.%2"/>
      <w:lvlJc w:val="left"/>
      <w:pPr>
        <w:tabs>
          <w:tab w:val="left" w:pos="1004"/>
        </w:tabs>
        <w:ind w:left="567" w:hanging="283"/>
      </w:pPr>
      <w:rPr>
        <w:rFonts w:hint="eastAsia" w:cs="Times New Roman"/>
      </w:rPr>
    </w:lvl>
    <w:lvl w:ilvl="2" w:tentative="0">
      <w:start w:val="1"/>
      <w:numFmt w:val="decimal"/>
      <w:pStyle w:val="34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4">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6"/>
  </w:num>
  <w:num w:numId="3">
    <w:abstractNumId w:val="13"/>
  </w:num>
  <w:num w:numId="4">
    <w:abstractNumId w:val="1"/>
  </w:num>
  <w:num w:numId="5">
    <w:abstractNumId w:val="3"/>
  </w:num>
  <w:num w:numId="6">
    <w:abstractNumId w:val="7"/>
  </w:num>
  <w:num w:numId="7">
    <w:abstractNumId w:val="11"/>
  </w:num>
  <w:num w:numId="8">
    <w:abstractNumId w:val="10"/>
  </w:num>
  <w:num w:numId="9">
    <w:abstractNumId w:val="9"/>
  </w:num>
  <w:num w:numId="10">
    <w:abstractNumId w:val="12"/>
  </w:num>
  <w:num w:numId="11">
    <w:abstractNumId w:val="14"/>
  </w:num>
  <w:num w:numId="12">
    <w:abstractNumId w:val="2"/>
  </w:num>
  <w:num w:numId="13">
    <w:abstractNumId w:val="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0E5109"/>
    <w:rsid w:val="001025CA"/>
    <w:rsid w:val="0011028C"/>
    <w:rsid w:val="001108AC"/>
    <w:rsid w:val="00116DDE"/>
    <w:rsid w:val="001238B8"/>
    <w:rsid w:val="00125483"/>
    <w:rsid w:val="00126CB2"/>
    <w:rsid w:val="0012783F"/>
    <w:rsid w:val="001347C2"/>
    <w:rsid w:val="001509DE"/>
    <w:rsid w:val="00153D99"/>
    <w:rsid w:val="00157A32"/>
    <w:rsid w:val="00160F44"/>
    <w:rsid w:val="0016586D"/>
    <w:rsid w:val="00171D5E"/>
    <w:rsid w:val="00172A27"/>
    <w:rsid w:val="001A2433"/>
    <w:rsid w:val="001B1EF8"/>
    <w:rsid w:val="001B3868"/>
    <w:rsid w:val="001B6DBE"/>
    <w:rsid w:val="001C2583"/>
    <w:rsid w:val="001C3A1C"/>
    <w:rsid w:val="001D7738"/>
    <w:rsid w:val="001E606E"/>
    <w:rsid w:val="001F1418"/>
    <w:rsid w:val="00225FE3"/>
    <w:rsid w:val="00232BD2"/>
    <w:rsid w:val="0025055D"/>
    <w:rsid w:val="00252D15"/>
    <w:rsid w:val="00257B90"/>
    <w:rsid w:val="00261B95"/>
    <w:rsid w:val="002663B5"/>
    <w:rsid w:val="00294358"/>
    <w:rsid w:val="002978A1"/>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6932"/>
    <w:rsid w:val="003A3866"/>
    <w:rsid w:val="003A575B"/>
    <w:rsid w:val="003A5835"/>
    <w:rsid w:val="003A6123"/>
    <w:rsid w:val="003B16EE"/>
    <w:rsid w:val="003C1917"/>
    <w:rsid w:val="003C194F"/>
    <w:rsid w:val="003C2743"/>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20A1"/>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E2EEF"/>
    <w:rsid w:val="009E7CE7"/>
    <w:rsid w:val="009F2D95"/>
    <w:rsid w:val="009F3EDF"/>
    <w:rsid w:val="009F7FE2"/>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03F4"/>
    <w:rsid w:val="00B93271"/>
    <w:rsid w:val="00B93AE2"/>
    <w:rsid w:val="00B93CB1"/>
    <w:rsid w:val="00B96146"/>
    <w:rsid w:val="00B96409"/>
    <w:rsid w:val="00B96BED"/>
    <w:rsid w:val="00BA2710"/>
    <w:rsid w:val="00BA6247"/>
    <w:rsid w:val="00BA64F3"/>
    <w:rsid w:val="00BA791D"/>
    <w:rsid w:val="00BC0B72"/>
    <w:rsid w:val="00BD7EBA"/>
    <w:rsid w:val="00BE0AB0"/>
    <w:rsid w:val="00BE43CC"/>
    <w:rsid w:val="00C00A93"/>
    <w:rsid w:val="00C04F27"/>
    <w:rsid w:val="00C16558"/>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B4690"/>
    <w:rsid w:val="00CC165F"/>
    <w:rsid w:val="00CC1A8B"/>
    <w:rsid w:val="00CC27E5"/>
    <w:rsid w:val="00CC6D72"/>
    <w:rsid w:val="00CE2ABB"/>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16D17"/>
    <w:rsid w:val="00F23563"/>
    <w:rsid w:val="00F350B4"/>
    <w:rsid w:val="00F4261A"/>
    <w:rsid w:val="00F46EA7"/>
    <w:rsid w:val="00F629E7"/>
    <w:rsid w:val="00F7647B"/>
    <w:rsid w:val="00F9508F"/>
    <w:rsid w:val="00FA728E"/>
    <w:rsid w:val="00FB57EE"/>
    <w:rsid w:val="00FB654E"/>
    <w:rsid w:val="00FC682E"/>
    <w:rsid w:val="00FD138A"/>
    <w:rsid w:val="00FE506C"/>
    <w:rsid w:val="00FF158F"/>
    <w:rsid w:val="00FF22A3"/>
    <w:rsid w:val="00FF323D"/>
    <w:rsid w:val="010B044B"/>
    <w:rsid w:val="018D6B2A"/>
    <w:rsid w:val="018E0A01"/>
    <w:rsid w:val="037A476A"/>
    <w:rsid w:val="03F478E8"/>
    <w:rsid w:val="0416288B"/>
    <w:rsid w:val="04225FD9"/>
    <w:rsid w:val="04272D5A"/>
    <w:rsid w:val="044B6F6C"/>
    <w:rsid w:val="047B10D1"/>
    <w:rsid w:val="05864389"/>
    <w:rsid w:val="05A26002"/>
    <w:rsid w:val="05CC7EB0"/>
    <w:rsid w:val="05D46C82"/>
    <w:rsid w:val="05DD4740"/>
    <w:rsid w:val="061032ED"/>
    <w:rsid w:val="06622424"/>
    <w:rsid w:val="067F2A87"/>
    <w:rsid w:val="06B833C2"/>
    <w:rsid w:val="06BE3C11"/>
    <w:rsid w:val="06CB7F45"/>
    <w:rsid w:val="06DE2F2D"/>
    <w:rsid w:val="076E366A"/>
    <w:rsid w:val="07887FD8"/>
    <w:rsid w:val="079E16F2"/>
    <w:rsid w:val="0826623B"/>
    <w:rsid w:val="08383BC8"/>
    <w:rsid w:val="088015DA"/>
    <w:rsid w:val="08B93C0B"/>
    <w:rsid w:val="08D64418"/>
    <w:rsid w:val="08EE7F45"/>
    <w:rsid w:val="09642BA8"/>
    <w:rsid w:val="09A9296B"/>
    <w:rsid w:val="0A07621E"/>
    <w:rsid w:val="0A1E102C"/>
    <w:rsid w:val="0A3D6BC3"/>
    <w:rsid w:val="0B22583A"/>
    <w:rsid w:val="0B260B6B"/>
    <w:rsid w:val="0B272B9E"/>
    <w:rsid w:val="0B5C5BE2"/>
    <w:rsid w:val="0CF94474"/>
    <w:rsid w:val="0D121772"/>
    <w:rsid w:val="0D534328"/>
    <w:rsid w:val="0D721AC5"/>
    <w:rsid w:val="0D844B1B"/>
    <w:rsid w:val="0DC24A35"/>
    <w:rsid w:val="0DC828B0"/>
    <w:rsid w:val="0DE6646B"/>
    <w:rsid w:val="0E45158D"/>
    <w:rsid w:val="0E6246C5"/>
    <w:rsid w:val="0E77357E"/>
    <w:rsid w:val="0EB67CA5"/>
    <w:rsid w:val="0F4F532C"/>
    <w:rsid w:val="0F9C075F"/>
    <w:rsid w:val="101E5713"/>
    <w:rsid w:val="10F4436E"/>
    <w:rsid w:val="111016D7"/>
    <w:rsid w:val="113B38EA"/>
    <w:rsid w:val="120F33EB"/>
    <w:rsid w:val="12CD1AAE"/>
    <w:rsid w:val="12DD4D01"/>
    <w:rsid w:val="1305390A"/>
    <w:rsid w:val="130C5A9C"/>
    <w:rsid w:val="132E6708"/>
    <w:rsid w:val="147279B4"/>
    <w:rsid w:val="147C7763"/>
    <w:rsid w:val="14CF3EFA"/>
    <w:rsid w:val="14D63C9B"/>
    <w:rsid w:val="14E27315"/>
    <w:rsid w:val="16436AB7"/>
    <w:rsid w:val="171F1375"/>
    <w:rsid w:val="17682B66"/>
    <w:rsid w:val="178B2212"/>
    <w:rsid w:val="17A27CC3"/>
    <w:rsid w:val="17EB6C6C"/>
    <w:rsid w:val="182D4416"/>
    <w:rsid w:val="18AE2913"/>
    <w:rsid w:val="18F95C37"/>
    <w:rsid w:val="19582C7D"/>
    <w:rsid w:val="19C8297C"/>
    <w:rsid w:val="1A9F6386"/>
    <w:rsid w:val="1ACF569C"/>
    <w:rsid w:val="1B522ECD"/>
    <w:rsid w:val="1B6F2199"/>
    <w:rsid w:val="1BA44752"/>
    <w:rsid w:val="1BDE6EDA"/>
    <w:rsid w:val="1C546E3B"/>
    <w:rsid w:val="1C7003B0"/>
    <w:rsid w:val="1CB17D1A"/>
    <w:rsid w:val="1CEF7044"/>
    <w:rsid w:val="1D3A4CB1"/>
    <w:rsid w:val="1D486175"/>
    <w:rsid w:val="1D626B83"/>
    <w:rsid w:val="1DBC0776"/>
    <w:rsid w:val="1E811446"/>
    <w:rsid w:val="1E98667F"/>
    <w:rsid w:val="1EE83207"/>
    <w:rsid w:val="1F4B4AFF"/>
    <w:rsid w:val="20594A8F"/>
    <w:rsid w:val="205D67FC"/>
    <w:rsid w:val="20791D1A"/>
    <w:rsid w:val="212E5787"/>
    <w:rsid w:val="219A60D1"/>
    <w:rsid w:val="219F0DB6"/>
    <w:rsid w:val="23173909"/>
    <w:rsid w:val="23715996"/>
    <w:rsid w:val="23C81F12"/>
    <w:rsid w:val="23E25B7B"/>
    <w:rsid w:val="242564F4"/>
    <w:rsid w:val="245A625E"/>
    <w:rsid w:val="264F55CD"/>
    <w:rsid w:val="27D779CE"/>
    <w:rsid w:val="27F67C5E"/>
    <w:rsid w:val="28377363"/>
    <w:rsid w:val="2853654C"/>
    <w:rsid w:val="2946596D"/>
    <w:rsid w:val="297A2235"/>
    <w:rsid w:val="29946D01"/>
    <w:rsid w:val="29A51985"/>
    <w:rsid w:val="29BD29A1"/>
    <w:rsid w:val="29F31F26"/>
    <w:rsid w:val="29F4553F"/>
    <w:rsid w:val="2A8603F6"/>
    <w:rsid w:val="2A930E1D"/>
    <w:rsid w:val="2AB176C6"/>
    <w:rsid w:val="2B01172E"/>
    <w:rsid w:val="2B493073"/>
    <w:rsid w:val="2C233AF2"/>
    <w:rsid w:val="2C8E03B3"/>
    <w:rsid w:val="2CCE145A"/>
    <w:rsid w:val="2D3311C3"/>
    <w:rsid w:val="2D3B345A"/>
    <w:rsid w:val="2D715569"/>
    <w:rsid w:val="2DBB1259"/>
    <w:rsid w:val="2DF751F3"/>
    <w:rsid w:val="2E17430E"/>
    <w:rsid w:val="2E9A0A73"/>
    <w:rsid w:val="2EC636D3"/>
    <w:rsid w:val="2ECA3CF6"/>
    <w:rsid w:val="2ED75A9F"/>
    <w:rsid w:val="2F5842D0"/>
    <w:rsid w:val="2F952674"/>
    <w:rsid w:val="2FA07258"/>
    <w:rsid w:val="2FAA3FAC"/>
    <w:rsid w:val="3027789C"/>
    <w:rsid w:val="30447ABA"/>
    <w:rsid w:val="30900EE1"/>
    <w:rsid w:val="31235193"/>
    <w:rsid w:val="316B736B"/>
    <w:rsid w:val="31D7017A"/>
    <w:rsid w:val="32264009"/>
    <w:rsid w:val="328E2387"/>
    <w:rsid w:val="32900EEE"/>
    <w:rsid w:val="32C415FF"/>
    <w:rsid w:val="337416BD"/>
    <w:rsid w:val="338546C9"/>
    <w:rsid w:val="33D45A35"/>
    <w:rsid w:val="33FC63CB"/>
    <w:rsid w:val="34CA7EFE"/>
    <w:rsid w:val="3557309B"/>
    <w:rsid w:val="35851543"/>
    <w:rsid w:val="35BD418B"/>
    <w:rsid w:val="35ED1591"/>
    <w:rsid w:val="35F8221C"/>
    <w:rsid w:val="372F4074"/>
    <w:rsid w:val="37354E59"/>
    <w:rsid w:val="375743B3"/>
    <w:rsid w:val="37643FB0"/>
    <w:rsid w:val="381F44D4"/>
    <w:rsid w:val="38A62E9B"/>
    <w:rsid w:val="38BE4A4E"/>
    <w:rsid w:val="38C70AF2"/>
    <w:rsid w:val="38E7426F"/>
    <w:rsid w:val="396633B7"/>
    <w:rsid w:val="39C75184"/>
    <w:rsid w:val="39C94720"/>
    <w:rsid w:val="39D85218"/>
    <w:rsid w:val="3A2420A7"/>
    <w:rsid w:val="3A365C91"/>
    <w:rsid w:val="3AB56861"/>
    <w:rsid w:val="3ABB2C13"/>
    <w:rsid w:val="3ADE1E00"/>
    <w:rsid w:val="3B0D340B"/>
    <w:rsid w:val="3B107887"/>
    <w:rsid w:val="3B2F1F35"/>
    <w:rsid w:val="3C720E5A"/>
    <w:rsid w:val="3C740CD4"/>
    <w:rsid w:val="3CBA76A3"/>
    <w:rsid w:val="3D2818DE"/>
    <w:rsid w:val="3E0D7D19"/>
    <w:rsid w:val="3EEB5B0D"/>
    <w:rsid w:val="3F372DD9"/>
    <w:rsid w:val="3F66374E"/>
    <w:rsid w:val="3F9E4E03"/>
    <w:rsid w:val="3FA90786"/>
    <w:rsid w:val="40EA6D09"/>
    <w:rsid w:val="417819DC"/>
    <w:rsid w:val="41952FDC"/>
    <w:rsid w:val="420C434B"/>
    <w:rsid w:val="42CB4108"/>
    <w:rsid w:val="435F43FF"/>
    <w:rsid w:val="43642362"/>
    <w:rsid w:val="436474B6"/>
    <w:rsid w:val="443E7C1A"/>
    <w:rsid w:val="44BC10E3"/>
    <w:rsid w:val="45F13218"/>
    <w:rsid w:val="47933998"/>
    <w:rsid w:val="47CE2384"/>
    <w:rsid w:val="4804398B"/>
    <w:rsid w:val="48393FBD"/>
    <w:rsid w:val="485F0FC3"/>
    <w:rsid w:val="49635308"/>
    <w:rsid w:val="497A3C70"/>
    <w:rsid w:val="49AB6CC1"/>
    <w:rsid w:val="4A085EE2"/>
    <w:rsid w:val="4A0C76CE"/>
    <w:rsid w:val="4A746203"/>
    <w:rsid w:val="4A8B6B71"/>
    <w:rsid w:val="4B57777D"/>
    <w:rsid w:val="4B5F2D00"/>
    <w:rsid w:val="4B850F28"/>
    <w:rsid w:val="4B934B20"/>
    <w:rsid w:val="4B98254E"/>
    <w:rsid w:val="4BD32D3D"/>
    <w:rsid w:val="4C1D1A3A"/>
    <w:rsid w:val="4C4A3EC5"/>
    <w:rsid w:val="4CC53261"/>
    <w:rsid w:val="4D7419E2"/>
    <w:rsid w:val="4DFE7B37"/>
    <w:rsid w:val="4E4D7193"/>
    <w:rsid w:val="4EFB08F8"/>
    <w:rsid w:val="4F064EBC"/>
    <w:rsid w:val="4F834D4C"/>
    <w:rsid w:val="50892EF0"/>
    <w:rsid w:val="50AD2007"/>
    <w:rsid w:val="513E44BC"/>
    <w:rsid w:val="51650B38"/>
    <w:rsid w:val="5166645B"/>
    <w:rsid w:val="51957E7F"/>
    <w:rsid w:val="51EA21B2"/>
    <w:rsid w:val="51FD08FC"/>
    <w:rsid w:val="52A458BD"/>
    <w:rsid w:val="537432CF"/>
    <w:rsid w:val="53B92FA8"/>
    <w:rsid w:val="53C44297"/>
    <w:rsid w:val="53FE3A19"/>
    <w:rsid w:val="54533186"/>
    <w:rsid w:val="54D753E7"/>
    <w:rsid w:val="55D90A26"/>
    <w:rsid w:val="5663553D"/>
    <w:rsid w:val="566B3436"/>
    <w:rsid w:val="56AE6FE8"/>
    <w:rsid w:val="56AE724E"/>
    <w:rsid w:val="57793128"/>
    <w:rsid w:val="5798543B"/>
    <w:rsid w:val="579F706F"/>
    <w:rsid w:val="57A73C1D"/>
    <w:rsid w:val="57AF355E"/>
    <w:rsid w:val="57CD5D50"/>
    <w:rsid w:val="590F7B51"/>
    <w:rsid w:val="595C5487"/>
    <w:rsid w:val="59D461C5"/>
    <w:rsid w:val="5A113762"/>
    <w:rsid w:val="5A3570F8"/>
    <w:rsid w:val="5AA76D1B"/>
    <w:rsid w:val="5AB1727C"/>
    <w:rsid w:val="5AC727C5"/>
    <w:rsid w:val="5ACC3921"/>
    <w:rsid w:val="5B065D59"/>
    <w:rsid w:val="5B297F70"/>
    <w:rsid w:val="5B7B4E1D"/>
    <w:rsid w:val="5BAD11D6"/>
    <w:rsid w:val="5C307558"/>
    <w:rsid w:val="5CC3453B"/>
    <w:rsid w:val="5D0B5C2E"/>
    <w:rsid w:val="5D4234DC"/>
    <w:rsid w:val="5DA12BFF"/>
    <w:rsid w:val="5DCA16D5"/>
    <w:rsid w:val="5EBE1AC9"/>
    <w:rsid w:val="5FD52AF2"/>
    <w:rsid w:val="608C4D16"/>
    <w:rsid w:val="614D667A"/>
    <w:rsid w:val="61517CC7"/>
    <w:rsid w:val="615C265D"/>
    <w:rsid w:val="617D5476"/>
    <w:rsid w:val="618D272B"/>
    <w:rsid w:val="620C71CE"/>
    <w:rsid w:val="626E1304"/>
    <w:rsid w:val="628751A4"/>
    <w:rsid w:val="62E17AE3"/>
    <w:rsid w:val="62F05811"/>
    <w:rsid w:val="6361365A"/>
    <w:rsid w:val="63F16941"/>
    <w:rsid w:val="63FA3D19"/>
    <w:rsid w:val="64214D60"/>
    <w:rsid w:val="64244DAC"/>
    <w:rsid w:val="64732ABF"/>
    <w:rsid w:val="64A757CC"/>
    <w:rsid w:val="64BE76B9"/>
    <w:rsid w:val="650F3F1B"/>
    <w:rsid w:val="660849B9"/>
    <w:rsid w:val="660A5954"/>
    <w:rsid w:val="664A69DF"/>
    <w:rsid w:val="66BD7D11"/>
    <w:rsid w:val="67A527A0"/>
    <w:rsid w:val="67FF21E9"/>
    <w:rsid w:val="68431D49"/>
    <w:rsid w:val="692C2BD0"/>
    <w:rsid w:val="69496F6A"/>
    <w:rsid w:val="697D5CD4"/>
    <w:rsid w:val="698B2F6B"/>
    <w:rsid w:val="699666A4"/>
    <w:rsid w:val="69B52DDF"/>
    <w:rsid w:val="69C314C6"/>
    <w:rsid w:val="6A176572"/>
    <w:rsid w:val="6A1D7F52"/>
    <w:rsid w:val="6A560BF3"/>
    <w:rsid w:val="6AC456D9"/>
    <w:rsid w:val="6B265D12"/>
    <w:rsid w:val="6B2D57C4"/>
    <w:rsid w:val="6B9A38D6"/>
    <w:rsid w:val="6BA63446"/>
    <w:rsid w:val="6C832997"/>
    <w:rsid w:val="6C845B25"/>
    <w:rsid w:val="6CB20C5B"/>
    <w:rsid w:val="6CDF066E"/>
    <w:rsid w:val="6E2872F9"/>
    <w:rsid w:val="6E69755C"/>
    <w:rsid w:val="6E7F6C67"/>
    <w:rsid w:val="6ECF5682"/>
    <w:rsid w:val="6ED338DF"/>
    <w:rsid w:val="6FB50F8F"/>
    <w:rsid w:val="6FBB10C2"/>
    <w:rsid w:val="7025142D"/>
    <w:rsid w:val="70281177"/>
    <w:rsid w:val="703721F2"/>
    <w:rsid w:val="70412077"/>
    <w:rsid w:val="71241573"/>
    <w:rsid w:val="71733DF5"/>
    <w:rsid w:val="71DF0583"/>
    <w:rsid w:val="721C29AD"/>
    <w:rsid w:val="72214C71"/>
    <w:rsid w:val="722E4B93"/>
    <w:rsid w:val="72495B34"/>
    <w:rsid w:val="73503BBA"/>
    <w:rsid w:val="73A017A5"/>
    <w:rsid w:val="742821AE"/>
    <w:rsid w:val="74EC04EE"/>
    <w:rsid w:val="75014904"/>
    <w:rsid w:val="75271C1F"/>
    <w:rsid w:val="75C16B30"/>
    <w:rsid w:val="75C64910"/>
    <w:rsid w:val="75D148A0"/>
    <w:rsid w:val="761E2DD4"/>
    <w:rsid w:val="76885DD2"/>
    <w:rsid w:val="769747B0"/>
    <w:rsid w:val="76D5623D"/>
    <w:rsid w:val="777E6030"/>
    <w:rsid w:val="779B7915"/>
    <w:rsid w:val="77A12A4D"/>
    <w:rsid w:val="77F821FA"/>
    <w:rsid w:val="78016314"/>
    <w:rsid w:val="787076C4"/>
    <w:rsid w:val="78944CAE"/>
    <w:rsid w:val="79DA098D"/>
    <w:rsid w:val="7AC21F13"/>
    <w:rsid w:val="7AEF258C"/>
    <w:rsid w:val="7AFD4FEE"/>
    <w:rsid w:val="7B0809A0"/>
    <w:rsid w:val="7B867960"/>
    <w:rsid w:val="7C714CEC"/>
    <w:rsid w:val="7C8721EC"/>
    <w:rsid w:val="7D863135"/>
    <w:rsid w:val="7DAE0451"/>
    <w:rsid w:val="7DB829F2"/>
    <w:rsid w:val="7DFA4E9D"/>
    <w:rsid w:val="7E435FB0"/>
    <w:rsid w:val="7E69363D"/>
    <w:rsid w:val="7EC211A6"/>
    <w:rsid w:val="7F4B2C12"/>
    <w:rsid w:val="7F624A68"/>
    <w:rsid w:val="7FF3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9"/>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8"/>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4"/>
    <w:link w:val="202"/>
    <w:qFormat/>
    <w:uiPriority w:val="0"/>
    <w:pPr>
      <w:keepNext/>
      <w:keepLines/>
      <w:shd w:val="clear" w:color="auto" w:fill="FFFFFF"/>
      <w:tabs>
        <w:tab w:val="left" w:pos="2730"/>
      </w:tabs>
      <w:wordWrap w:val="0"/>
      <w:spacing w:line="360" w:lineRule="exact"/>
      <w:jc w:val="center"/>
      <w:outlineLvl w:val="2"/>
    </w:pPr>
    <w:rPr>
      <w:rFonts w:ascii="宋体" w:hAnsi="宋体"/>
      <w:b/>
      <w:sz w:val="28"/>
      <w:shd w:val="clear" w:color="auto" w:fill="FFFFFF"/>
    </w:rPr>
  </w:style>
  <w:style w:type="paragraph" w:styleId="6">
    <w:name w:val="heading 4"/>
    <w:basedOn w:val="1"/>
    <w:next w:val="4"/>
    <w:link w:val="87"/>
    <w:qFormat/>
    <w:uiPriority w:val="0"/>
    <w:pPr>
      <w:keepNext/>
      <w:keepLines/>
      <w:spacing w:before="120" w:after="120"/>
      <w:outlineLvl w:val="3"/>
    </w:pPr>
    <w:rPr>
      <w:rFonts w:ascii="Arial" w:hAnsi="Arial" w:eastAsia="黑体"/>
      <w:b/>
      <w:sz w:val="20"/>
    </w:rPr>
  </w:style>
  <w:style w:type="paragraph" w:styleId="7">
    <w:name w:val="heading 5"/>
    <w:basedOn w:val="1"/>
    <w:next w:val="4"/>
    <w:link w:val="77"/>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1"/>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6"/>
    <w:qFormat/>
    <w:uiPriority w:val="0"/>
    <w:pPr>
      <w:keepNext/>
      <w:keepLines/>
      <w:spacing w:before="240" w:after="64" w:line="319" w:lineRule="auto"/>
      <w:outlineLvl w:val="6"/>
    </w:pPr>
    <w:rPr>
      <w:b/>
      <w:bCs/>
      <w:sz w:val="24"/>
      <w:szCs w:val="24"/>
    </w:rPr>
  </w:style>
  <w:style w:type="paragraph" w:styleId="10">
    <w:name w:val="heading 8"/>
    <w:basedOn w:val="1"/>
    <w:next w:val="1"/>
    <w:link w:val="150"/>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6"/>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195"/>
    <w:qFormat/>
    <w:uiPriority w:val="0"/>
    <w:pPr>
      <w:shd w:val="clear" w:color="auto" w:fill="000080"/>
    </w:pPr>
    <w:rPr>
      <w:rFonts w:ascii="宋体"/>
      <w:sz w:val="18"/>
      <w:szCs w:val="18"/>
    </w:rPr>
  </w:style>
  <w:style w:type="paragraph" w:styleId="19">
    <w:name w:val="annotation text"/>
    <w:basedOn w:val="1"/>
    <w:link w:val="127"/>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1"/>
    <w:qFormat/>
    <w:uiPriority w:val="0"/>
    <w:rPr>
      <w:rFonts w:ascii="仿宋_GB2312" w:eastAsia="仿宋_GB2312"/>
      <w:sz w:val="20"/>
    </w:rPr>
  </w:style>
  <w:style w:type="paragraph" w:styleId="22">
    <w:name w:val="Body Text 3"/>
    <w:basedOn w:val="1"/>
    <w:link w:val="88"/>
    <w:qFormat/>
    <w:uiPriority w:val="0"/>
    <w:rPr>
      <w:rFonts w:ascii="仿宋_GB2312" w:hAnsi="Arial" w:eastAsia="仿宋_GB2312"/>
      <w:sz w:val="20"/>
    </w:rPr>
  </w:style>
  <w:style w:type="paragraph" w:styleId="23">
    <w:name w:val="Body Text"/>
    <w:basedOn w:val="1"/>
    <w:link w:val="75"/>
    <w:qFormat/>
    <w:uiPriority w:val="0"/>
    <w:rPr>
      <w:rFonts w:ascii="楷体_GB2312" w:hAnsi="Arial" w:eastAsia="楷体_GB2312"/>
      <w:sz w:val="20"/>
    </w:rPr>
  </w:style>
  <w:style w:type="paragraph" w:styleId="24">
    <w:name w:val="Body Text Indent"/>
    <w:basedOn w:val="1"/>
    <w:next w:val="25"/>
    <w:link w:val="168"/>
    <w:qFormat/>
    <w:uiPriority w:val="0"/>
    <w:pPr>
      <w:ind w:firstLine="645"/>
    </w:pPr>
    <w:rPr>
      <w:sz w:val="20"/>
    </w:rPr>
  </w:style>
  <w:style w:type="paragraph" w:styleId="25">
    <w:name w:val="envelope return"/>
    <w:basedOn w:val="1"/>
    <w:unhideWhenUsed/>
    <w:qFormat/>
    <w:uiPriority w:val="99"/>
    <w:pPr>
      <w:snapToGrid w:val="0"/>
    </w:pPr>
    <w:rPr>
      <w:rFonts w:ascii="Arial" w:hAnsi="Arial"/>
    </w:rPr>
  </w:style>
  <w:style w:type="paragraph" w:styleId="26">
    <w:name w:val="index 4"/>
    <w:basedOn w:val="1"/>
    <w:next w:val="1"/>
    <w:qFormat/>
    <w:uiPriority w:val="0"/>
    <w:pPr>
      <w:ind w:left="1260"/>
    </w:pPr>
  </w:style>
  <w:style w:type="paragraph" w:styleId="27">
    <w:name w:val="toc 5"/>
    <w:basedOn w:val="1"/>
    <w:next w:val="1"/>
    <w:qFormat/>
    <w:uiPriority w:val="0"/>
    <w:pPr>
      <w:ind w:left="840"/>
      <w:jc w:val="left"/>
    </w:pPr>
    <w:rPr>
      <w:sz w:val="18"/>
    </w:rPr>
  </w:style>
  <w:style w:type="paragraph" w:styleId="28">
    <w:name w:val="toc 3"/>
    <w:basedOn w:val="1"/>
    <w:next w:val="1"/>
    <w:qFormat/>
    <w:uiPriority w:val="39"/>
    <w:pPr>
      <w:spacing w:before="120" w:after="120" w:line="360" w:lineRule="exact"/>
      <w:ind w:left="420"/>
      <w:jc w:val="left"/>
    </w:pPr>
    <w:rPr>
      <w:sz w:val="23"/>
    </w:rPr>
  </w:style>
  <w:style w:type="paragraph" w:styleId="29">
    <w:name w:val="Plain Text"/>
    <w:basedOn w:val="1"/>
    <w:link w:val="120"/>
    <w:qFormat/>
    <w:uiPriority w:val="99"/>
    <w:rPr>
      <w:rFonts w:ascii="宋体" w:hAnsi="Courier New" w:cs="Courier New"/>
      <w:szCs w:val="21"/>
    </w:rPr>
  </w:style>
  <w:style w:type="paragraph" w:styleId="30">
    <w:name w:val="toc 8"/>
    <w:basedOn w:val="1"/>
    <w:next w:val="1"/>
    <w:qFormat/>
    <w:uiPriority w:val="0"/>
    <w:pPr>
      <w:ind w:left="1470"/>
      <w:jc w:val="left"/>
    </w:pPr>
    <w:rPr>
      <w:sz w:val="18"/>
    </w:rPr>
  </w:style>
  <w:style w:type="paragraph" w:styleId="31">
    <w:name w:val="index 3"/>
    <w:basedOn w:val="1"/>
    <w:next w:val="1"/>
    <w:qFormat/>
    <w:uiPriority w:val="0"/>
    <w:pPr>
      <w:ind w:left="840"/>
    </w:pPr>
  </w:style>
  <w:style w:type="paragraph" w:styleId="32">
    <w:name w:val="Date"/>
    <w:basedOn w:val="1"/>
    <w:next w:val="1"/>
    <w:link w:val="139"/>
    <w:qFormat/>
    <w:uiPriority w:val="0"/>
    <w:pPr>
      <w:ind w:left="100" w:leftChars="2500"/>
    </w:pPr>
    <w:rPr>
      <w:sz w:val="20"/>
    </w:rPr>
  </w:style>
  <w:style w:type="paragraph" w:styleId="33">
    <w:name w:val="Body Text Indent 2"/>
    <w:basedOn w:val="1"/>
    <w:link w:val="162"/>
    <w:qFormat/>
    <w:uiPriority w:val="0"/>
    <w:pPr>
      <w:ind w:left="630" w:firstLine="645"/>
    </w:pPr>
    <w:rPr>
      <w:sz w:val="20"/>
    </w:rPr>
  </w:style>
  <w:style w:type="paragraph" w:styleId="34">
    <w:name w:val="endnote text"/>
    <w:basedOn w:val="1"/>
    <w:link w:val="205"/>
    <w:qFormat/>
    <w:uiPriority w:val="0"/>
    <w:pPr>
      <w:snapToGrid w:val="0"/>
      <w:jc w:val="left"/>
    </w:pPr>
    <w:rPr>
      <w:kern w:val="0"/>
      <w:sz w:val="24"/>
      <w:szCs w:val="24"/>
    </w:rPr>
  </w:style>
  <w:style w:type="paragraph" w:styleId="35">
    <w:name w:val="Balloon Text"/>
    <w:basedOn w:val="1"/>
    <w:link w:val="204"/>
    <w:qFormat/>
    <w:uiPriority w:val="0"/>
    <w:rPr>
      <w:sz w:val="18"/>
      <w:szCs w:val="18"/>
    </w:rPr>
  </w:style>
  <w:style w:type="paragraph" w:styleId="36">
    <w:name w:val="footer"/>
    <w:basedOn w:val="1"/>
    <w:link w:val="197"/>
    <w:qFormat/>
    <w:uiPriority w:val="0"/>
    <w:pPr>
      <w:tabs>
        <w:tab w:val="center" w:pos="4153"/>
        <w:tab w:val="right" w:pos="8306"/>
      </w:tabs>
      <w:snapToGrid w:val="0"/>
      <w:jc w:val="left"/>
    </w:pPr>
    <w:rPr>
      <w:sz w:val="18"/>
      <w:szCs w:val="18"/>
    </w:rPr>
  </w:style>
  <w:style w:type="paragraph" w:styleId="37">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30"/>
    <w:qFormat/>
    <w:uiPriority w:val="0"/>
    <w:pPr>
      <w:adjustRightInd w:val="0"/>
      <w:spacing w:after="600" w:line="312" w:lineRule="atLeast"/>
      <w:jc w:val="center"/>
      <w:textAlignment w:val="baseline"/>
    </w:pPr>
    <w:rPr>
      <w:rFonts w:eastAsia="仿宋_GB2312"/>
      <w:kern w:val="0"/>
      <w:sz w:val="20"/>
    </w:rPr>
  </w:style>
  <w:style w:type="paragraph" w:styleId="39">
    <w:name w:val="toc 1"/>
    <w:basedOn w:val="1"/>
    <w:next w:val="1"/>
    <w:qFormat/>
    <w:uiPriority w:val="39"/>
    <w:pPr>
      <w:spacing w:before="240" w:after="240"/>
      <w:jc w:val="left"/>
    </w:pPr>
    <w:rPr>
      <w:caps/>
      <w:sz w:val="24"/>
    </w:rPr>
  </w:style>
  <w:style w:type="paragraph" w:styleId="40">
    <w:name w:val="toc 4"/>
    <w:basedOn w:val="1"/>
    <w:next w:val="1"/>
    <w:qFormat/>
    <w:uiPriority w:val="0"/>
    <w:pPr>
      <w:ind w:left="630"/>
      <w:jc w:val="left"/>
    </w:pPr>
    <w:rPr>
      <w:sz w:val="18"/>
    </w:rPr>
  </w:style>
  <w:style w:type="paragraph" w:styleId="41">
    <w:name w:val="index heading"/>
    <w:basedOn w:val="1"/>
    <w:next w:val="42"/>
    <w:qFormat/>
    <w:uiPriority w:val="0"/>
  </w:style>
  <w:style w:type="paragraph" w:styleId="42">
    <w:name w:val="index 1"/>
    <w:basedOn w:val="1"/>
    <w:next w:val="1"/>
    <w:qFormat/>
    <w:uiPriority w:val="0"/>
    <w:rPr>
      <w:rFonts w:ascii="仿宋_GB2312" w:hAnsi="宋体" w:eastAsia="仿宋_GB2312"/>
      <w:sz w:val="30"/>
      <w:szCs w:val="24"/>
    </w:rPr>
  </w:style>
  <w:style w:type="paragraph" w:styleId="43">
    <w:name w:val="Subtitle"/>
    <w:basedOn w:val="1"/>
    <w:next w:val="1"/>
    <w:link w:val="79"/>
    <w:qFormat/>
    <w:uiPriority w:val="0"/>
    <w:pPr>
      <w:widowControl/>
      <w:spacing w:after="600" w:line="276" w:lineRule="auto"/>
      <w:jc w:val="left"/>
    </w:pPr>
    <w:rPr>
      <w:rFonts w:ascii="Cambria" w:hAnsi="Cambria"/>
      <w:i/>
      <w:iCs/>
      <w:spacing w:val="13"/>
      <w:kern w:val="0"/>
      <w:sz w:val="24"/>
      <w:szCs w:val="24"/>
      <w:lang w:eastAsia="en-US"/>
    </w:rPr>
  </w:style>
  <w:style w:type="paragraph" w:styleId="44">
    <w:name w:val="footnote text"/>
    <w:basedOn w:val="1"/>
    <w:link w:val="132"/>
    <w:qFormat/>
    <w:uiPriority w:val="0"/>
    <w:pPr>
      <w:snapToGrid w:val="0"/>
      <w:jc w:val="left"/>
    </w:pPr>
    <w:rPr>
      <w:sz w:val="18"/>
      <w:szCs w:val="18"/>
    </w:rPr>
  </w:style>
  <w:style w:type="paragraph" w:styleId="45">
    <w:name w:val="toc 6"/>
    <w:basedOn w:val="1"/>
    <w:next w:val="1"/>
    <w:qFormat/>
    <w:uiPriority w:val="0"/>
    <w:pPr>
      <w:ind w:left="1050"/>
      <w:jc w:val="left"/>
    </w:pPr>
    <w:rPr>
      <w:sz w:val="18"/>
    </w:rPr>
  </w:style>
  <w:style w:type="paragraph" w:styleId="46">
    <w:name w:val="Body Text Indent 3"/>
    <w:basedOn w:val="1"/>
    <w:link w:val="112"/>
    <w:qFormat/>
    <w:uiPriority w:val="0"/>
    <w:pPr>
      <w:ind w:left="645" w:firstLine="645"/>
    </w:pPr>
    <w:rPr>
      <w:sz w:val="16"/>
      <w:szCs w:val="16"/>
    </w:rPr>
  </w:style>
  <w:style w:type="paragraph" w:styleId="47">
    <w:name w:val="index 7"/>
    <w:basedOn w:val="1"/>
    <w:next w:val="1"/>
    <w:qFormat/>
    <w:uiPriority w:val="0"/>
    <w:pPr>
      <w:ind w:left="2520"/>
    </w:pPr>
  </w:style>
  <w:style w:type="paragraph" w:styleId="48">
    <w:name w:val="index 9"/>
    <w:basedOn w:val="1"/>
    <w:next w:val="1"/>
    <w:qFormat/>
    <w:uiPriority w:val="0"/>
    <w:pPr>
      <w:ind w:left="3360"/>
    </w:pPr>
  </w:style>
  <w:style w:type="paragraph" w:styleId="49">
    <w:name w:val="table of figures"/>
    <w:basedOn w:val="1"/>
    <w:next w:val="1"/>
    <w:qFormat/>
    <w:uiPriority w:val="0"/>
    <w:pPr>
      <w:ind w:left="840" w:hanging="420"/>
    </w:pPr>
  </w:style>
  <w:style w:type="paragraph" w:styleId="50">
    <w:name w:val="toc 2"/>
    <w:basedOn w:val="1"/>
    <w:next w:val="1"/>
    <w:qFormat/>
    <w:uiPriority w:val="0"/>
    <w:pPr>
      <w:ind w:left="210"/>
      <w:jc w:val="left"/>
    </w:pPr>
    <w:rPr>
      <w:smallCaps/>
      <w:sz w:val="20"/>
    </w:rPr>
  </w:style>
  <w:style w:type="paragraph" w:styleId="51">
    <w:name w:val="toc 9"/>
    <w:basedOn w:val="1"/>
    <w:next w:val="1"/>
    <w:qFormat/>
    <w:uiPriority w:val="0"/>
    <w:pPr>
      <w:ind w:left="1680"/>
      <w:jc w:val="left"/>
    </w:pPr>
    <w:rPr>
      <w:sz w:val="18"/>
    </w:rPr>
  </w:style>
  <w:style w:type="paragraph" w:styleId="52">
    <w:name w:val="Body Text 2"/>
    <w:basedOn w:val="1"/>
    <w:link w:val="172"/>
    <w:qFormat/>
    <w:uiPriority w:val="0"/>
    <w:pPr>
      <w:widowControl/>
      <w:jc w:val="center"/>
    </w:pPr>
    <w:rPr>
      <w:rFonts w:ascii="楷体_GB2312" w:eastAsia="楷体_GB2312"/>
      <w:sz w:val="20"/>
    </w:rPr>
  </w:style>
  <w:style w:type="paragraph" w:styleId="53">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5">
    <w:name w:val="index 2"/>
    <w:basedOn w:val="1"/>
    <w:next w:val="1"/>
    <w:qFormat/>
    <w:uiPriority w:val="0"/>
    <w:pPr>
      <w:ind w:left="420"/>
    </w:pPr>
  </w:style>
  <w:style w:type="paragraph" w:styleId="56">
    <w:name w:val="Title"/>
    <w:basedOn w:val="1"/>
    <w:link w:val="169"/>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7">
    <w:name w:val="annotation subject"/>
    <w:basedOn w:val="19"/>
    <w:next w:val="19"/>
    <w:link w:val="143"/>
    <w:qFormat/>
    <w:uiPriority w:val="0"/>
    <w:rPr>
      <w:b/>
      <w:bCs/>
    </w:rPr>
  </w:style>
  <w:style w:type="paragraph" w:styleId="58">
    <w:name w:val="Body Text First Indent"/>
    <w:basedOn w:val="23"/>
    <w:link w:val="104"/>
    <w:qFormat/>
    <w:uiPriority w:val="0"/>
    <w:pPr>
      <w:spacing w:after="120"/>
      <w:ind w:firstLine="420" w:firstLineChars="100"/>
    </w:pPr>
    <w:rPr>
      <w:rFonts w:ascii="Times New Roman" w:hAnsi="Times New Roman" w:eastAsia="宋体"/>
      <w:sz w:val="24"/>
      <w:szCs w:val="24"/>
    </w:rPr>
  </w:style>
  <w:style w:type="paragraph" w:styleId="59">
    <w:name w:val="Body Text First Indent 2"/>
    <w:basedOn w:val="24"/>
    <w:qFormat/>
    <w:uiPriority w:val="0"/>
    <w:pPr>
      <w:ind w:firstLine="420" w:firstLineChars="200"/>
    </w:p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character" w:customStyle="1" w:styleId="74">
    <w:name w:val="页脚 Char1"/>
    <w:basedOn w:val="62"/>
    <w:qFormat/>
    <w:uiPriority w:val="0"/>
    <w:rPr>
      <w:rFonts w:cs="Times New Roman"/>
      <w:kern w:val="2"/>
      <w:sz w:val="18"/>
      <w:szCs w:val="18"/>
    </w:rPr>
  </w:style>
  <w:style w:type="character" w:customStyle="1" w:styleId="75">
    <w:name w:val="正文文本 字符"/>
    <w:basedOn w:val="62"/>
    <w:link w:val="23"/>
    <w:qFormat/>
    <w:uiPriority w:val="0"/>
    <w:rPr>
      <w:rFonts w:ascii="楷体_GB2312" w:hAnsi="Arial" w:eastAsia="楷体_GB2312" w:cs="Times New Roman"/>
      <w:sz w:val="20"/>
      <w:szCs w:val="20"/>
    </w:rPr>
  </w:style>
  <w:style w:type="character" w:customStyle="1" w:styleId="76">
    <w:name w:val="Body Text Indent 2 Char"/>
    <w:qFormat/>
    <w:uiPriority w:val="0"/>
    <w:rPr>
      <w:rFonts w:ascii="Arial" w:hAnsi="Arial" w:eastAsia="仿宋_GB2312"/>
      <w:sz w:val="32"/>
    </w:rPr>
  </w:style>
  <w:style w:type="character" w:customStyle="1" w:styleId="77">
    <w:name w:val="标题 5 字符"/>
    <w:basedOn w:val="62"/>
    <w:link w:val="7"/>
    <w:qFormat/>
    <w:uiPriority w:val="0"/>
    <w:rPr>
      <w:rFonts w:ascii="黑体" w:hAnsi="Times New Roman" w:eastAsia="黑体" w:cs="Times New Roman"/>
      <w:b/>
      <w:color w:val="000000"/>
      <w:kern w:val="0"/>
      <w:sz w:val="20"/>
      <w:szCs w:val="20"/>
    </w:rPr>
  </w:style>
  <w:style w:type="character" w:customStyle="1" w:styleId="78">
    <w:name w:val="Body Text Indent 3 Char1"/>
    <w:basedOn w:val="62"/>
    <w:qFormat/>
    <w:uiPriority w:val="0"/>
    <w:rPr>
      <w:rFonts w:ascii="Times New Roman" w:hAnsi="Times New Roman"/>
      <w:kern w:val="2"/>
      <w:sz w:val="16"/>
      <w:szCs w:val="16"/>
    </w:rPr>
  </w:style>
  <w:style w:type="character" w:customStyle="1" w:styleId="79">
    <w:name w:val="副标题 字符"/>
    <w:basedOn w:val="62"/>
    <w:link w:val="43"/>
    <w:qFormat/>
    <w:uiPriority w:val="0"/>
    <w:rPr>
      <w:rFonts w:ascii="Cambria" w:hAnsi="Cambria" w:eastAsia="宋体" w:cs="Times New Roman"/>
      <w:i/>
      <w:iCs/>
      <w:spacing w:val="13"/>
      <w:kern w:val="0"/>
      <w:sz w:val="24"/>
      <w:szCs w:val="24"/>
      <w:lang w:eastAsia="en-US"/>
    </w:rPr>
  </w:style>
  <w:style w:type="character" w:customStyle="1" w:styleId="80">
    <w:name w:val="listbenefit"/>
    <w:qFormat/>
    <w:uiPriority w:val="0"/>
  </w:style>
  <w:style w:type="character" w:customStyle="1" w:styleId="81">
    <w:name w:val="Char Char27"/>
    <w:qFormat/>
    <w:uiPriority w:val="0"/>
    <w:rPr>
      <w:b/>
      <w:kern w:val="44"/>
      <w:sz w:val="44"/>
    </w:rPr>
  </w:style>
  <w:style w:type="character" w:customStyle="1" w:styleId="82">
    <w:name w:val="param-value"/>
    <w:basedOn w:val="62"/>
    <w:qFormat/>
    <w:uiPriority w:val="0"/>
    <w:rPr>
      <w:rFonts w:cs="Times New Roman"/>
    </w:rPr>
  </w:style>
  <w:style w:type="character" w:customStyle="1" w:styleId="83">
    <w:name w:val="纯文本 Char Char Char1"/>
    <w:qFormat/>
    <w:uiPriority w:val="0"/>
    <w:rPr>
      <w:rFonts w:ascii="宋体" w:hAnsi="Courier New" w:eastAsia="宋体"/>
      <w:kern w:val="2"/>
      <w:sz w:val="21"/>
      <w:lang w:val="en-US" w:eastAsia="zh-CN"/>
    </w:rPr>
  </w:style>
  <w:style w:type="character" w:customStyle="1" w:styleId="84">
    <w:name w:val="apple-converted-space"/>
    <w:basedOn w:val="62"/>
    <w:qFormat/>
    <w:uiPriority w:val="0"/>
    <w:rPr>
      <w:rFonts w:cs="Times New Roman"/>
    </w:rPr>
  </w:style>
  <w:style w:type="character" w:customStyle="1" w:styleId="85">
    <w:name w:val="Char Char29"/>
    <w:qFormat/>
    <w:uiPriority w:val="0"/>
    <w:rPr>
      <w:rFonts w:ascii="Times New Roman" w:hAnsi="Times New Roman" w:eastAsia="宋体"/>
      <w:b/>
      <w:kern w:val="44"/>
      <w:sz w:val="44"/>
    </w:rPr>
  </w:style>
  <w:style w:type="character" w:customStyle="1" w:styleId="86">
    <w:name w:val="标题 3 Char"/>
    <w:basedOn w:val="62"/>
    <w:qFormat/>
    <w:uiPriority w:val="0"/>
    <w:rPr>
      <w:rFonts w:ascii="Times New Roman" w:hAnsi="Times New Roman" w:eastAsia="宋体" w:cs="Times New Roman"/>
      <w:b/>
      <w:bCs/>
      <w:sz w:val="32"/>
      <w:szCs w:val="32"/>
    </w:rPr>
  </w:style>
  <w:style w:type="character" w:customStyle="1" w:styleId="87">
    <w:name w:val="标题 4 字符"/>
    <w:basedOn w:val="62"/>
    <w:link w:val="6"/>
    <w:qFormat/>
    <w:uiPriority w:val="0"/>
    <w:rPr>
      <w:rFonts w:ascii="Arial" w:hAnsi="Arial" w:eastAsia="黑体" w:cs="Times New Roman"/>
      <w:b/>
      <w:sz w:val="20"/>
      <w:szCs w:val="20"/>
    </w:rPr>
  </w:style>
  <w:style w:type="character" w:customStyle="1" w:styleId="88">
    <w:name w:val="正文文本 3 字符"/>
    <w:basedOn w:val="62"/>
    <w:link w:val="22"/>
    <w:qFormat/>
    <w:uiPriority w:val="0"/>
    <w:rPr>
      <w:rFonts w:ascii="仿宋_GB2312" w:hAnsi="Arial" w:eastAsia="仿宋_GB2312" w:cs="Times New Roman"/>
      <w:sz w:val="20"/>
      <w:szCs w:val="20"/>
    </w:rPr>
  </w:style>
  <w:style w:type="character" w:customStyle="1" w:styleId="89">
    <w:name w:val="正文文本缩进 Char"/>
    <w:basedOn w:val="62"/>
    <w:qFormat/>
    <w:uiPriority w:val="0"/>
    <w:rPr>
      <w:rFonts w:ascii="Times New Roman" w:hAnsi="Times New Roman" w:eastAsia="宋体" w:cs="Times New Roman"/>
      <w:sz w:val="20"/>
      <w:szCs w:val="20"/>
    </w:rPr>
  </w:style>
  <w:style w:type="character" w:customStyle="1" w:styleId="90">
    <w:name w:val="Plain Text Char"/>
    <w:qFormat/>
    <w:uiPriority w:val="0"/>
    <w:rPr>
      <w:rFonts w:ascii="宋体" w:hAnsi="Courier New"/>
    </w:rPr>
  </w:style>
  <w:style w:type="character" w:customStyle="1" w:styleId="91">
    <w:name w:val="HTML 预设格式 Char"/>
    <w:basedOn w:val="62"/>
    <w:qFormat/>
    <w:uiPriority w:val="0"/>
    <w:rPr>
      <w:rFonts w:ascii="Courier New" w:hAnsi="Courier New" w:eastAsia="宋体" w:cs="Courier New"/>
      <w:sz w:val="20"/>
      <w:szCs w:val="20"/>
    </w:rPr>
  </w:style>
  <w:style w:type="character" w:customStyle="1" w:styleId="92">
    <w:name w:val="批注文字 Char Char"/>
    <w:qFormat/>
    <w:uiPriority w:val="0"/>
    <w:rPr>
      <w:rFonts w:eastAsia="宋体"/>
      <w:kern w:val="2"/>
      <w:sz w:val="21"/>
      <w:lang w:val="en-US" w:eastAsia="zh-CN"/>
    </w:rPr>
  </w:style>
  <w:style w:type="character" w:customStyle="1" w:styleId="93">
    <w:name w:val="Body Text Indent Char"/>
    <w:qFormat/>
    <w:uiPriority w:val="0"/>
    <w:rPr>
      <w:rFonts w:ascii="楷体_GB2312" w:eastAsia="楷体_GB2312"/>
      <w:sz w:val="32"/>
    </w:rPr>
  </w:style>
  <w:style w:type="character" w:customStyle="1" w:styleId="94">
    <w:name w:val="已访问的超链接1"/>
    <w:qFormat/>
    <w:uiPriority w:val="0"/>
    <w:rPr>
      <w:color w:val="auto"/>
      <w:u w:val="none"/>
    </w:rPr>
  </w:style>
  <w:style w:type="character" w:customStyle="1" w:styleId="95">
    <w:name w:val="纯文本 Char Char Char"/>
    <w:qFormat/>
    <w:uiPriority w:val="0"/>
    <w:rPr>
      <w:rFonts w:ascii="宋体" w:hAnsi="Courier New" w:eastAsia="宋体"/>
      <w:kern w:val="2"/>
      <w:sz w:val="21"/>
      <w:lang w:val="en-US" w:eastAsia="zh-CN"/>
    </w:rPr>
  </w:style>
  <w:style w:type="character" w:customStyle="1" w:styleId="96">
    <w:name w:val="普通文字1 Char"/>
    <w:qFormat/>
    <w:uiPriority w:val="0"/>
    <w:rPr>
      <w:rFonts w:ascii="宋体" w:eastAsia="宋体"/>
      <w:kern w:val="2"/>
      <w:sz w:val="21"/>
      <w:lang w:val="en-US" w:eastAsia="zh-CN"/>
    </w:rPr>
  </w:style>
  <w:style w:type="character" w:customStyle="1" w:styleId="97">
    <w:name w:val="Comment Subject Char"/>
    <w:qFormat/>
    <w:uiPriority w:val="0"/>
    <w:rPr>
      <w:b/>
    </w:rPr>
  </w:style>
  <w:style w:type="character" w:customStyle="1" w:styleId="98">
    <w:name w:val="Char Char28"/>
    <w:qFormat/>
    <w:uiPriority w:val="0"/>
    <w:rPr>
      <w:rFonts w:ascii="Arial" w:hAnsi="Arial" w:eastAsia="黑体"/>
      <w:b/>
      <w:sz w:val="32"/>
    </w:rPr>
  </w:style>
  <w:style w:type="character" w:customStyle="1" w:styleId="99">
    <w:name w:val="Char Char23"/>
    <w:qFormat/>
    <w:uiPriority w:val="0"/>
    <w:rPr>
      <w:rFonts w:ascii="Arial" w:hAnsi="Arial" w:eastAsia="黑体"/>
      <w:b/>
      <w:kern w:val="2"/>
      <w:sz w:val="24"/>
    </w:rPr>
  </w:style>
  <w:style w:type="character" w:customStyle="1" w:styleId="100">
    <w:name w:val="Char Char21"/>
    <w:qFormat/>
    <w:uiPriority w:val="0"/>
    <w:rPr>
      <w:rFonts w:ascii="Arial" w:hAnsi="Arial" w:eastAsia="黑体"/>
      <w:kern w:val="2"/>
      <w:sz w:val="24"/>
    </w:rPr>
  </w:style>
  <w:style w:type="character" w:customStyle="1" w:styleId="101">
    <w:name w:val="Char Char2"/>
    <w:qFormat/>
    <w:uiPriority w:val="0"/>
    <w:rPr>
      <w:rFonts w:ascii="宋体" w:hAnsi="Courier New" w:eastAsia="宋体"/>
      <w:kern w:val="2"/>
      <w:sz w:val="21"/>
      <w:lang w:val="en-US" w:eastAsia="zh-CN"/>
    </w:rPr>
  </w:style>
  <w:style w:type="character" w:customStyle="1" w:styleId="102">
    <w:name w:val="t1"/>
    <w:qFormat/>
    <w:uiPriority w:val="0"/>
  </w:style>
  <w:style w:type="character" w:customStyle="1" w:styleId="103">
    <w:name w:val="华宇段落1 Char Char Char"/>
    <w:qFormat/>
    <w:uiPriority w:val="0"/>
    <w:rPr>
      <w:rFonts w:eastAsia="宋体"/>
      <w:kern w:val="2"/>
      <w:sz w:val="24"/>
      <w:lang w:val="en-US" w:eastAsia="zh-CN"/>
    </w:rPr>
  </w:style>
  <w:style w:type="character" w:customStyle="1" w:styleId="104">
    <w:name w:val="正文文本首行缩进 字符"/>
    <w:basedOn w:val="75"/>
    <w:link w:val="58"/>
    <w:qFormat/>
    <w:uiPriority w:val="0"/>
    <w:rPr>
      <w:rFonts w:ascii="Times New Roman" w:hAnsi="Times New Roman" w:eastAsia="宋体" w:cs="Times New Roman"/>
      <w:sz w:val="24"/>
      <w:szCs w:val="24"/>
    </w:rPr>
  </w:style>
  <w:style w:type="character" w:customStyle="1" w:styleId="105">
    <w:name w:val="纯文本 Char1"/>
    <w:qFormat/>
    <w:uiPriority w:val="0"/>
    <w:rPr>
      <w:rFonts w:ascii="宋体" w:hAnsi="Courier New"/>
      <w:kern w:val="2"/>
      <w:sz w:val="21"/>
    </w:rPr>
  </w:style>
  <w:style w:type="character" w:customStyle="1" w:styleId="106">
    <w:name w:val="textcontents"/>
    <w:basedOn w:val="62"/>
    <w:qFormat/>
    <w:uiPriority w:val="0"/>
    <w:rPr>
      <w:rFonts w:cs="Times New Roman"/>
    </w:rPr>
  </w:style>
  <w:style w:type="character" w:customStyle="1" w:styleId="107">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08">
    <w:name w:val="纯文本 Char"/>
    <w:basedOn w:val="62"/>
    <w:qFormat/>
    <w:uiPriority w:val="0"/>
    <w:rPr>
      <w:rFonts w:ascii="宋体" w:hAnsi="Courier New" w:eastAsia="宋体" w:cs="Courier New"/>
      <w:sz w:val="21"/>
      <w:szCs w:val="21"/>
    </w:rPr>
  </w:style>
  <w:style w:type="character" w:customStyle="1" w:styleId="109">
    <w:name w:val="我的正文 Char Char"/>
    <w:link w:val="110"/>
    <w:qFormat/>
    <w:uiPriority w:val="0"/>
    <w:rPr>
      <w:rFonts w:ascii="宋体" w:eastAsia="宋体"/>
      <w:sz w:val="21"/>
    </w:rPr>
  </w:style>
  <w:style w:type="paragraph" w:customStyle="1" w:styleId="110">
    <w:name w:val="我的正文"/>
    <w:basedOn w:val="1"/>
    <w:link w:val="109"/>
    <w:qFormat/>
    <w:uiPriority w:val="0"/>
    <w:pPr>
      <w:widowControl/>
      <w:spacing w:line="360" w:lineRule="auto"/>
      <w:ind w:firstLine="420"/>
      <w:jc w:val="left"/>
    </w:pPr>
    <w:rPr>
      <w:rFonts w:ascii="宋体" w:hAnsi="Calibri"/>
      <w:kern w:val="0"/>
    </w:rPr>
  </w:style>
  <w:style w:type="character" w:customStyle="1" w:styleId="111">
    <w:name w:val="Title Char"/>
    <w:qFormat/>
    <w:uiPriority w:val="0"/>
    <w:rPr>
      <w:rFonts w:eastAsia="黑体"/>
      <w:b/>
      <w:sz w:val="28"/>
      <w:lang w:val="en-GB"/>
    </w:rPr>
  </w:style>
  <w:style w:type="character" w:customStyle="1" w:styleId="112">
    <w:name w:val="正文文本缩进 3 字符"/>
    <w:basedOn w:val="62"/>
    <w:link w:val="46"/>
    <w:qFormat/>
    <w:uiPriority w:val="0"/>
    <w:rPr>
      <w:rFonts w:ascii="Times New Roman" w:hAnsi="Times New Roman" w:eastAsia="宋体" w:cs="Times New Roman"/>
      <w:sz w:val="16"/>
      <w:szCs w:val="16"/>
    </w:rPr>
  </w:style>
  <w:style w:type="character" w:customStyle="1" w:styleId="113">
    <w:name w:val="Title1 Char"/>
    <w:qFormat/>
    <w:uiPriority w:val="0"/>
    <w:rPr>
      <w:rFonts w:eastAsia="宋体"/>
      <w:b/>
      <w:kern w:val="44"/>
      <w:sz w:val="44"/>
      <w:lang w:val="en-US" w:eastAsia="zh-CN"/>
    </w:rPr>
  </w:style>
  <w:style w:type="character" w:customStyle="1" w:styleId="114">
    <w:name w:val="content"/>
    <w:basedOn w:val="62"/>
    <w:qFormat/>
    <w:uiPriority w:val="0"/>
    <w:rPr>
      <w:rFonts w:cs="Times New Roman"/>
    </w:rPr>
  </w:style>
  <w:style w:type="character" w:customStyle="1" w:styleId="115">
    <w:name w:val="Char Char17"/>
    <w:qFormat/>
    <w:uiPriority w:val="0"/>
    <w:rPr>
      <w:rFonts w:ascii="宋体" w:hAnsi="Courier New"/>
      <w:kern w:val="2"/>
      <w:sz w:val="21"/>
    </w:rPr>
  </w:style>
  <w:style w:type="character" w:customStyle="1" w:styleId="116">
    <w:name w:val="标准小四 Char Char"/>
    <w:qFormat/>
    <w:uiPriority w:val="0"/>
    <w:rPr>
      <w:rFonts w:ascii="Arial" w:hAnsi="Arial" w:eastAsia="宋体"/>
      <w:kern w:val="2"/>
      <w:sz w:val="21"/>
      <w:lang w:val="en-US" w:eastAsia="zh-CN"/>
    </w:rPr>
  </w:style>
  <w:style w:type="character" w:customStyle="1" w:styleId="117">
    <w:name w:val="样式 宋体 小四"/>
    <w:qFormat/>
    <w:uiPriority w:val="0"/>
    <w:rPr>
      <w:rFonts w:ascii="宋体" w:eastAsia="宋体"/>
      <w:sz w:val="24"/>
    </w:rPr>
  </w:style>
  <w:style w:type="character" w:customStyle="1" w:styleId="118">
    <w:name w:val="ih151"/>
    <w:qFormat/>
    <w:uiPriority w:val="0"/>
    <w:rPr>
      <w:color w:val="666666"/>
      <w:sz w:val="18"/>
      <w:u w:val="none"/>
    </w:rPr>
  </w:style>
  <w:style w:type="character" w:customStyle="1" w:styleId="119">
    <w:name w:val="style13"/>
    <w:qFormat/>
    <w:uiPriority w:val="0"/>
    <w:rPr>
      <w:sz w:val="18"/>
    </w:rPr>
  </w:style>
  <w:style w:type="character" w:customStyle="1" w:styleId="120">
    <w:name w:val="纯文本 字符"/>
    <w:basedOn w:val="62"/>
    <w:link w:val="29"/>
    <w:qFormat/>
    <w:uiPriority w:val="99"/>
    <w:rPr>
      <w:rFonts w:ascii="宋体" w:hAnsi="Courier New" w:cs="Courier New"/>
      <w:kern w:val="2"/>
      <w:sz w:val="21"/>
      <w:szCs w:val="21"/>
    </w:rPr>
  </w:style>
  <w:style w:type="character" w:customStyle="1" w:styleId="121">
    <w:name w:val="标题 6 字符"/>
    <w:basedOn w:val="62"/>
    <w:link w:val="8"/>
    <w:qFormat/>
    <w:uiPriority w:val="0"/>
    <w:rPr>
      <w:rFonts w:ascii="Arial" w:hAnsi="Arial" w:eastAsia="黑体" w:cs="Times New Roman"/>
      <w:b/>
      <w:bCs/>
      <w:sz w:val="24"/>
      <w:szCs w:val="24"/>
    </w:rPr>
  </w:style>
  <w:style w:type="character" w:customStyle="1" w:styleId="122">
    <w:name w:val="style131"/>
    <w:qFormat/>
    <w:uiPriority w:val="0"/>
    <w:rPr>
      <w:sz w:val="18"/>
    </w:rPr>
  </w:style>
  <w:style w:type="character" w:customStyle="1" w:styleId="123">
    <w:name w:val="Char Char25"/>
    <w:qFormat/>
    <w:uiPriority w:val="0"/>
    <w:rPr>
      <w:rFonts w:ascii="Arial" w:hAnsi="Arial" w:eastAsia="黑体"/>
      <w:b/>
      <w:kern w:val="2"/>
      <w:sz w:val="28"/>
    </w:rPr>
  </w:style>
  <w:style w:type="character" w:customStyle="1" w:styleId="124">
    <w:name w:val="不明显强调1"/>
    <w:basedOn w:val="62"/>
    <w:qFormat/>
    <w:uiPriority w:val="0"/>
    <w:rPr>
      <w:i/>
    </w:rPr>
  </w:style>
  <w:style w:type="character" w:customStyle="1" w:styleId="125">
    <w:name w:val="标准文本 Char Char"/>
    <w:qFormat/>
    <w:uiPriority w:val="0"/>
    <w:rPr>
      <w:rFonts w:eastAsia="宋体"/>
      <w:kern w:val="2"/>
      <w:sz w:val="24"/>
      <w:lang w:val="en-US" w:eastAsia="zh-CN"/>
    </w:rPr>
  </w:style>
  <w:style w:type="character" w:customStyle="1" w:styleId="126">
    <w:name w:val="Comment Subject Char1"/>
    <w:basedOn w:val="127"/>
    <w:qFormat/>
    <w:uiPriority w:val="0"/>
    <w:rPr>
      <w:rFonts w:ascii="Times New Roman" w:hAnsi="Times New Roman" w:eastAsia="宋体" w:cs="Times New Roman"/>
      <w:b/>
      <w:bCs/>
      <w:kern w:val="2"/>
      <w:sz w:val="21"/>
      <w:szCs w:val="20"/>
    </w:rPr>
  </w:style>
  <w:style w:type="character" w:customStyle="1" w:styleId="127">
    <w:name w:val="批注文字 字符"/>
    <w:basedOn w:val="62"/>
    <w:link w:val="19"/>
    <w:qFormat/>
    <w:uiPriority w:val="99"/>
    <w:rPr>
      <w:rFonts w:ascii="Times New Roman" w:hAnsi="Times New Roman" w:eastAsia="宋体" w:cs="Times New Roman"/>
      <w:sz w:val="20"/>
      <w:szCs w:val="20"/>
    </w:rPr>
  </w:style>
  <w:style w:type="character" w:customStyle="1" w:styleId="128">
    <w:name w:val="normalfont1"/>
    <w:qFormat/>
    <w:uiPriority w:val="0"/>
    <w:rPr>
      <w:rFonts w:ascii="??" w:hAnsi="??"/>
      <w:sz w:val="18"/>
      <w:u w:val="none"/>
    </w:rPr>
  </w:style>
  <w:style w:type="character" w:customStyle="1" w:styleId="129">
    <w:name w:val="小四 段落 宋体 Char Char Char Char Char Char Char Char"/>
    <w:qFormat/>
    <w:uiPriority w:val="0"/>
    <w:rPr>
      <w:rFonts w:eastAsia="宋体"/>
      <w:kern w:val="2"/>
      <w:sz w:val="24"/>
      <w:lang w:val="en-US" w:eastAsia="zh-CN"/>
    </w:rPr>
  </w:style>
  <w:style w:type="character" w:customStyle="1" w:styleId="130">
    <w:name w:val="签名 字符"/>
    <w:basedOn w:val="62"/>
    <w:link w:val="38"/>
    <w:qFormat/>
    <w:uiPriority w:val="0"/>
    <w:rPr>
      <w:rFonts w:ascii="Times New Roman" w:hAnsi="Times New Roman" w:eastAsia="仿宋_GB2312" w:cs="Times New Roman"/>
      <w:kern w:val="0"/>
      <w:sz w:val="20"/>
      <w:szCs w:val="20"/>
    </w:rPr>
  </w:style>
  <w:style w:type="character" w:customStyle="1" w:styleId="131">
    <w:name w:val="标题 Char1"/>
    <w:qFormat/>
    <w:uiPriority w:val="0"/>
    <w:rPr>
      <w:rFonts w:ascii="Cambria" w:eastAsia="宋体"/>
      <w:b/>
      <w:sz w:val="32"/>
    </w:rPr>
  </w:style>
  <w:style w:type="character" w:customStyle="1" w:styleId="132">
    <w:name w:val="脚注文本 字符"/>
    <w:basedOn w:val="62"/>
    <w:link w:val="44"/>
    <w:qFormat/>
    <w:uiPriority w:val="0"/>
    <w:rPr>
      <w:rFonts w:ascii="Times New Roman" w:hAnsi="Times New Roman" w:eastAsia="宋体" w:cs="Times New Roman"/>
      <w:sz w:val="18"/>
      <w:szCs w:val="18"/>
    </w:rPr>
  </w:style>
  <w:style w:type="character" w:customStyle="1" w:styleId="133">
    <w:name w:val="页眉 字符"/>
    <w:basedOn w:val="62"/>
    <w:link w:val="37"/>
    <w:qFormat/>
    <w:uiPriority w:val="0"/>
    <w:rPr>
      <w:rFonts w:cs="Times New Roman"/>
      <w:sz w:val="18"/>
      <w:szCs w:val="18"/>
    </w:rPr>
  </w:style>
  <w:style w:type="character" w:customStyle="1" w:styleId="134">
    <w:name w:val="Quote Char Char"/>
    <w:qFormat/>
    <w:uiPriority w:val="0"/>
    <w:rPr>
      <w:rFonts w:ascii="Calibri" w:hAnsi="Calibri"/>
      <w:i/>
      <w:sz w:val="22"/>
      <w:lang w:eastAsia="en-US"/>
    </w:rPr>
  </w:style>
  <w:style w:type="character" w:customStyle="1" w:styleId="135">
    <w:name w:val="content_lineheight1"/>
    <w:basedOn w:val="62"/>
    <w:qFormat/>
    <w:uiPriority w:val="0"/>
    <w:rPr>
      <w:rFonts w:cs="Times New Roman"/>
    </w:rPr>
  </w:style>
  <w:style w:type="character" w:customStyle="1" w:styleId="136">
    <w:name w:val="标题 7 字符"/>
    <w:basedOn w:val="62"/>
    <w:link w:val="9"/>
    <w:qFormat/>
    <w:uiPriority w:val="0"/>
    <w:rPr>
      <w:rFonts w:ascii="Times New Roman" w:hAnsi="Times New Roman" w:eastAsia="宋体" w:cs="Times New Roman"/>
      <w:b/>
      <w:bCs/>
      <w:sz w:val="24"/>
      <w:szCs w:val="24"/>
    </w:rPr>
  </w:style>
  <w:style w:type="character" w:customStyle="1" w:styleId="137">
    <w:name w:val="Title Char1"/>
    <w:basedOn w:val="62"/>
    <w:qFormat/>
    <w:uiPriority w:val="0"/>
    <w:rPr>
      <w:rFonts w:ascii="Cambria" w:hAnsi="Cambria" w:cs="Times New Roman"/>
      <w:b/>
      <w:bCs/>
      <w:kern w:val="2"/>
      <w:sz w:val="32"/>
      <w:szCs w:val="32"/>
    </w:rPr>
  </w:style>
  <w:style w:type="character" w:customStyle="1" w:styleId="138">
    <w:name w:val="正文 + 宋体 Char"/>
    <w:qFormat/>
    <w:uiPriority w:val="0"/>
    <w:rPr>
      <w:rFonts w:eastAsia="宋体"/>
      <w:kern w:val="2"/>
      <w:sz w:val="24"/>
      <w:lang w:val="en-US" w:eastAsia="zh-CN"/>
    </w:rPr>
  </w:style>
  <w:style w:type="character" w:customStyle="1" w:styleId="139">
    <w:name w:val="日期 字符"/>
    <w:basedOn w:val="62"/>
    <w:link w:val="32"/>
    <w:qFormat/>
    <w:uiPriority w:val="0"/>
    <w:rPr>
      <w:rFonts w:ascii="Times New Roman" w:hAnsi="Times New Roman" w:eastAsia="宋体" w:cs="Times New Roman"/>
      <w:sz w:val="20"/>
      <w:szCs w:val="20"/>
    </w:rPr>
  </w:style>
  <w:style w:type="character" w:customStyle="1" w:styleId="140">
    <w:name w:val="特点 Char1"/>
    <w:qFormat/>
    <w:uiPriority w:val="0"/>
    <w:rPr>
      <w:rFonts w:eastAsia="宋体"/>
      <w:kern w:val="2"/>
      <w:sz w:val="21"/>
      <w:lang w:val="en-US" w:eastAsia="zh-CN"/>
    </w:rPr>
  </w:style>
  <w:style w:type="character" w:customStyle="1" w:styleId="141">
    <w:name w:val="表格抬头 Char Char"/>
    <w:link w:val="142"/>
    <w:qFormat/>
    <w:uiPriority w:val="0"/>
    <w:rPr>
      <w:rFonts w:ascii="黑体" w:eastAsia="黑体"/>
      <w:b/>
    </w:rPr>
  </w:style>
  <w:style w:type="paragraph" w:customStyle="1" w:styleId="142">
    <w:name w:val="表格抬头"/>
    <w:basedOn w:val="1"/>
    <w:link w:val="141"/>
    <w:qFormat/>
    <w:uiPriority w:val="0"/>
    <w:pPr>
      <w:jc w:val="center"/>
    </w:pPr>
    <w:rPr>
      <w:rFonts w:ascii="黑体" w:hAnsi="Calibri" w:eastAsia="黑体"/>
      <w:b/>
      <w:kern w:val="0"/>
      <w:sz w:val="20"/>
    </w:rPr>
  </w:style>
  <w:style w:type="character" w:customStyle="1" w:styleId="143">
    <w:name w:val="批注主题 字符"/>
    <w:basedOn w:val="127"/>
    <w:link w:val="57"/>
    <w:qFormat/>
    <w:uiPriority w:val="0"/>
    <w:rPr>
      <w:rFonts w:ascii="Times New Roman" w:hAnsi="Times New Roman" w:eastAsia="宋体" w:cs="Times New Roman"/>
      <w:b/>
      <w:bCs/>
      <w:sz w:val="20"/>
      <w:szCs w:val="20"/>
    </w:rPr>
  </w:style>
  <w:style w:type="character" w:customStyle="1" w:styleId="144">
    <w:name w:val="HTML Preformatted Char"/>
    <w:qFormat/>
    <w:uiPriority w:val="0"/>
    <w:rPr>
      <w:rFonts w:ascii="黑体" w:hAnsi="Courier New" w:eastAsia="黑体"/>
    </w:rPr>
  </w:style>
  <w:style w:type="character" w:customStyle="1" w:styleId="145">
    <w:name w:val="h Char Char"/>
    <w:qFormat/>
    <w:uiPriority w:val="0"/>
    <w:rPr>
      <w:rFonts w:eastAsia="宋体"/>
      <w:kern w:val="2"/>
      <w:sz w:val="18"/>
      <w:lang w:val="en-US" w:eastAsia="zh-CN"/>
    </w:rPr>
  </w:style>
  <w:style w:type="character" w:customStyle="1" w:styleId="146">
    <w:name w:val="subtitle1"/>
    <w:qFormat/>
    <w:uiPriority w:val="0"/>
    <w:rPr>
      <w:rFonts w:ascii="Georgia" w:hAnsi="Georgia"/>
      <w:b/>
      <w:color w:val="666666"/>
      <w:sz w:val="18"/>
    </w:rPr>
  </w:style>
  <w:style w:type="character" w:customStyle="1" w:styleId="147">
    <w:name w:val="样式 非加粗"/>
    <w:qFormat/>
    <w:uiPriority w:val="0"/>
    <w:rPr>
      <w:rFonts w:eastAsia="宋体"/>
      <w:sz w:val="28"/>
    </w:rPr>
  </w:style>
  <w:style w:type="character" w:customStyle="1" w:styleId="148">
    <w:name w:val="小四 段落 宋体 Char Char Char Char Char"/>
    <w:link w:val="149"/>
    <w:qFormat/>
    <w:uiPriority w:val="0"/>
    <w:rPr>
      <w:rFonts w:eastAsia="宋体"/>
      <w:kern w:val="2"/>
      <w:sz w:val="24"/>
      <w:lang w:val="en-US" w:eastAsia="zh-CN"/>
    </w:rPr>
  </w:style>
  <w:style w:type="paragraph" w:customStyle="1" w:styleId="149">
    <w:name w:val="小四 段落 宋体"/>
    <w:basedOn w:val="16"/>
    <w:link w:val="148"/>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0">
    <w:name w:val="标题 8 字符"/>
    <w:basedOn w:val="62"/>
    <w:link w:val="10"/>
    <w:qFormat/>
    <w:uiPriority w:val="0"/>
    <w:rPr>
      <w:rFonts w:ascii="Arial" w:hAnsi="Arial" w:eastAsia="黑体" w:cs="Times New Roman"/>
      <w:sz w:val="24"/>
      <w:szCs w:val="24"/>
    </w:rPr>
  </w:style>
  <w:style w:type="character" w:customStyle="1" w:styleId="151">
    <w:name w:val="Document Map Char"/>
    <w:qFormat/>
    <w:uiPriority w:val="0"/>
    <w:rPr>
      <w:shd w:val="clear" w:color="auto" w:fill="000080"/>
    </w:rPr>
  </w:style>
  <w:style w:type="character" w:customStyle="1" w:styleId="152">
    <w:name w:val="para_small"/>
    <w:basedOn w:val="62"/>
    <w:qFormat/>
    <w:uiPriority w:val="0"/>
    <w:rPr>
      <w:rFonts w:cs="Times New Roman"/>
    </w:rPr>
  </w:style>
  <w:style w:type="character" w:customStyle="1" w:styleId="153">
    <w:name w:val="2nd level Char"/>
    <w:qFormat/>
    <w:uiPriority w:val="0"/>
    <w:rPr>
      <w:rFonts w:ascii="Arial" w:hAnsi="Arial" w:eastAsia="黑体"/>
      <w:b/>
      <w:kern w:val="2"/>
      <w:sz w:val="32"/>
      <w:lang w:val="en-US" w:eastAsia="zh-CN"/>
    </w:rPr>
  </w:style>
  <w:style w:type="character" w:customStyle="1" w:styleId="154">
    <w:name w:val="小四 段落 宋体 Char Char Char Char1"/>
    <w:qFormat/>
    <w:uiPriority w:val="0"/>
    <w:rPr>
      <w:rFonts w:eastAsia="宋体"/>
      <w:kern w:val="2"/>
      <w:sz w:val="24"/>
      <w:lang w:val="en-US" w:eastAsia="zh-CN"/>
    </w:rPr>
  </w:style>
  <w:style w:type="character" w:customStyle="1" w:styleId="155">
    <w:name w:val="Body Text Indent 2 Char1"/>
    <w:basedOn w:val="62"/>
    <w:qFormat/>
    <w:uiPriority w:val="0"/>
    <w:rPr>
      <w:rFonts w:ascii="Times New Roman" w:hAnsi="Times New Roman"/>
      <w:kern w:val="2"/>
      <w:sz w:val="21"/>
    </w:rPr>
  </w:style>
  <w:style w:type="character" w:customStyle="1" w:styleId="156">
    <w:name w:val="标题 9 字符"/>
    <w:basedOn w:val="62"/>
    <w:link w:val="11"/>
    <w:qFormat/>
    <w:uiPriority w:val="0"/>
    <w:rPr>
      <w:rFonts w:ascii="Arial" w:hAnsi="Arial" w:eastAsia="黑体" w:cs="Times New Roman"/>
      <w:sz w:val="21"/>
      <w:szCs w:val="21"/>
    </w:rPr>
  </w:style>
  <w:style w:type="character" w:customStyle="1" w:styleId="157">
    <w:name w:val="明显强调1"/>
    <w:basedOn w:val="62"/>
    <w:qFormat/>
    <w:uiPriority w:val="0"/>
    <w:rPr>
      <w:b/>
    </w:rPr>
  </w:style>
  <w:style w:type="character" w:customStyle="1" w:styleId="158">
    <w:name w:val="标题 2 字符"/>
    <w:basedOn w:val="62"/>
    <w:link w:val="3"/>
    <w:qFormat/>
    <w:uiPriority w:val="0"/>
    <w:rPr>
      <w:rFonts w:ascii="宋体" w:hAnsi="宋体" w:eastAsia="宋体" w:cs="Times New Roman"/>
      <w:b/>
      <w:sz w:val="24"/>
      <w:szCs w:val="24"/>
    </w:rPr>
  </w:style>
  <w:style w:type="character" w:customStyle="1" w:styleId="15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0">
    <w:name w:val="Quote Char2"/>
    <w:basedOn w:val="62"/>
    <w:qFormat/>
    <w:uiPriority w:val="0"/>
    <w:rPr>
      <w:rFonts w:ascii="Times New Roman" w:hAnsi="Times New Roman" w:eastAsia="宋体" w:cs="Times New Roman"/>
      <w:i/>
      <w:iCs/>
      <w:color w:val="000000"/>
      <w:sz w:val="20"/>
      <w:szCs w:val="20"/>
    </w:rPr>
  </w:style>
  <w:style w:type="character" w:customStyle="1" w:styleId="161">
    <w:name w:val="小四 段落 宋体 Char Char Char1"/>
    <w:qFormat/>
    <w:uiPriority w:val="0"/>
    <w:rPr>
      <w:rFonts w:ascii="宋体" w:hAnsi="宋体" w:eastAsia="宋体"/>
      <w:kern w:val="2"/>
      <w:sz w:val="24"/>
      <w:lang w:val="en-US" w:eastAsia="zh-CN"/>
    </w:rPr>
  </w:style>
  <w:style w:type="character" w:customStyle="1" w:styleId="162">
    <w:name w:val="正文文本缩进 2 字符"/>
    <w:basedOn w:val="62"/>
    <w:link w:val="33"/>
    <w:qFormat/>
    <w:uiPriority w:val="0"/>
    <w:rPr>
      <w:rFonts w:ascii="Times New Roman" w:hAnsi="Times New Roman" w:eastAsia="宋体" w:cs="Times New Roman"/>
      <w:sz w:val="20"/>
      <w:szCs w:val="20"/>
    </w:rPr>
  </w:style>
  <w:style w:type="character" w:customStyle="1" w:styleId="163">
    <w:name w:val="Quote Char1"/>
    <w:basedOn w:val="62"/>
    <w:link w:val="164"/>
    <w:qFormat/>
    <w:uiPriority w:val="0"/>
    <w:rPr>
      <w:rFonts w:ascii="Times New Roman" w:hAnsi="Times New Roman"/>
      <w:i/>
      <w:iCs/>
      <w:color w:val="000000"/>
      <w:kern w:val="2"/>
      <w:sz w:val="21"/>
    </w:rPr>
  </w:style>
  <w:style w:type="paragraph" w:customStyle="1" w:styleId="164">
    <w:name w:val="引用1"/>
    <w:basedOn w:val="1"/>
    <w:next w:val="1"/>
    <w:link w:val="163"/>
    <w:qFormat/>
    <w:uiPriority w:val="0"/>
    <w:pPr>
      <w:widowControl/>
      <w:spacing w:before="200" w:line="276" w:lineRule="auto"/>
      <w:ind w:left="360" w:right="360"/>
      <w:jc w:val="left"/>
    </w:pPr>
    <w:rPr>
      <w:i/>
      <w:iCs/>
      <w:color w:val="000000"/>
      <w:sz w:val="20"/>
    </w:rPr>
  </w:style>
  <w:style w:type="character" w:customStyle="1" w:styleId="165">
    <w:name w:val="文档结构图 Char"/>
    <w:basedOn w:val="62"/>
    <w:qFormat/>
    <w:uiPriority w:val="0"/>
    <w:rPr>
      <w:rFonts w:ascii="宋体" w:hAnsi="Times New Roman" w:eastAsia="宋体" w:cs="Times New Roman"/>
      <w:sz w:val="18"/>
      <w:szCs w:val="18"/>
    </w:rPr>
  </w:style>
  <w:style w:type="character" w:customStyle="1" w:styleId="166">
    <w:name w:val="HTML 预设格式 字符"/>
    <w:basedOn w:val="62"/>
    <w:link w:val="53"/>
    <w:qFormat/>
    <w:uiPriority w:val="0"/>
    <w:rPr>
      <w:rFonts w:ascii="Courier New" w:hAnsi="Courier New" w:cs="Courier New"/>
      <w:kern w:val="2"/>
    </w:rPr>
  </w:style>
  <w:style w:type="character" w:customStyle="1" w:styleId="167">
    <w:name w:val="标准文本 Char Char Char"/>
    <w:qFormat/>
    <w:uiPriority w:val="0"/>
    <w:rPr>
      <w:rFonts w:eastAsia="宋体"/>
      <w:kern w:val="2"/>
      <w:sz w:val="24"/>
      <w:lang w:val="en-US" w:eastAsia="zh-CN"/>
    </w:rPr>
  </w:style>
  <w:style w:type="character" w:customStyle="1" w:styleId="168">
    <w:name w:val="正文文本缩进 字符"/>
    <w:basedOn w:val="62"/>
    <w:link w:val="24"/>
    <w:qFormat/>
    <w:uiPriority w:val="0"/>
    <w:rPr>
      <w:rFonts w:ascii="Times New Roman" w:hAnsi="Times New Roman"/>
      <w:kern w:val="2"/>
      <w:sz w:val="21"/>
    </w:rPr>
  </w:style>
  <w:style w:type="character" w:customStyle="1" w:styleId="169">
    <w:name w:val="标题 字符"/>
    <w:basedOn w:val="62"/>
    <w:link w:val="56"/>
    <w:qFormat/>
    <w:uiPriority w:val="0"/>
    <w:rPr>
      <w:rFonts w:ascii="Cambria" w:hAnsi="Cambria" w:eastAsia="宋体" w:cs="Times New Roman"/>
      <w:b/>
      <w:bCs/>
      <w:sz w:val="32"/>
      <w:szCs w:val="32"/>
    </w:rPr>
  </w:style>
  <w:style w:type="character" w:customStyle="1" w:styleId="170">
    <w:name w:val="纯文本 Char Char"/>
    <w:qFormat/>
    <w:uiPriority w:val="0"/>
    <w:rPr>
      <w:rFonts w:ascii="宋体" w:hAnsi="Courier New" w:eastAsia="宋体"/>
      <w:kern w:val="2"/>
      <w:sz w:val="21"/>
      <w:lang w:val="en-US" w:eastAsia="zh-CN"/>
    </w:rPr>
  </w:style>
  <w:style w:type="character" w:customStyle="1" w:styleId="171">
    <w:name w:val="case31"/>
    <w:qFormat/>
    <w:uiPriority w:val="0"/>
    <w:rPr>
      <w:sz w:val="21"/>
    </w:rPr>
  </w:style>
  <w:style w:type="character" w:customStyle="1" w:styleId="172">
    <w:name w:val="正文文本 2 字符"/>
    <w:basedOn w:val="62"/>
    <w:link w:val="52"/>
    <w:qFormat/>
    <w:uiPriority w:val="0"/>
    <w:rPr>
      <w:rFonts w:ascii="楷体_GB2312" w:hAnsi="Times New Roman" w:eastAsia="楷体_GB2312" w:cs="Times New Roman"/>
      <w:sz w:val="20"/>
      <w:szCs w:val="20"/>
    </w:rPr>
  </w:style>
  <w:style w:type="character" w:customStyle="1" w:styleId="173">
    <w:name w:val="标题 3 Char Char"/>
    <w:qFormat/>
    <w:uiPriority w:val="0"/>
    <w:rPr>
      <w:rFonts w:eastAsia="仿宋_GB2312"/>
      <w:b/>
      <w:kern w:val="2"/>
      <w:sz w:val="32"/>
      <w:lang w:val="en-US" w:eastAsia="zh-CN"/>
    </w:rPr>
  </w:style>
  <w:style w:type="character" w:customStyle="1" w:styleId="174">
    <w:name w:val="正文缩进 Char1"/>
    <w:link w:val="175"/>
    <w:qFormat/>
    <w:uiPriority w:val="0"/>
    <w:rPr>
      <w:rFonts w:ascii="Times New Roman" w:hAnsi="Times New Roman" w:eastAsia="宋体"/>
      <w:kern w:val="0"/>
      <w:sz w:val="20"/>
    </w:rPr>
  </w:style>
  <w:style w:type="paragraph" w:customStyle="1" w:styleId="175">
    <w:name w:val="正文缩进1"/>
    <w:basedOn w:val="1"/>
    <w:link w:val="174"/>
    <w:qFormat/>
    <w:uiPriority w:val="0"/>
    <w:pPr>
      <w:ind w:firstLine="420"/>
    </w:pPr>
    <w:rPr>
      <w:kern w:val="0"/>
      <w:sz w:val="20"/>
    </w:rPr>
  </w:style>
  <w:style w:type="character" w:customStyle="1" w:styleId="176">
    <w:name w:val="新图表正文 Char Char"/>
    <w:link w:val="177"/>
    <w:qFormat/>
    <w:uiPriority w:val="0"/>
    <w:rPr>
      <w:rFonts w:ascii="宋体" w:hAnsi="宋体"/>
      <w:kern w:val="2"/>
      <w:sz w:val="18"/>
      <w:szCs w:val="21"/>
      <w:lang w:val="en-US" w:eastAsia="zh-CN" w:bidi="ar-SA"/>
    </w:rPr>
  </w:style>
  <w:style w:type="paragraph" w:customStyle="1" w:styleId="177">
    <w:name w:val="新图表正文"/>
    <w:link w:val="176"/>
    <w:qFormat/>
    <w:uiPriority w:val="0"/>
    <w:pPr>
      <w:jc w:val="both"/>
    </w:pPr>
    <w:rPr>
      <w:rFonts w:ascii="宋体" w:hAnsi="宋体" w:eastAsia="宋体" w:cs="Times New Roman"/>
      <w:kern w:val="2"/>
      <w:sz w:val="18"/>
      <w:szCs w:val="21"/>
      <w:lang w:val="en-US" w:eastAsia="zh-CN" w:bidi="ar-SA"/>
    </w:rPr>
  </w:style>
  <w:style w:type="character" w:customStyle="1" w:styleId="178">
    <w:name w:val="样式 首行缩进:  2 字符 Char Char Char"/>
    <w:qFormat/>
    <w:uiPriority w:val="0"/>
    <w:rPr>
      <w:rFonts w:eastAsia="宋体"/>
      <w:kern w:val="2"/>
      <w:sz w:val="24"/>
      <w:lang w:val="en-US" w:eastAsia="zh-CN"/>
    </w:rPr>
  </w:style>
  <w:style w:type="character" w:customStyle="1" w:styleId="179">
    <w:name w:val="Intense Quote Char1"/>
    <w:basedOn w:val="62"/>
    <w:link w:val="180"/>
    <w:qFormat/>
    <w:uiPriority w:val="0"/>
    <w:rPr>
      <w:rFonts w:ascii="Times New Roman" w:hAnsi="Times New Roman"/>
      <w:b/>
      <w:bCs/>
      <w:i/>
      <w:iCs/>
      <w:color w:val="4F81BD"/>
      <w:kern w:val="2"/>
      <w:sz w:val="21"/>
    </w:rPr>
  </w:style>
  <w:style w:type="paragraph" w:customStyle="1" w:styleId="180">
    <w:name w:val="明显引用1"/>
    <w:basedOn w:val="1"/>
    <w:next w:val="1"/>
    <w:link w:val="179"/>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1">
    <w:name w:val="Char Char20"/>
    <w:qFormat/>
    <w:uiPriority w:val="0"/>
    <w:rPr>
      <w:rFonts w:ascii="Arial" w:hAnsi="Arial" w:eastAsia="黑体"/>
      <w:kern w:val="2"/>
      <w:sz w:val="21"/>
    </w:rPr>
  </w:style>
  <w:style w:type="character" w:customStyle="1" w:styleId="182">
    <w:name w:val="No Spacing Char Char"/>
    <w:link w:val="183"/>
    <w:qFormat/>
    <w:uiPriority w:val="0"/>
    <w:rPr>
      <w:rFonts w:eastAsia="微软雅黑"/>
      <w:kern w:val="2"/>
      <w:sz w:val="24"/>
      <w:szCs w:val="22"/>
      <w:lang w:val="en-US" w:eastAsia="zh-CN" w:bidi="ar-SA"/>
    </w:rPr>
  </w:style>
  <w:style w:type="paragraph" w:customStyle="1" w:styleId="183">
    <w:name w:val="无间隔2"/>
    <w:link w:val="182"/>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4">
    <w:name w:val="小四 段落 宋体 Char Char Char Char Char Char"/>
    <w:qFormat/>
    <w:uiPriority w:val="0"/>
    <w:rPr>
      <w:rFonts w:eastAsia="宋体"/>
      <w:kern w:val="2"/>
      <w:sz w:val="24"/>
      <w:lang w:val="en-US" w:eastAsia="zh-CN"/>
    </w:rPr>
  </w:style>
  <w:style w:type="character" w:customStyle="1" w:styleId="185">
    <w:name w:val="3zw"/>
    <w:basedOn w:val="62"/>
    <w:qFormat/>
    <w:uiPriority w:val="0"/>
    <w:rPr>
      <w:rFonts w:cs="Times New Roman"/>
    </w:rPr>
  </w:style>
  <w:style w:type="character" w:customStyle="1" w:styleId="186">
    <w:name w:val="Intense Quote Char Char"/>
    <w:qFormat/>
    <w:uiPriority w:val="0"/>
    <w:rPr>
      <w:rFonts w:ascii="Calibri" w:hAnsi="Calibri"/>
      <w:b/>
      <w:i/>
      <w:sz w:val="22"/>
      <w:lang w:eastAsia="en-US"/>
    </w:rPr>
  </w:style>
  <w:style w:type="character" w:customStyle="1" w:styleId="187">
    <w:name w:val="Body Text Indent 3 Char"/>
    <w:qFormat/>
    <w:uiPriority w:val="0"/>
    <w:rPr>
      <w:rFonts w:ascii="Arial" w:hAnsi="Arial" w:eastAsia="仿宋_GB2312"/>
      <w:color w:val="FFFF00"/>
      <w:sz w:val="32"/>
    </w:rPr>
  </w:style>
  <w:style w:type="character" w:customStyle="1" w:styleId="188">
    <w:name w:val="A2"/>
    <w:qFormat/>
    <w:uiPriority w:val="0"/>
    <w:rPr>
      <w:color w:val="000000"/>
      <w:sz w:val="18"/>
    </w:rPr>
  </w:style>
  <w:style w:type="character" w:customStyle="1" w:styleId="189">
    <w:name w:val="标题 1 字符"/>
    <w:basedOn w:val="62"/>
    <w:link w:val="2"/>
    <w:qFormat/>
    <w:uiPriority w:val="0"/>
    <w:rPr>
      <w:rFonts w:ascii="黑体" w:hAnsi="Times New Roman" w:eastAsia="黑体" w:cs="Times New Roman"/>
      <w:b/>
      <w:kern w:val="44"/>
      <w:sz w:val="28"/>
      <w:szCs w:val="28"/>
    </w:rPr>
  </w:style>
  <w:style w:type="character" w:customStyle="1" w:styleId="190">
    <w:name w:val="明显参考1"/>
    <w:basedOn w:val="62"/>
    <w:qFormat/>
    <w:uiPriority w:val="0"/>
    <w:rPr>
      <w:smallCaps/>
      <w:spacing w:val="5"/>
      <w:u w:val="single"/>
    </w:rPr>
  </w:style>
  <w:style w:type="character" w:customStyle="1" w:styleId="191">
    <w:name w:val="称呼 字符"/>
    <w:basedOn w:val="62"/>
    <w:link w:val="21"/>
    <w:qFormat/>
    <w:uiPriority w:val="0"/>
    <w:rPr>
      <w:rFonts w:ascii="仿宋_GB2312" w:hAnsi="Times New Roman" w:eastAsia="仿宋_GB2312" w:cs="Times New Roman"/>
      <w:sz w:val="20"/>
      <w:szCs w:val="20"/>
    </w:rPr>
  </w:style>
  <w:style w:type="character" w:customStyle="1" w:styleId="192">
    <w:name w:val="111111 Char Char"/>
    <w:link w:val="193"/>
    <w:qFormat/>
    <w:uiPriority w:val="0"/>
    <w:rPr>
      <w:rFonts w:ascii="宋体" w:hAnsi="宋体" w:eastAsia="黑体"/>
      <w:b/>
      <w:sz w:val="21"/>
    </w:rPr>
  </w:style>
  <w:style w:type="paragraph" w:customStyle="1" w:styleId="193">
    <w:name w:val="111111"/>
    <w:basedOn w:val="1"/>
    <w:link w:val="192"/>
    <w:qFormat/>
    <w:uiPriority w:val="0"/>
    <w:pPr>
      <w:spacing w:before="120" w:after="120"/>
      <w:jc w:val="center"/>
    </w:pPr>
    <w:rPr>
      <w:rFonts w:ascii="宋体" w:hAnsi="宋体" w:eastAsia="黑体"/>
      <w:b/>
      <w:kern w:val="0"/>
    </w:rPr>
  </w:style>
  <w:style w:type="character" w:customStyle="1" w:styleId="194">
    <w:name w:val="小四 段落 宋体 Char1"/>
    <w:qFormat/>
    <w:uiPriority w:val="0"/>
    <w:rPr>
      <w:rFonts w:eastAsia="宋体"/>
      <w:kern w:val="2"/>
      <w:sz w:val="24"/>
      <w:lang w:val="en-US" w:eastAsia="zh-CN"/>
    </w:rPr>
  </w:style>
  <w:style w:type="character" w:customStyle="1" w:styleId="195">
    <w:name w:val="文档结构图 字符"/>
    <w:basedOn w:val="62"/>
    <w:link w:val="18"/>
    <w:qFormat/>
    <w:uiPriority w:val="0"/>
    <w:rPr>
      <w:rFonts w:ascii="Times New Roman" w:hAnsi="Times New Roman"/>
      <w:kern w:val="2"/>
      <w:sz w:val="16"/>
      <w:szCs w:val="0"/>
    </w:rPr>
  </w:style>
  <w:style w:type="character" w:customStyle="1" w:styleId="196">
    <w:name w:val="title_emph1"/>
    <w:qFormat/>
    <w:uiPriority w:val="0"/>
    <w:rPr>
      <w:rFonts w:ascii="Arial"/>
      <w:b/>
      <w:sz w:val="18"/>
    </w:rPr>
  </w:style>
  <w:style w:type="character" w:customStyle="1" w:styleId="197">
    <w:name w:val="页脚 字符"/>
    <w:basedOn w:val="62"/>
    <w:link w:val="36"/>
    <w:qFormat/>
    <w:uiPriority w:val="0"/>
    <w:rPr>
      <w:rFonts w:cs="Times New Roman"/>
      <w:sz w:val="18"/>
      <w:szCs w:val="18"/>
    </w:rPr>
  </w:style>
  <w:style w:type="character" w:customStyle="1" w:styleId="198">
    <w:name w:val="书籍标题1"/>
    <w:basedOn w:val="62"/>
    <w:qFormat/>
    <w:uiPriority w:val="0"/>
    <w:rPr>
      <w:i/>
      <w:smallCaps/>
      <w:spacing w:val="5"/>
    </w:rPr>
  </w:style>
  <w:style w:type="character" w:customStyle="1" w:styleId="199">
    <w:name w:val="不明显参考1"/>
    <w:basedOn w:val="62"/>
    <w:qFormat/>
    <w:uiPriority w:val="0"/>
    <w:rPr>
      <w:smallCaps/>
    </w:rPr>
  </w:style>
  <w:style w:type="character" w:customStyle="1" w:styleId="200">
    <w:name w:val="样式 首行缩进:  2 字符 Char Char"/>
    <w:link w:val="201"/>
    <w:qFormat/>
    <w:uiPriority w:val="0"/>
    <w:rPr>
      <w:sz w:val="24"/>
    </w:rPr>
  </w:style>
  <w:style w:type="paragraph" w:customStyle="1" w:styleId="201">
    <w:name w:val="样式 首行缩进:  2 字符"/>
    <w:basedOn w:val="1"/>
    <w:link w:val="200"/>
    <w:qFormat/>
    <w:uiPriority w:val="0"/>
    <w:pPr>
      <w:spacing w:line="360" w:lineRule="auto"/>
      <w:ind w:firstLine="480" w:firstLineChars="200"/>
    </w:pPr>
    <w:rPr>
      <w:rFonts w:ascii="Calibri" w:hAnsi="Calibri"/>
      <w:kern w:val="0"/>
      <w:sz w:val="24"/>
    </w:rPr>
  </w:style>
  <w:style w:type="character" w:customStyle="1" w:styleId="202">
    <w:name w:val="标题 3 字符"/>
    <w:basedOn w:val="62"/>
    <w:link w:val="5"/>
    <w:qFormat/>
    <w:uiPriority w:val="0"/>
    <w:rPr>
      <w:rFonts w:ascii="宋体" w:hAnsi="宋体" w:eastAsia="宋体"/>
      <w:b/>
      <w:sz w:val="28"/>
      <w:shd w:val="clear" w:color="auto" w:fill="FFFFFF"/>
    </w:rPr>
  </w:style>
  <w:style w:type="character" w:customStyle="1" w:styleId="203">
    <w:name w:val="Char Char22"/>
    <w:qFormat/>
    <w:uiPriority w:val="0"/>
    <w:rPr>
      <w:b/>
      <w:kern w:val="2"/>
      <w:sz w:val="24"/>
    </w:rPr>
  </w:style>
  <w:style w:type="character" w:customStyle="1" w:styleId="204">
    <w:name w:val="批注框文本 字符"/>
    <w:basedOn w:val="62"/>
    <w:link w:val="35"/>
    <w:qFormat/>
    <w:uiPriority w:val="0"/>
    <w:rPr>
      <w:rFonts w:ascii="Times New Roman" w:hAnsi="Times New Roman" w:eastAsia="宋体" w:cs="Times New Roman"/>
      <w:sz w:val="18"/>
      <w:szCs w:val="18"/>
    </w:rPr>
  </w:style>
  <w:style w:type="character" w:customStyle="1" w:styleId="205">
    <w:name w:val="尾注文本 字符"/>
    <w:basedOn w:val="62"/>
    <w:link w:val="34"/>
    <w:qFormat/>
    <w:uiPriority w:val="0"/>
    <w:rPr>
      <w:rFonts w:ascii="Times New Roman" w:hAnsi="Times New Roman" w:eastAsia="宋体" w:cs="Times New Roman"/>
      <w:kern w:val="0"/>
      <w:sz w:val="24"/>
      <w:szCs w:val="24"/>
    </w:rPr>
  </w:style>
  <w:style w:type="character" w:customStyle="1" w:styleId="206">
    <w:name w:val="point_normal1"/>
    <w:qFormat/>
    <w:uiPriority w:val="0"/>
    <w:rPr>
      <w:rFonts w:ascii="Arial" w:hAnsi="Arial"/>
      <w:sz w:val="18"/>
    </w:rPr>
  </w:style>
  <w:style w:type="character" w:customStyle="1" w:styleId="207">
    <w:name w:val="Char Char26"/>
    <w:qFormat/>
    <w:uiPriority w:val="0"/>
    <w:rPr>
      <w:b/>
      <w:kern w:val="2"/>
      <w:sz w:val="32"/>
    </w:rPr>
  </w:style>
  <w:style w:type="character" w:customStyle="1" w:styleId="208">
    <w:name w:val="Char Char24"/>
    <w:qFormat/>
    <w:uiPriority w:val="0"/>
    <w:rPr>
      <w:b/>
      <w:kern w:val="2"/>
      <w:sz w:val="28"/>
    </w:rPr>
  </w:style>
  <w:style w:type="character" w:customStyle="1" w:styleId="209">
    <w:name w:val="concon"/>
    <w:qFormat/>
    <w:uiPriority w:val="0"/>
  </w:style>
  <w:style w:type="paragraph" w:customStyle="1" w:styleId="210">
    <w:name w:val="标准文本"/>
    <w:basedOn w:val="1"/>
    <w:qFormat/>
    <w:uiPriority w:val="0"/>
    <w:pPr>
      <w:spacing w:line="360" w:lineRule="auto"/>
      <w:ind w:firstLine="480" w:firstLineChars="200"/>
    </w:pPr>
    <w:rPr>
      <w:rFonts w:cs="宋体"/>
      <w:sz w:val="24"/>
      <w:szCs w:val="24"/>
    </w:rPr>
  </w:style>
  <w:style w:type="paragraph" w:customStyle="1" w:styleId="211">
    <w:name w:val="Char Char Char Char Char Char Char Char Char Char Char Char Char1"/>
    <w:basedOn w:val="1"/>
    <w:qFormat/>
    <w:uiPriority w:val="0"/>
    <w:pPr>
      <w:widowControl/>
      <w:spacing w:after="160" w:line="240" w:lineRule="exact"/>
      <w:jc w:val="left"/>
    </w:pPr>
    <w:rPr>
      <w:szCs w:val="24"/>
    </w:rPr>
  </w:style>
  <w:style w:type="paragraph" w:customStyle="1" w:styleId="212">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3">
    <w:name w:val="flType"/>
    <w:basedOn w:val="214"/>
    <w:qFormat/>
    <w:uiPriority w:val="0"/>
    <w:pPr>
      <w:spacing w:after="284"/>
    </w:pPr>
    <w:rPr>
      <w:rFonts w:eastAsia="宋体"/>
      <w:b w:val="0"/>
    </w:rPr>
  </w:style>
  <w:style w:type="paragraph" w:customStyle="1" w:styleId="214">
    <w:name w:val="flName"/>
    <w:basedOn w:val="215"/>
    <w:qFormat/>
    <w:uiPriority w:val="0"/>
    <w:pPr>
      <w:spacing w:before="0" w:line="113" w:lineRule="atLeast"/>
    </w:pPr>
  </w:style>
  <w:style w:type="paragraph" w:customStyle="1" w:styleId="215">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6">
    <w:name w:val="华宇段落1 Char"/>
    <w:basedOn w:val="1"/>
    <w:qFormat/>
    <w:uiPriority w:val="0"/>
    <w:pPr>
      <w:spacing w:line="360" w:lineRule="auto"/>
      <w:ind w:firstLine="200" w:firstLineChars="200"/>
    </w:pPr>
    <w:rPr>
      <w:bCs/>
      <w:sz w:val="24"/>
      <w:szCs w:val="24"/>
    </w:rPr>
  </w:style>
  <w:style w:type="paragraph" w:customStyle="1" w:styleId="217">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8">
    <w:name w:val="Char Char Char Char Char Char Char Char Char"/>
    <w:basedOn w:val="1"/>
    <w:qFormat/>
    <w:uiPriority w:val="0"/>
    <w:pPr>
      <w:tabs>
        <w:tab w:val="left" w:pos="360"/>
      </w:tabs>
      <w:ind w:left="200" w:hanging="200" w:hangingChars="200"/>
    </w:pPr>
    <w:rPr>
      <w:sz w:val="24"/>
      <w:szCs w:val="24"/>
    </w:rPr>
  </w:style>
  <w:style w:type="paragraph" w:customStyle="1" w:styleId="219">
    <w:name w:val="greytypebeni"/>
    <w:basedOn w:val="1"/>
    <w:qFormat/>
    <w:uiPriority w:val="0"/>
    <w:pPr>
      <w:widowControl/>
      <w:jc w:val="left"/>
    </w:pPr>
    <w:rPr>
      <w:rFonts w:ascii="宋体" w:hAnsi="宋体" w:cs="宋体"/>
      <w:kern w:val="0"/>
      <w:sz w:val="24"/>
      <w:szCs w:val="24"/>
    </w:rPr>
  </w:style>
  <w:style w:type="paragraph" w:customStyle="1" w:styleId="220">
    <w:name w:val="Char Char1 Char Char Char Char1 Char Char Char Char Char Char"/>
    <w:basedOn w:val="1"/>
    <w:qFormat/>
    <w:uiPriority w:val="0"/>
    <w:rPr>
      <w:rFonts w:ascii="Tahoma" w:hAnsi="Tahoma"/>
      <w:sz w:val="24"/>
    </w:rPr>
  </w:style>
  <w:style w:type="paragraph" w:customStyle="1" w:styleId="221">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2">
    <w:name w:val="Char Char1"/>
    <w:basedOn w:val="1"/>
    <w:qFormat/>
    <w:uiPriority w:val="0"/>
    <w:rPr>
      <w:rFonts w:ascii="Tahoma" w:hAnsi="Tahoma" w:cs="Tahoma"/>
      <w:sz w:val="24"/>
    </w:rPr>
  </w:style>
  <w:style w:type="paragraph" w:customStyle="1" w:styleId="223">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4">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5">
    <w:name w:val="font13"/>
    <w:basedOn w:val="1"/>
    <w:qFormat/>
    <w:uiPriority w:val="0"/>
    <w:pPr>
      <w:widowControl/>
      <w:spacing w:before="100" w:beforeAutospacing="1" w:after="100" w:afterAutospacing="1"/>
      <w:jc w:val="left"/>
    </w:pPr>
    <w:rPr>
      <w:i/>
      <w:iCs/>
      <w:kern w:val="0"/>
      <w:sz w:val="36"/>
      <w:szCs w:val="36"/>
    </w:rPr>
  </w:style>
  <w:style w:type="paragraph" w:customStyle="1" w:styleId="226">
    <w:name w:val="中等深浅网格 1 - 强调文字颜色 21"/>
    <w:basedOn w:val="1"/>
    <w:qFormat/>
    <w:uiPriority w:val="0"/>
    <w:pPr>
      <w:ind w:firstLine="420" w:firstLineChars="200"/>
    </w:pPr>
    <w:rPr>
      <w:rFonts w:ascii="Calibri" w:hAnsi="Calibri"/>
      <w:szCs w:val="22"/>
    </w:rPr>
  </w:style>
  <w:style w:type="paragraph" w:customStyle="1" w:styleId="227">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9">
    <w:name w:val="默认段落字体 Para Char Char Char Char Char Char Char Char Char1 Char Char Char Char Char Char Char"/>
    <w:basedOn w:val="18"/>
    <w:qFormat/>
    <w:uiPriority w:val="0"/>
  </w:style>
  <w:style w:type="paragraph" w:customStyle="1" w:styleId="230">
    <w:name w:val="样式 样式 首行缩进:  2 字符 + 行距: 1.5 倍行距"/>
    <w:basedOn w:val="1"/>
    <w:qFormat/>
    <w:uiPriority w:val="0"/>
    <w:pPr>
      <w:spacing w:line="360" w:lineRule="auto"/>
      <w:ind w:firstLine="470" w:firstLineChars="196"/>
    </w:pPr>
    <w:rPr>
      <w:sz w:val="24"/>
    </w:rPr>
  </w:style>
  <w:style w:type="paragraph" w:customStyle="1" w:styleId="231">
    <w:name w:val="正文11"/>
    <w:basedOn w:val="1"/>
    <w:next w:val="1"/>
    <w:qFormat/>
    <w:uiPriority w:val="0"/>
    <w:pPr>
      <w:spacing w:before="156" w:line="360" w:lineRule="auto"/>
      <w:ind w:firstLine="510" w:firstLineChars="200"/>
    </w:pPr>
    <w:rPr>
      <w:sz w:val="24"/>
    </w:rPr>
  </w:style>
  <w:style w:type="paragraph" w:customStyle="1" w:styleId="232">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3">
    <w:name w:val="Char Char11"/>
    <w:basedOn w:val="1"/>
    <w:qFormat/>
    <w:uiPriority w:val="0"/>
    <w:rPr>
      <w:rFonts w:ascii="Tahoma" w:hAnsi="Tahoma"/>
      <w:sz w:val="24"/>
    </w:rPr>
  </w:style>
  <w:style w:type="paragraph" w:customStyle="1" w:styleId="234">
    <w:name w:val="丁华正文"/>
    <w:basedOn w:val="46"/>
    <w:qFormat/>
    <w:uiPriority w:val="0"/>
    <w:pPr>
      <w:adjustRightInd w:val="0"/>
      <w:snapToGrid w:val="0"/>
      <w:spacing w:line="360" w:lineRule="auto"/>
      <w:ind w:left="0" w:firstLine="510"/>
    </w:pPr>
    <w:rPr>
      <w:sz w:val="24"/>
    </w:rPr>
  </w:style>
  <w:style w:type="paragraph" w:customStyle="1" w:styleId="235">
    <w:name w:val="正文 居中"/>
    <w:basedOn w:val="1"/>
    <w:qFormat/>
    <w:uiPriority w:val="0"/>
    <w:pPr>
      <w:spacing w:line="360" w:lineRule="auto"/>
      <w:jc w:val="center"/>
    </w:pPr>
    <w:rPr>
      <w:sz w:val="24"/>
    </w:rPr>
  </w:style>
  <w:style w:type="paragraph" w:customStyle="1" w:styleId="236">
    <w:name w:val="Char Char3"/>
    <w:basedOn w:val="1"/>
    <w:qFormat/>
    <w:uiPriority w:val="0"/>
    <w:rPr>
      <w:rFonts w:ascii="Tahoma" w:hAnsi="Tahoma" w:cs="Tahoma"/>
      <w:sz w:val="24"/>
    </w:rPr>
  </w:style>
  <w:style w:type="paragraph" w:customStyle="1" w:styleId="237">
    <w:name w:val="Char Char Char Char Char"/>
    <w:basedOn w:val="1"/>
    <w:qFormat/>
    <w:uiPriority w:val="0"/>
    <w:rPr>
      <w:rFonts w:ascii="Tahoma" w:hAnsi="Tahoma"/>
      <w:sz w:val="24"/>
    </w:rPr>
  </w:style>
  <w:style w:type="paragraph" w:customStyle="1" w:styleId="23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39">
    <w:name w:val="Char Char1 Char Char Char Char Char Char Char"/>
    <w:basedOn w:val="1"/>
    <w:qFormat/>
    <w:uiPriority w:val="0"/>
    <w:rPr>
      <w:rFonts w:ascii="Tahoma" w:hAnsi="Tahoma" w:cs="Tahoma"/>
      <w:sz w:val="24"/>
    </w:rPr>
  </w:style>
  <w:style w:type="paragraph" w:customStyle="1" w:styleId="240">
    <w:name w:val="样式"/>
    <w:basedOn w:val="1"/>
    <w:qFormat/>
    <w:uiPriority w:val="0"/>
    <w:pPr>
      <w:autoSpaceDE w:val="0"/>
      <w:autoSpaceDN w:val="0"/>
      <w:snapToGrid w:val="0"/>
      <w:spacing w:before="120" w:after="120" w:line="360" w:lineRule="auto"/>
    </w:pPr>
    <w:rPr>
      <w:rFonts w:ascii="宋体"/>
      <w:sz w:val="24"/>
    </w:rPr>
  </w:style>
  <w:style w:type="paragraph" w:customStyle="1" w:styleId="24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2">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3">
    <w:name w:val="标准小四"/>
    <w:basedOn w:val="1"/>
    <w:qFormat/>
    <w:uiPriority w:val="0"/>
    <w:pPr>
      <w:spacing w:line="360" w:lineRule="auto"/>
      <w:ind w:firstLine="480" w:firstLineChars="200"/>
    </w:pPr>
    <w:rPr>
      <w:rFonts w:ascii="Arial" w:hAnsi="Arial"/>
      <w:sz w:val="24"/>
      <w:szCs w:val="21"/>
    </w:rPr>
  </w:style>
  <w:style w:type="paragraph" w:customStyle="1" w:styleId="2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5">
    <w:name w:val="Char Char Char Char Char Char Char1"/>
    <w:basedOn w:val="1"/>
    <w:qFormat/>
    <w:uiPriority w:val="0"/>
    <w:rPr>
      <w:rFonts w:ascii="Tahoma" w:hAnsi="Tahoma"/>
      <w:sz w:val="24"/>
    </w:rPr>
  </w:style>
  <w:style w:type="paragraph" w:customStyle="1" w:styleId="24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8">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49">
    <w:name w:val="默认段落字体 Para Char"/>
    <w:basedOn w:val="1"/>
    <w:qFormat/>
    <w:uiPriority w:val="0"/>
    <w:rPr>
      <w:sz w:val="24"/>
      <w:szCs w:val="24"/>
    </w:rPr>
  </w:style>
  <w:style w:type="paragraph" w:customStyle="1" w:styleId="250">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标题1，章节第一层"/>
    <w:basedOn w:val="253"/>
    <w:next w:val="253"/>
    <w:qFormat/>
    <w:uiPriority w:val="0"/>
    <w:pPr>
      <w:tabs>
        <w:tab w:val="left" w:pos="693"/>
      </w:tabs>
      <w:ind w:left="482"/>
      <w:outlineLvl w:val="0"/>
    </w:pPr>
    <w:rPr>
      <w:color w:val="000000"/>
      <w:sz w:val="24"/>
      <w:szCs w:val="24"/>
    </w:rPr>
  </w:style>
  <w:style w:type="paragraph" w:customStyle="1" w:styleId="25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4">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5">
    <w:name w:val="正文表标题"/>
    <w:next w:val="24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6">
    <w:name w:val="默认段落字体 Para Char Char Char Char Char Char Char"/>
    <w:basedOn w:val="1"/>
    <w:qFormat/>
    <w:uiPriority w:val="0"/>
  </w:style>
  <w:style w:type="paragraph" w:customStyle="1" w:styleId="257">
    <w:name w:val="Char Char Char1"/>
    <w:basedOn w:val="18"/>
    <w:qFormat/>
    <w:uiPriority w:val="0"/>
    <w:pPr>
      <w:spacing w:line="436" w:lineRule="exact"/>
    </w:pPr>
    <w:rPr>
      <w:szCs w:val="24"/>
    </w:rPr>
  </w:style>
  <w:style w:type="paragraph" w:customStyle="1" w:styleId="258">
    <w:name w:val="表格1"/>
    <w:basedOn w:val="1"/>
    <w:qFormat/>
    <w:uiPriority w:val="0"/>
    <w:pPr>
      <w:adjustRightInd w:val="0"/>
      <w:textAlignment w:val="baseline"/>
    </w:pPr>
    <w:rPr>
      <w:rFonts w:ascii="宋体"/>
      <w:kern w:val="24"/>
      <w:szCs w:val="21"/>
    </w:rPr>
  </w:style>
  <w:style w:type="paragraph" w:customStyle="1" w:styleId="259">
    <w:name w:val="项目符号：一级"/>
    <w:basedOn w:val="253"/>
    <w:next w:val="253"/>
    <w:qFormat/>
    <w:uiPriority w:val="0"/>
    <w:pPr>
      <w:ind w:right="-134" w:rightChars="-64"/>
    </w:pPr>
    <w:rPr>
      <w:bCs w:val="0"/>
    </w:rPr>
  </w:style>
  <w:style w:type="paragraph" w:customStyle="1" w:styleId="2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1">
    <w:name w:val="Char1 Char Char Char1"/>
    <w:basedOn w:val="1"/>
    <w:qFormat/>
    <w:uiPriority w:val="0"/>
    <w:rPr>
      <w:rFonts w:ascii="Tahoma" w:hAnsi="Tahoma" w:cs="Tahoma"/>
      <w:sz w:val="24"/>
    </w:rPr>
  </w:style>
  <w:style w:type="paragraph" w:customStyle="1" w:styleId="262">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3">
    <w:name w:val="正文文本缩进1"/>
    <w:basedOn w:val="1"/>
    <w:qFormat/>
    <w:uiPriority w:val="0"/>
    <w:pPr>
      <w:spacing w:after="120"/>
      <w:ind w:left="420" w:leftChars="200"/>
    </w:pPr>
    <w:rPr>
      <w:szCs w:val="24"/>
    </w:rPr>
  </w:style>
  <w:style w:type="paragraph" w:customStyle="1" w:styleId="26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5">
    <w:name w:val="表格"/>
    <w:basedOn w:val="1"/>
    <w:qFormat/>
    <w:uiPriority w:val="0"/>
    <w:pPr>
      <w:snapToGrid w:val="0"/>
      <w:ind w:firstLine="21" w:firstLineChars="21"/>
    </w:pPr>
    <w:rPr>
      <w:rFonts w:ascii="宋体" w:hAnsi="宋体" w:cs="宋体"/>
      <w:kern w:val="0"/>
      <w:sz w:val="20"/>
    </w:rPr>
  </w:style>
  <w:style w:type="paragraph" w:customStyle="1" w:styleId="266">
    <w:name w:val="Char Char Char Char Char Char Char"/>
    <w:basedOn w:val="1"/>
    <w:qFormat/>
    <w:uiPriority w:val="0"/>
    <w:pPr>
      <w:jc w:val="left"/>
    </w:pPr>
    <w:rPr>
      <w:rFonts w:ascii="Tahoma" w:hAnsi="Tahoma"/>
      <w:sz w:val="24"/>
    </w:rPr>
  </w:style>
  <w:style w:type="paragraph" w:customStyle="1" w:styleId="2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8">
    <w:name w:val="表格内文字"/>
    <w:basedOn w:val="1"/>
    <w:qFormat/>
    <w:uiPriority w:val="0"/>
    <w:pPr>
      <w:spacing w:line="300" w:lineRule="atLeast"/>
    </w:pPr>
    <w:rPr>
      <w:sz w:val="18"/>
      <w:szCs w:val="24"/>
    </w:rPr>
  </w:style>
  <w:style w:type="paragraph" w:customStyle="1" w:styleId="269">
    <w:name w:val="样式3"/>
    <w:basedOn w:val="1"/>
    <w:next w:val="1"/>
    <w:qFormat/>
    <w:uiPriority w:val="0"/>
    <w:pPr>
      <w:spacing w:line="360" w:lineRule="auto"/>
    </w:pPr>
  </w:style>
  <w:style w:type="paragraph" w:customStyle="1" w:styleId="270">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1">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3">
    <w:name w:val="符号与编号 Char"/>
    <w:basedOn w:val="1"/>
    <w:qFormat/>
    <w:uiPriority w:val="0"/>
    <w:pPr>
      <w:tabs>
        <w:tab w:val="left" w:pos="720"/>
      </w:tabs>
      <w:spacing w:afterLines="50" w:line="400" w:lineRule="atLeast"/>
      <w:ind w:left="720"/>
    </w:pPr>
    <w:rPr>
      <w:sz w:val="24"/>
      <w:szCs w:val="24"/>
    </w:rPr>
  </w:style>
  <w:style w:type="paragraph" w:customStyle="1" w:styleId="274">
    <w:name w:val="正文2"/>
    <w:basedOn w:val="1"/>
    <w:qFormat/>
    <w:uiPriority w:val="0"/>
    <w:pPr>
      <w:spacing w:before="156" w:line="360" w:lineRule="auto"/>
      <w:ind w:firstLine="510" w:firstLineChars="200"/>
    </w:pPr>
    <w:rPr>
      <w:sz w:val="24"/>
    </w:rPr>
  </w:style>
  <w:style w:type="paragraph" w:customStyle="1" w:styleId="275">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6">
    <w:name w:val="章标题"/>
    <w:next w:val="24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7">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8">
    <w:name w:val="Char1"/>
    <w:basedOn w:val="1"/>
    <w:qFormat/>
    <w:uiPriority w:val="0"/>
    <w:rPr>
      <w:rFonts w:ascii="仿宋_GB2312" w:hAnsi="宋体" w:eastAsia="仿宋_GB2312" w:cs="宋体"/>
      <w:b/>
      <w:sz w:val="32"/>
      <w:szCs w:val="32"/>
    </w:rPr>
  </w:style>
  <w:style w:type="paragraph" w:customStyle="1" w:styleId="279">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1">
    <w:name w:val="Char Char Char Char Char Char Char Char Char1"/>
    <w:basedOn w:val="1"/>
    <w:qFormat/>
    <w:uiPriority w:val="0"/>
    <w:pPr>
      <w:tabs>
        <w:tab w:val="left" w:pos="360"/>
      </w:tabs>
      <w:ind w:left="360" w:hanging="360" w:hangingChars="200"/>
    </w:pPr>
    <w:rPr>
      <w:sz w:val="24"/>
      <w:szCs w:val="24"/>
    </w:rPr>
  </w:style>
  <w:style w:type="paragraph" w:customStyle="1" w:styleId="28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标题3，章节第三层"/>
    <w:basedOn w:val="1"/>
    <w:next w:val="253"/>
    <w:qFormat/>
    <w:uiPriority w:val="0"/>
    <w:pPr>
      <w:adjustRightInd w:val="0"/>
      <w:snapToGrid w:val="0"/>
      <w:spacing w:before="78" w:line="300" w:lineRule="auto"/>
      <w:outlineLvl w:val="2"/>
    </w:pPr>
    <w:rPr>
      <w:rFonts w:ascii="Arial" w:hAnsi="Arial" w:eastAsia="华文细黑"/>
      <w:sz w:val="30"/>
      <w:szCs w:val="24"/>
    </w:rPr>
  </w:style>
  <w:style w:type="paragraph" w:customStyle="1" w:styleId="285">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8">
    <w:name w:val="Char Char Char Char Char Char Char Char Char Char Char Char Char Char Char Char Char Char Char Char Char1"/>
    <w:basedOn w:val="1"/>
    <w:qFormat/>
    <w:uiPriority w:val="0"/>
    <w:rPr>
      <w:rFonts w:ascii="Tahoma" w:hAnsi="Tahoma" w:cs="Tahoma"/>
      <w:sz w:val="24"/>
    </w:rPr>
  </w:style>
  <w:style w:type="paragraph" w:customStyle="1" w:styleId="289">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0">
    <w:name w:val="font11"/>
    <w:basedOn w:val="1"/>
    <w:qFormat/>
    <w:uiPriority w:val="0"/>
    <w:pPr>
      <w:widowControl/>
      <w:spacing w:before="100" w:beforeAutospacing="1" w:after="100" w:afterAutospacing="1"/>
      <w:jc w:val="left"/>
    </w:pPr>
    <w:rPr>
      <w:b/>
      <w:bCs/>
      <w:kern w:val="0"/>
      <w:sz w:val="18"/>
      <w:szCs w:val="18"/>
    </w:rPr>
  </w:style>
  <w:style w:type="paragraph" w:customStyle="1" w:styleId="2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2">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4">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6">
    <w:name w:val="普通文字"/>
    <w:basedOn w:val="1"/>
    <w:next w:val="1"/>
    <w:qFormat/>
    <w:uiPriority w:val="0"/>
    <w:rPr>
      <w:rFonts w:ascii="宋体" w:hAnsi="宋体" w:cs="宋体"/>
      <w:kern w:val="0"/>
      <w:sz w:val="24"/>
      <w:u w:color="000000"/>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8">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299">
    <w:name w:val="标题3"/>
    <w:basedOn w:val="5"/>
    <w:qFormat/>
    <w:uiPriority w:val="0"/>
    <w:pPr>
      <w:keepNext w:val="0"/>
      <w:keepLines w:val="0"/>
      <w:spacing w:line="360" w:lineRule="auto"/>
    </w:pPr>
    <w:rPr>
      <w:rFonts w:eastAsia="仿宋_GB2312"/>
      <w:b w:val="0"/>
      <w:bCs/>
      <w:sz w:val="30"/>
      <w:szCs w:val="32"/>
    </w:rPr>
  </w:style>
  <w:style w:type="paragraph" w:customStyle="1" w:styleId="300">
    <w:name w:val="retrait3"/>
    <w:basedOn w:val="1"/>
    <w:qFormat/>
    <w:uiPriority w:val="0"/>
    <w:pPr>
      <w:widowControl/>
      <w:spacing w:before="20" w:after="20"/>
      <w:ind w:left="851"/>
      <w:jc w:val="left"/>
    </w:pPr>
    <w:rPr>
      <w:rFonts w:ascii="Arial" w:hAnsi="Arial"/>
      <w:kern w:val="0"/>
      <w:sz w:val="24"/>
      <w:lang w:val="en-GB"/>
    </w:rPr>
  </w:style>
  <w:style w:type="paragraph" w:customStyle="1" w:styleId="301">
    <w:name w:val="项目符号，一级"/>
    <w:basedOn w:val="253"/>
    <w:next w:val="253"/>
    <w:qFormat/>
    <w:uiPriority w:val="0"/>
    <w:pPr>
      <w:tabs>
        <w:tab w:val="left" w:pos="1320"/>
      </w:tabs>
      <w:spacing w:line="240" w:lineRule="atLeast"/>
      <w:ind w:left="376" w:leftChars="179" w:firstLine="0"/>
    </w:pPr>
    <w:rPr>
      <w:bCs w:val="0"/>
      <w:color w:val="000000"/>
      <w:szCs w:val="24"/>
    </w:rPr>
  </w:style>
  <w:style w:type="paragraph" w:customStyle="1" w:styleId="30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3">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5">
    <w:name w:val="表头_5"/>
    <w:basedOn w:val="1"/>
    <w:qFormat/>
    <w:uiPriority w:val="0"/>
    <w:pPr>
      <w:adjustRightInd w:val="0"/>
      <w:spacing w:line="360" w:lineRule="auto"/>
      <w:textAlignment w:val="baseline"/>
    </w:pPr>
    <w:rPr>
      <w:b/>
      <w:bCs/>
      <w:sz w:val="28"/>
      <w:szCs w:val="21"/>
    </w:rPr>
  </w:style>
  <w:style w:type="paragraph" w:customStyle="1" w:styleId="3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7">
    <w:name w:val="_Style 42"/>
    <w:basedOn w:val="1"/>
    <w:next w:val="23"/>
    <w:qFormat/>
    <w:uiPriority w:val="0"/>
    <w:rPr>
      <w:rFonts w:ascii="楷体_GB2312" w:hAnsi="Arial" w:eastAsia="楷体_GB2312"/>
      <w:sz w:val="28"/>
    </w:rPr>
  </w:style>
  <w:style w:type="paragraph" w:customStyle="1" w:styleId="3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09">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3">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4">
    <w:name w:val="Char Char Char Char Char Char Char Char Char Char Char Char Char"/>
    <w:basedOn w:val="18"/>
    <w:qFormat/>
    <w:uiPriority w:val="0"/>
    <w:rPr>
      <w:rFonts w:ascii="Tahoma" w:hAnsi="Tahoma"/>
      <w:sz w:val="24"/>
      <w:szCs w:val="24"/>
    </w:rPr>
  </w:style>
  <w:style w:type="paragraph" w:customStyle="1" w:styleId="31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6">
    <w:name w:val="段落"/>
    <w:basedOn w:val="1"/>
    <w:qFormat/>
    <w:uiPriority w:val="0"/>
    <w:pPr>
      <w:spacing w:line="460" w:lineRule="exact"/>
      <w:ind w:firstLine="480"/>
    </w:pPr>
    <w:rPr>
      <w:sz w:val="24"/>
    </w:rPr>
  </w:style>
  <w:style w:type="paragraph" w:customStyle="1" w:styleId="317">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8">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19">
    <w:name w:val="7"/>
    <w:basedOn w:val="1"/>
    <w:next w:val="54"/>
    <w:qFormat/>
    <w:uiPriority w:val="0"/>
    <w:pPr>
      <w:widowControl/>
      <w:spacing w:before="100" w:beforeAutospacing="1" w:after="100" w:afterAutospacing="1"/>
      <w:jc w:val="left"/>
    </w:pPr>
    <w:rPr>
      <w:rFonts w:ascii="宋体" w:hAnsi="宋体"/>
      <w:kern w:val="0"/>
      <w:sz w:val="24"/>
    </w:rPr>
  </w:style>
  <w:style w:type="paragraph" w:customStyle="1" w:styleId="320">
    <w:name w:val="font9"/>
    <w:basedOn w:val="1"/>
    <w:qFormat/>
    <w:uiPriority w:val="0"/>
    <w:pPr>
      <w:widowControl/>
      <w:spacing w:before="100" w:beforeAutospacing="1" w:after="100" w:afterAutospacing="1"/>
      <w:jc w:val="left"/>
    </w:pPr>
    <w:rPr>
      <w:b/>
      <w:bCs/>
      <w:kern w:val="0"/>
      <w:sz w:val="20"/>
    </w:rPr>
  </w:style>
  <w:style w:type="paragraph" w:customStyle="1" w:styleId="321">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2">
    <w:name w:val="Char1 Char Char Char"/>
    <w:basedOn w:val="1"/>
    <w:qFormat/>
    <w:uiPriority w:val="0"/>
    <w:rPr>
      <w:rFonts w:ascii="Tahoma" w:hAnsi="Tahoma"/>
      <w:sz w:val="24"/>
    </w:rPr>
  </w:style>
  <w:style w:type="paragraph" w:customStyle="1" w:styleId="323">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4">
    <w:name w:val="样式2"/>
    <w:basedOn w:val="1"/>
    <w:qFormat/>
    <w:uiPriority w:val="0"/>
    <w:pPr>
      <w:spacing w:line="360" w:lineRule="auto"/>
      <w:ind w:left="200" w:leftChars="200"/>
    </w:pPr>
    <w:rPr>
      <w:rFonts w:ascii="宋体" w:hAnsi="宋体"/>
      <w:b/>
      <w:sz w:val="24"/>
      <w:szCs w:val="24"/>
    </w:rPr>
  </w:style>
  <w:style w:type="paragraph" w:customStyle="1" w:styleId="325">
    <w:name w:val="条1"/>
    <w:basedOn w:val="1"/>
    <w:qFormat/>
    <w:uiPriority w:val="0"/>
    <w:pPr>
      <w:tabs>
        <w:tab w:val="left" w:pos="780"/>
      </w:tabs>
      <w:spacing w:before="156" w:line="360" w:lineRule="auto"/>
      <w:ind w:left="780" w:hanging="360"/>
    </w:pPr>
    <w:rPr>
      <w:rFonts w:eastAsia="黑体"/>
      <w:sz w:val="24"/>
    </w:rPr>
  </w:style>
  <w:style w:type="paragraph" w:customStyle="1" w:styleId="326">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7">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8">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29">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0">
    <w:name w:val="1"/>
    <w:basedOn w:val="1"/>
    <w:next w:val="52"/>
    <w:qFormat/>
    <w:uiPriority w:val="0"/>
    <w:pPr>
      <w:spacing w:line="360" w:lineRule="auto"/>
    </w:pPr>
    <w:rPr>
      <w:rFonts w:eastAsia="仿宋_GB2312"/>
      <w:sz w:val="24"/>
      <w:szCs w:val="24"/>
    </w:rPr>
  </w:style>
  <w:style w:type="paragraph" w:customStyle="1" w:styleId="331">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2">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4">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5">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6">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公文正文"/>
    <w:basedOn w:val="24"/>
    <w:qFormat/>
    <w:uiPriority w:val="0"/>
    <w:pPr>
      <w:ind w:firstLine="200" w:firstLineChars="200"/>
    </w:pPr>
    <w:rPr>
      <w:rFonts w:ascii="仿宋_GB2312" w:hAnsi="宋体" w:eastAsia="仿宋_GB2312"/>
      <w:kern w:val="28"/>
      <w:sz w:val="28"/>
      <w:szCs w:val="24"/>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0">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1">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2">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3">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4">
    <w:name w:val="丁华标题3"/>
    <w:basedOn w:val="345"/>
    <w:next w:val="234"/>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5">
    <w:name w:val="丁华标题2"/>
    <w:basedOn w:val="3"/>
    <w:next w:val="234"/>
    <w:qFormat/>
    <w:uiPriority w:val="0"/>
    <w:pPr>
      <w:numPr>
        <w:ilvl w:val="1"/>
        <w:numId w:val="3"/>
      </w:numPr>
      <w:spacing w:line="413" w:lineRule="auto"/>
    </w:pPr>
    <w:rPr>
      <w:rFonts w:ascii="Arial" w:hAnsi="Arial" w:eastAsia="黑体"/>
      <w:b w:val="0"/>
      <w:sz w:val="28"/>
      <w:szCs w:val="20"/>
    </w:rPr>
  </w:style>
  <w:style w:type="paragraph" w:customStyle="1" w:styleId="346">
    <w:name w:val="修订1"/>
    <w:qFormat/>
    <w:uiPriority w:val="0"/>
    <w:rPr>
      <w:rFonts w:ascii="Times New Roman" w:hAnsi="Times New Roman" w:eastAsia="宋体" w:cs="Times New Roman"/>
      <w:kern w:val="2"/>
      <w:sz w:val="21"/>
      <w:szCs w:val="24"/>
      <w:lang w:val="en-US" w:eastAsia="zh-CN" w:bidi="ar-SA"/>
    </w:rPr>
  </w:style>
  <w:style w:type="paragraph" w:customStyle="1" w:styleId="347">
    <w:name w:val="Char"/>
    <w:basedOn w:val="1"/>
    <w:qFormat/>
    <w:uiPriority w:val="0"/>
    <w:pPr>
      <w:spacing w:afterLines="50" w:line="360" w:lineRule="auto"/>
    </w:pPr>
    <w:rPr>
      <w:rFonts w:ascii="Tahoma" w:hAnsi="Tahoma"/>
      <w:sz w:val="24"/>
    </w:rPr>
  </w:style>
  <w:style w:type="paragraph" w:customStyle="1" w:styleId="348">
    <w:name w:val="项目符号，二级"/>
    <w:basedOn w:val="253"/>
    <w:next w:val="253"/>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49">
    <w:name w:val="_Style 1"/>
    <w:basedOn w:val="1"/>
    <w:qFormat/>
    <w:uiPriority w:val="0"/>
    <w:pPr>
      <w:ind w:firstLine="420" w:firstLineChars="200"/>
    </w:pPr>
    <w:rPr>
      <w:rFonts w:ascii="Calibri" w:hAnsi="Calibri"/>
      <w:szCs w:val="22"/>
    </w:rPr>
  </w:style>
  <w:style w:type="paragraph" w:customStyle="1" w:styleId="350">
    <w:name w:val="Char Char Char Char Char Char Char Char Char Char Char Char Char Char1"/>
    <w:basedOn w:val="1"/>
    <w:qFormat/>
    <w:uiPriority w:val="0"/>
    <w:rPr>
      <w:rFonts w:ascii="Tahoma" w:hAnsi="Tahoma" w:cs="Tahoma"/>
      <w:sz w:val="24"/>
    </w:rPr>
  </w:style>
  <w:style w:type="paragraph" w:customStyle="1" w:styleId="351">
    <w:name w:val="Char Char Char Char Char1"/>
    <w:basedOn w:val="1"/>
    <w:qFormat/>
    <w:uiPriority w:val="0"/>
    <w:rPr>
      <w:rFonts w:ascii="Tahoma" w:hAnsi="Tahoma" w:cs="Tahoma"/>
      <w:sz w:val="24"/>
    </w:rPr>
  </w:style>
  <w:style w:type="paragraph" w:customStyle="1" w:styleId="35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3">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4">
    <w:name w:val="符号与编号"/>
    <w:basedOn w:val="1"/>
    <w:qFormat/>
    <w:uiPriority w:val="0"/>
    <w:pPr>
      <w:tabs>
        <w:tab w:val="left" w:pos="900"/>
      </w:tabs>
      <w:spacing w:afterLines="50" w:line="400" w:lineRule="atLeast"/>
      <w:ind w:left="900" w:hanging="420"/>
    </w:pPr>
    <w:rPr>
      <w:sz w:val="24"/>
      <w:szCs w:val="24"/>
    </w:rPr>
  </w:style>
  <w:style w:type="paragraph" w:customStyle="1" w:styleId="355">
    <w:name w:val="样式1"/>
    <w:basedOn w:val="1"/>
    <w:qFormat/>
    <w:uiPriority w:val="0"/>
    <w:pPr>
      <w:spacing w:line="300" w:lineRule="auto"/>
      <w:ind w:firstLine="480" w:firstLineChars="200"/>
    </w:pPr>
    <w:rPr>
      <w:sz w:val="24"/>
      <w:szCs w:val="24"/>
    </w:rPr>
  </w:style>
  <w:style w:type="paragraph" w:customStyle="1" w:styleId="356">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7">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59">
    <w:name w:val="正文 首行缩进:  2 字符 Char"/>
    <w:basedOn w:val="1"/>
    <w:qFormat/>
    <w:uiPriority w:val="0"/>
    <w:pPr>
      <w:spacing w:line="360" w:lineRule="auto"/>
      <w:ind w:firstLine="480"/>
    </w:pPr>
    <w:rPr>
      <w:rFonts w:cs="宋体"/>
      <w:sz w:val="24"/>
    </w:rPr>
  </w:style>
  <w:style w:type="paragraph" w:customStyle="1" w:styleId="360">
    <w:name w:val="Char2"/>
    <w:basedOn w:val="1"/>
    <w:qFormat/>
    <w:uiPriority w:val="0"/>
    <w:rPr>
      <w:rFonts w:ascii="Tahoma" w:hAnsi="Tahoma" w:cs="仿宋_GB2312"/>
      <w:sz w:val="24"/>
      <w:szCs w:val="28"/>
    </w:rPr>
  </w:style>
  <w:style w:type="paragraph" w:customStyle="1" w:styleId="3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2">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3">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4">
    <w:name w:val="论文正文"/>
    <w:basedOn w:val="33"/>
    <w:qFormat/>
    <w:uiPriority w:val="0"/>
    <w:pPr>
      <w:spacing w:line="360" w:lineRule="auto"/>
      <w:ind w:left="0" w:firstLine="200" w:firstLineChars="200"/>
      <w:jc w:val="left"/>
    </w:pPr>
    <w:rPr>
      <w:sz w:val="28"/>
      <w:szCs w:val="24"/>
    </w:rPr>
  </w:style>
  <w:style w:type="paragraph" w:customStyle="1" w:styleId="365">
    <w:name w:val="列出段落3"/>
    <w:basedOn w:val="1"/>
    <w:qFormat/>
    <w:uiPriority w:val="0"/>
    <w:pPr>
      <w:ind w:firstLine="420" w:firstLineChars="200"/>
    </w:pPr>
    <w:rPr>
      <w:szCs w:val="24"/>
    </w:rPr>
  </w:style>
  <w:style w:type="paragraph" w:customStyle="1" w:styleId="366">
    <w:name w:val="丁华标题1"/>
    <w:basedOn w:val="2"/>
    <w:next w:val="234"/>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7">
    <w:name w:val="插图"/>
    <w:basedOn w:val="1"/>
    <w:qFormat/>
    <w:uiPriority w:val="0"/>
    <w:pPr>
      <w:tabs>
        <w:tab w:val="left" w:pos="1620"/>
      </w:tabs>
      <w:adjustRightInd w:val="0"/>
      <w:jc w:val="center"/>
    </w:pPr>
    <w:rPr>
      <w:bCs/>
      <w:color w:val="000000"/>
      <w:szCs w:val="22"/>
    </w:rPr>
  </w:style>
  <w:style w:type="paragraph" w:customStyle="1" w:styleId="368">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0">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1">
    <w:name w:val="标题2，章节第二层"/>
    <w:basedOn w:val="1"/>
    <w:next w:val="253"/>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2">
    <w:name w:val="样式 标题 3H3sect1.2.3BOD 0Heading 3 - oldh3l3CTLevel 3 Head..."/>
    <w:basedOn w:val="5"/>
    <w:qFormat/>
    <w:uiPriority w:val="0"/>
    <w:pPr>
      <w:spacing w:beforeLines="50" w:afterLines="50"/>
      <w:jc w:val="left"/>
    </w:pPr>
    <w:rPr>
      <w:rFonts w:cs="宋体"/>
      <w:bCs/>
      <w:sz w:val="30"/>
    </w:rPr>
  </w:style>
  <w:style w:type="paragraph" w:customStyle="1" w:styleId="373">
    <w:name w:val="Char Char Char Char Char Char Char Char Char Char Char1"/>
    <w:basedOn w:val="1"/>
    <w:qFormat/>
    <w:uiPriority w:val="0"/>
    <w:rPr>
      <w:rFonts w:ascii="Tahoma" w:hAnsi="Tahoma"/>
      <w:sz w:val="24"/>
    </w:rPr>
  </w:style>
  <w:style w:type="paragraph" w:customStyle="1" w:styleId="374">
    <w:name w:val="tableau"/>
    <w:basedOn w:val="1"/>
    <w:qFormat/>
    <w:uiPriority w:val="0"/>
    <w:pPr>
      <w:widowControl/>
      <w:spacing w:before="20" w:after="20"/>
      <w:jc w:val="center"/>
    </w:pPr>
    <w:rPr>
      <w:rFonts w:ascii="Arial" w:hAnsi="Arial"/>
      <w:kern w:val="0"/>
      <w:sz w:val="16"/>
      <w:lang w:val="en-GB" w:eastAsia="en-US"/>
    </w:rPr>
  </w:style>
  <w:style w:type="paragraph" w:customStyle="1" w:styleId="375">
    <w:name w:val="font14"/>
    <w:basedOn w:val="1"/>
    <w:qFormat/>
    <w:uiPriority w:val="0"/>
    <w:pPr>
      <w:widowControl/>
      <w:spacing w:before="100" w:beforeAutospacing="1" w:after="100" w:afterAutospacing="1"/>
      <w:jc w:val="left"/>
    </w:pPr>
    <w:rPr>
      <w:kern w:val="0"/>
      <w:sz w:val="36"/>
      <w:szCs w:val="36"/>
    </w:rPr>
  </w:style>
  <w:style w:type="paragraph" w:customStyle="1" w:styleId="376">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7">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8">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7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0">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1">
    <w:name w:val="Char Char Char Char Char Char Char Char Char Char Char Char Char Char Char Char Char Char Char Char Char Char Char"/>
    <w:basedOn w:val="1"/>
    <w:qFormat/>
    <w:uiPriority w:val="0"/>
    <w:rPr>
      <w:rFonts w:ascii="Tahoma" w:hAnsi="Tahoma"/>
      <w:sz w:val="24"/>
    </w:rPr>
  </w:style>
  <w:style w:type="paragraph" w:customStyle="1" w:styleId="382">
    <w:name w:val="Default Text"/>
    <w:basedOn w:val="1"/>
    <w:qFormat/>
    <w:uiPriority w:val="0"/>
    <w:pPr>
      <w:widowControl/>
      <w:jc w:val="left"/>
    </w:pPr>
    <w:rPr>
      <w:kern w:val="0"/>
      <w:sz w:val="24"/>
      <w:lang w:eastAsia="en-US"/>
    </w:rPr>
  </w:style>
  <w:style w:type="paragraph" w:customStyle="1" w:styleId="3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4">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5">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7">
    <w:name w:val="二级条标题"/>
    <w:basedOn w:val="1"/>
    <w:next w:val="247"/>
    <w:qFormat/>
    <w:uiPriority w:val="0"/>
    <w:pPr>
      <w:widowControl/>
      <w:tabs>
        <w:tab w:val="left" w:pos="2240"/>
      </w:tabs>
      <w:ind w:hanging="420"/>
      <w:outlineLvl w:val="3"/>
    </w:pPr>
    <w:rPr>
      <w:rFonts w:eastAsia="黑体"/>
      <w:kern w:val="0"/>
    </w:rPr>
  </w:style>
  <w:style w:type="paragraph" w:customStyle="1" w:styleId="388">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89">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0">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1">
    <w:name w:val="正文 + 宋体"/>
    <w:basedOn w:val="1"/>
    <w:qFormat/>
    <w:uiPriority w:val="0"/>
    <w:pPr>
      <w:spacing w:line="360" w:lineRule="auto"/>
      <w:ind w:firstLine="420" w:firstLineChars="200"/>
    </w:pPr>
    <w:rPr>
      <w:szCs w:val="24"/>
    </w:rPr>
  </w:style>
  <w:style w:type="paragraph" w:customStyle="1" w:styleId="392">
    <w:name w:val="Char Char Char Char Char Char Char Char1"/>
    <w:basedOn w:val="1"/>
    <w:qFormat/>
    <w:uiPriority w:val="0"/>
    <w:rPr>
      <w:rFonts w:ascii="Tahoma" w:hAnsi="Tahoma" w:cs="Tahoma"/>
      <w:sz w:val="24"/>
    </w:rPr>
  </w:style>
  <w:style w:type="paragraph" w:customStyle="1" w:styleId="393">
    <w:name w:val="Char Char Char Char1"/>
    <w:basedOn w:val="18"/>
    <w:qFormat/>
    <w:uiPriority w:val="0"/>
    <w:pPr>
      <w:adjustRightInd w:val="0"/>
      <w:snapToGrid w:val="0"/>
      <w:spacing w:line="360" w:lineRule="auto"/>
    </w:pPr>
    <w:rPr>
      <w:rFonts w:ascii="Tahoma" w:hAnsi="Tahoma"/>
      <w:sz w:val="24"/>
      <w:szCs w:val="24"/>
    </w:rPr>
  </w:style>
  <w:style w:type="paragraph" w:customStyle="1" w:styleId="394">
    <w:name w:val="正文1"/>
    <w:basedOn w:val="1"/>
    <w:qFormat/>
    <w:uiPriority w:val="0"/>
    <w:rPr>
      <w:rFonts w:ascii="Calibri" w:hAnsi="Calibri" w:eastAsia="Times New Roman" w:cs="宋体"/>
      <w:kern w:val="0"/>
      <w:lang w:val="zh-CN"/>
    </w:rPr>
  </w:style>
  <w:style w:type="paragraph" w:customStyle="1" w:styleId="395">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7">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8">
    <w:name w:val="Normal1"/>
    <w:basedOn w:val="1"/>
    <w:qFormat/>
    <w:uiPriority w:val="0"/>
    <w:rPr>
      <w:rFonts w:ascii="Calibri" w:hAnsi="Calibri" w:eastAsia="Times New Roman" w:cs="宋体"/>
      <w:kern w:val="0"/>
      <w:lang w:val="zh-CN"/>
    </w:rPr>
  </w:style>
  <w:style w:type="paragraph" w:customStyle="1" w:styleId="399">
    <w:name w:val="纯文本1"/>
    <w:basedOn w:val="1"/>
    <w:qFormat/>
    <w:uiPriority w:val="0"/>
    <w:pPr>
      <w:adjustRightInd w:val="0"/>
      <w:textAlignment w:val="baseline"/>
    </w:pPr>
    <w:rPr>
      <w:rFonts w:ascii="宋体" w:hAnsi="宋体" w:eastAsia="楷体_GB2312" w:cs="宋体"/>
      <w:sz w:val="28"/>
    </w:rPr>
  </w:style>
  <w:style w:type="paragraph" w:customStyle="1" w:styleId="400">
    <w:name w:val="正文lzq"/>
    <w:basedOn w:val="1"/>
    <w:qFormat/>
    <w:uiPriority w:val="0"/>
    <w:pPr>
      <w:adjustRightInd w:val="0"/>
      <w:spacing w:line="360" w:lineRule="auto"/>
      <w:ind w:firstLine="480"/>
      <w:textAlignment w:val="baseline"/>
    </w:pPr>
    <w:rPr>
      <w:kern w:val="0"/>
      <w:sz w:val="24"/>
    </w:rPr>
  </w:style>
  <w:style w:type="paragraph" w:customStyle="1" w:styleId="401">
    <w:name w:val="列表内容"/>
    <w:basedOn w:val="1"/>
    <w:next w:val="1"/>
    <w:qFormat/>
    <w:uiPriority w:val="0"/>
    <w:pPr>
      <w:widowControl/>
      <w:tabs>
        <w:tab w:val="left" w:pos="840"/>
      </w:tabs>
      <w:ind w:left="840" w:hanging="420"/>
      <w:jc w:val="left"/>
    </w:pPr>
    <w:rPr>
      <w:kern w:val="0"/>
      <w:sz w:val="18"/>
      <w:szCs w:val="24"/>
    </w:rPr>
  </w:style>
  <w:style w:type="paragraph" w:customStyle="1" w:styleId="402">
    <w:name w:val="Char Char Char Char Char Char Char Char Char Char Char Char Char Char Char Char Char Char Char Char Char"/>
    <w:basedOn w:val="1"/>
    <w:qFormat/>
    <w:uiPriority w:val="0"/>
    <w:rPr>
      <w:rFonts w:ascii="Tahoma" w:hAnsi="Tahoma"/>
      <w:sz w:val="24"/>
    </w:rPr>
  </w:style>
  <w:style w:type="paragraph" w:customStyle="1" w:styleId="403">
    <w:name w:val="Char Char Char"/>
    <w:basedOn w:val="1"/>
    <w:qFormat/>
    <w:uiPriority w:val="0"/>
    <w:rPr>
      <w:rFonts w:ascii="Tahoma" w:hAnsi="Tahoma"/>
      <w:sz w:val="24"/>
    </w:rPr>
  </w:style>
  <w:style w:type="paragraph" w:customStyle="1" w:styleId="40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5">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6">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7">
    <w:name w:val="公文标题 2"/>
    <w:basedOn w:val="1"/>
    <w:next w:val="337"/>
    <w:qFormat/>
    <w:uiPriority w:val="0"/>
    <w:pPr>
      <w:outlineLvl w:val="1"/>
    </w:pPr>
    <w:rPr>
      <w:rFonts w:ascii="仿宋_GB2312" w:hAnsi="宋体" w:eastAsia="仿宋_GB2312"/>
      <w:kern w:val="28"/>
      <w:sz w:val="28"/>
      <w:szCs w:val="24"/>
    </w:rPr>
  </w:style>
  <w:style w:type="paragraph" w:customStyle="1" w:styleId="408">
    <w:name w:val="文档正文"/>
    <w:basedOn w:val="1"/>
    <w:qFormat/>
    <w:uiPriority w:val="0"/>
    <w:pPr>
      <w:spacing w:line="360" w:lineRule="auto"/>
    </w:pPr>
    <w:rPr>
      <w:rFonts w:ascii="宋体" w:hAnsi="宋体"/>
      <w:b/>
      <w:bCs/>
      <w:szCs w:val="24"/>
    </w:rPr>
  </w:style>
  <w:style w:type="paragraph" w:customStyle="1" w:styleId="409">
    <w:name w:val="Char Char Char Char Char Char Char Char Char Char Char"/>
    <w:basedOn w:val="1"/>
    <w:qFormat/>
    <w:uiPriority w:val="0"/>
    <w:rPr>
      <w:rFonts w:ascii="Tahoma" w:hAnsi="Tahoma" w:cs="Tahoma"/>
      <w:sz w:val="24"/>
    </w:rPr>
  </w:style>
  <w:style w:type="paragraph" w:customStyle="1" w:styleId="410">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1">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2">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3">
    <w:name w:val="批注文字 Char1"/>
    <w:basedOn w:val="62"/>
    <w:semiHidden/>
    <w:qFormat/>
    <w:uiPriority w:val="99"/>
    <w:rPr>
      <w:rFonts w:ascii="Times New Roman" w:hAnsi="Times New Roman" w:eastAsia="宋体" w:cs="Times New Roman"/>
      <w:szCs w:val="24"/>
    </w:rPr>
  </w:style>
  <w:style w:type="paragraph" w:styleId="414">
    <w:name w:val="List Paragraph"/>
    <w:basedOn w:val="1"/>
    <w:qFormat/>
    <w:uiPriority w:val="99"/>
    <w:pPr>
      <w:ind w:firstLine="420" w:firstLineChars="200"/>
    </w:pPr>
    <w:rPr>
      <w:szCs w:val="24"/>
    </w:rPr>
  </w:style>
  <w:style w:type="paragraph" w:customStyle="1" w:styleId="415">
    <w:name w:val="_Style 3"/>
    <w:basedOn w:val="1"/>
    <w:next w:val="414"/>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D1D81-1C55-4F76-8BBA-313A87D194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3721</Words>
  <Characters>21214</Characters>
  <Lines>176</Lines>
  <Paragraphs>49</Paragraphs>
  <TotalTime>32</TotalTime>
  <ScaleCrop>false</ScaleCrop>
  <LinksUpToDate>false</LinksUpToDate>
  <CharactersWithSpaces>24886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荷角轻婷</cp:lastModifiedBy>
  <cp:lastPrinted>2021-11-05T08:47:00Z</cp:lastPrinted>
  <dcterms:modified xsi:type="dcterms:W3CDTF">2021-11-08T06:27:35Z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7B5DA57B785B4AC4A9531542247B8332</vt:lpwstr>
  </property>
</Properties>
</file>