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 w:bidi="ar-SA"/>
        </w:rPr>
        <w:t>项目需求及服务要求</w:t>
      </w:r>
    </w:p>
    <w:p>
      <w:pPr>
        <w:widowControl/>
        <w:spacing w:line="500" w:lineRule="exact"/>
        <w:ind w:firstLine="430"/>
        <w:jc w:val="left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为鼓励不同品牌的充分竞争，如某设备的某技术参数或要求属于个别品牌专有，则该技术参数及要求不具有限制性，谈判响应人可对该参数或要求进行适当调整，但这种调整整体上要优于或相当于竞争性谈判文件的相关要求，并说明调整理由，且该调整须经谈判小组审核认可。</w:t>
      </w:r>
      <w:bookmarkStart w:id="0" w:name="_Toc24273"/>
    </w:p>
    <w:p>
      <w:pPr>
        <w:widowControl/>
        <w:spacing w:line="500" w:lineRule="exact"/>
        <w:ind w:firstLine="405"/>
        <w:jc w:val="left"/>
        <w:rPr>
          <w:rFonts w:ascii="宋体" w:hAnsi="宋体" w:eastAsia="宋体" w:cs="Times New Roman"/>
          <w:b/>
          <w:bCs/>
          <w:szCs w:val="21"/>
        </w:rPr>
      </w:pPr>
      <w:bookmarkStart w:id="1" w:name="_Toc28001"/>
      <w:r>
        <w:rPr>
          <w:rFonts w:hint="eastAsia" w:ascii="宋体" w:hAnsi="宋体" w:eastAsia="宋体" w:cs="Times New Roman"/>
          <w:b/>
          <w:bCs/>
          <w:szCs w:val="21"/>
        </w:rPr>
        <w:t>1、在采购活动开始前没有获准采购进口产品而开展采购活动的，视同为拒绝采购进口产品。</w:t>
      </w:r>
    </w:p>
    <w:p>
      <w:pPr>
        <w:widowControl/>
        <w:spacing w:line="500" w:lineRule="exact"/>
        <w:ind w:firstLine="405"/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2、根据“关于印发《政府采购进口产品管理办法》的通知”及“关于政府采购进口产品管理有关问题的通知”的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>
      <w:pPr>
        <w:widowControl/>
        <w:spacing w:line="500" w:lineRule="exact"/>
        <w:ind w:firstLine="405"/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3、中标人提供的货物为进口产品的，供货时须向采购人提供所投进口产品的海关报关单等证明材料。</w:t>
      </w: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p>
      <w:pPr>
        <w:keepNext/>
        <w:keepLines/>
        <w:widowControl w:val="0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0"/>
          <w:lang w:val="en-US" w:eastAsia="zh-CN" w:bidi="ar-SA"/>
        </w:rPr>
        <w:t>一、</w:t>
      </w:r>
      <w:bookmarkEnd w:id="0"/>
      <w:bookmarkEnd w:id="1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项目建设采购清单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73"/>
        <w:gridCol w:w="6531"/>
        <w:gridCol w:w="473"/>
        <w:gridCol w:w="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bookmarkStart w:id="2" w:name="_Toc4579"/>
            <w:bookmarkStart w:id="3" w:name="_Toc8852"/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48口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磁盘阵列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 服务器配置：≥1颗64位多核处理器，≥4GB内存，内存支持扩展到≥128GB，内置SSD固态硬盘，配置≥6个风扇，支持风扇热插拔冗余温控调速风扇。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 支持热插拔1+1AC220V 或 1+1 直流冗余金牌电源供电，机箱具备防尘滤网，采用双立柱防震设计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3. 标配≥2个千兆网口，可增扩≥6个千兆网口，或可增扩≥4个10Gb 光纤接口或≥6个HDMI接口或≥4个Mini SAS3.0接口；支持≥12级扩展柜级联扩展；可支持12GB SAS扩展口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4. 可接入2T/3T/4T/6T/8T/10T/12T/14T/16T/18T/20T SATA/SAS硬盘；支持硬盘交错/分时启动，节省功耗。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5. 具有48块硬盘热插拔插槽；支持硬盘热插拔设备在读写数据时，热插拔设备内的任意块硬盘，设备正常运行不宕机，硬盘不损坏，数据不丢失，业务不中断。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6. 配备独立元数据系统、支持元数据系统组成RAID和网络RAID（N+M配置，且M≥8），一组RAID故障时其业务可自动切换至其他网络RAID组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7. 支持视音频、图片、智能数据流进行混合直存，无须存储服务器和图片服务器的参与，平台服务器宕机时，存储业务正常；支持国际GB/T 28181和Onvif视频流直存模式；支持iSCSI直存功能，前端网络摄像机和设备之间可直接通过iSCSI协议进行块存储；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8. 支持 ONVIF、PSIA、TCP/IP、UDP、SIP、SIP2.0、RTSP、RTP、RTCP、iSCSI、CIFS(SMB)、NFS、FTP、HTTP、AFP、RSYNC、SNMP、IPV4、IPV6、HLS、S3、OSS等协议，支持IP组播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9. 应能接入并存储3072Mbps视频图像，同时转发3072Mbps的视频图像，同时下载3072Mbps的视频图像；同时回放600Mbps的视频图像；在转发模式下，可进行4096路2Mbps视频码流转发；在总带宽不变的情况下，接入、转发、回放间的性能值可自由调整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10. 支持不低于1536Mbps图片转发；支持不低于1536Mbps图片并发输入，同时不低于1536Mbps图片并发输出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11. 网络中断后重新恢复，可续存断网期间存储在前端设备中的录像文件，并可通过IE浏览器设置自动回传和手动回传；支持256路4Mbps的录像回传。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12. 支持网络RAID纠删码技术，多台存储设备组建网络RAID，设置为负载均衡；单台或多台存储设备组建网络RAID，允许每组RAID中任意1-12个磁盘发生故障，数据不丢失，存储服务不中断；允许每组RAID中任意18块硬盘发生故障，业务不中断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13. 支持查看硬盘体检报告、硬盘深度体检和磁盘档案；支持下载单个硬盘或批量硬盘的报告，支持按时间显示硬盘的坏扇区、温度、振动变化趋势的曲线图；；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14. 可扩展支持将前端一路视频流同时存入两台存储；支持双机间编码器和录像同步，故障时可进行互相接管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15. ★支持红灯/蓝灯报警，可根据故障紧急程度分级报警，不同级别闪烁不同颜色保养灯，保养灯闪烁时长、频率可设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ab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支持磁盘故障重构，可根据业务需要配置重构速度，支持低速、中速、高速和全速四种重构速度配置，可通过客户端软件显示重构速度；可根据自身业务量自动调节重构速度，当设备空间资源达到预设值时，可自动提高重构速度，当空间资源低于预设值时，可自动降低重构速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. 更换系统盘并配置好信息后，再次开机无需人工介入，可自动恢复业务，历史数据不应丢失。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(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需提供公安部检测报告证明并加盖制造厂商公章，供货时需提供报告证明原件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)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18. ★支持≥6个容器，存储业务模块可存放在不同容器中，业务之间互相隔离，一个业务模块发生故障时，不影响其它业务模块。当一个业务模块异常，系统可自动重启业务模块并恢复原有业务；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19. 支持容器镜像管理，包括容器镜像启动/暂停、业务升级/回退、上传/删除，支持添加新业务，支持修改容器镜像IP地址、业务参数，支持查看容器镜像中业务信息（包括：CPU使用率、内存使用量、网络流量、业务所在节点）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. 可对视音频、图片、结构化数据、对象等文件进行混合存储，并可通过http和https方式下载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. 可在KVM虚拟化环境下进行U盘等硬件热插拔；可对虚机镜像进行异常监控；可在无独立显卡情况下，使用主板CPU集成显卡为虚拟机提供视频图像显示能力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. 设备支持版本回退功能，在当前版本出现故障或操作失误后，可进行回退到历史版本，回退后录像正常回放，且历史录像完整；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以上标★项为重要指标参数，需提供公安部检测报告证明并加盖制造厂商公章，供货时需提供报告证明原件，若不能提供则视为虚假响应。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.确保与学校原有存储监控系统兼容且正常使用，提供承诺函并加盖投标人公章。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存储硬盘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8T,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缓存256MB,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3.5寸,SATA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监控专用硬盘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设备安装系统集成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辅材数量以现场实际需求为准，结算时，施工辅材项包含在报价中，采购人不得增加额外费用，供应商可自行踏勘现场。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</w:tr>
      <w:bookmarkEnd w:id="2"/>
      <w:bookmarkEnd w:id="3"/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TA2NWVlMjZiZWExNDM3NWU0MmQ0N2Q1MmJiZDcifQ=="/>
  </w:docVars>
  <w:rsids>
    <w:rsidRoot w:val="3B30037C"/>
    <w:rsid w:val="3B30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2022-11-21T01:01:00Z</dcterms:created>
  <dc:creator>随便</dc:creator>
  <cp:lastModifiedBy>随便</cp:lastModifiedBy>
  <dcterms:modified xsi:type="dcterms:W3CDTF">2022-11-21T01:01:56Z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FF13EA2DAE524CCABEAA41A2A39629B7</vt:lpwstr>
  </property>
</Properties>
</file>