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sz w:val="44"/>
          <w:szCs w:val="44"/>
          <w:highlight w:val="none"/>
        </w:rPr>
      </w:pPr>
      <w:r>
        <w:rPr>
          <w:rFonts w:ascii="宋体" w:hAnsi="宋体"/>
          <w:szCs w:val="21"/>
          <w:highlight w:val="none"/>
        </w:rPr>
        <w:t xml:space="preserve"> </w:t>
      </w:r>
      <w:r>
        <w:rPr>
          <w:rFonts w:ascii="宋体" w:hAnsi="宋体"/>
          <w:sz w:val="44"/>
          <w:szCs w:val="44"/>
          <w:highlight w:val="none"/>
        </w:rPr>
        <w:t xml:space="preserve">      </w:t>
      </w:r>
    </w:p>
    <w:p>
      <w:pPr>
        <w:spacing w:line="480" w:lineRule="exact"/>
        <w:jc w:val="center"/>
        <w:rPr>
          <w:rFonts w:hint="eastAsia" w:ascii="宋体" w:hAnsi="宋体" w:eastAsia="宋体"/>
          <w:b/>
          <w:sz w:val="44"/>
          <w:szCs w:val="44"/>
          <w:highlight w:val="none"/>
          <w:lang w:eastAsia="zh-CN"/>
        </w:rPr>
      </w:pPr>
      <w:r>
        <w:rPr>
          <w:rFonts w:hint="eastAsia" w:ascii="宋体" w:hAnsi="宋体"/>
          <w:b/>
          <w:spacing w:val="-6"/>
          <w:sz w:val="44"/>
          <w:szCs w:val="44"/>
          <w:highlight w:val="none"/>
          <w:lang w:eastAsia="zh-CN"/>
        </w:rPr>
        <w:t>安庆职业技术学院篮球场和排球场改造项目</w:t>
      </w:r>
    </w:p>
    <w:p>
      <w:pPr>
        <w:spacing w:line="480" w:lineRule="exact"/>
        <w:rPr>
          <w:rFonts w:ascii="仿宋_GB2312" w:hAnsi="宋体" w:eastAsia="仿宋_GB2312"/>
          <w:b/>
          <w:sz w:val="44"/>
          <w:szCs w:val="44"/>
          <w:highlight w:val="none"/>
        </w:rPr>
      </w:pPr>
    </w:p>
    <w:p>
      <w:pPr>
        <w:spacing w:line="480" w:lineRule="exact"/>
        <w:rPr>
          <w:rFonts w:ascii="宋体"/>
          <w:szCs w:val="21"/>
          <w:highlight w:val="none"/>
        </w:rPr>
      </w:pPr>
    </w:p>
    <w:p>
      <w:pPr>
        <w:pStyle w:val="24"/>
        <w:rPr>
          <w:highlight w:val="none"/>
        </w:rPr>
      </w:pPr>
    </w:p>
    <w:p>
      <w:pPr>
        <w:pStyle w:val="24"/>
        <w:rPr>
          <w:highlight w:val="none"/>
        </w:rPr>
      </w:pPr>
    </w:p>
    <w:p>
      <w:pPr>
        <w:pStyle w:val="24"/>
        <w:rPr>
          <w:highlight w:val="none"/>
        </w:rPr>
      </w:pPr>
    </w:p>
    <w:p>
      <w:pPr>
        <w:spacing w:line="480" w:lineRule="exact"/>
        <w:jc w:val="center"/>
        <w:rPr>
          <w:rFonts w:ascii="宋体" w:cs="宋体"/>
          <w:b/>
          <w:bCs/>
          <w:sz w:val="48"/>
          <w:szCs w:val="48"/>
          <w:highlight w:val="none"/>
        </w:rPr>
      </w:pPr>
      <w:r>
        <w:rPr>
          <w:rFonts w:hint="eastAsia" w:ascii="宋体" w:hAnsi="宋体" w:cs="宋体"/>
          <w:b/>
          <w:bCs/>
          <w:sz w:val="48"/>
          <w:szCs w:val="48"/>
          <w:highlight w:val="none"/>
        </w:rPr>
        <w:t>磋</w:t>
      </w:r>
      <w:r>
        <w:rPr>
          <w:rFonts w:ascii="宋体" w:hAnsi="宋体" w:cs="宋体"/>
          <w:b/>
          <w:bCs/>
          <w:sz w:val="48"/>
          <w:szCs w:val="48"/>
          <w:highlight w:val="none"/>
        </w:rPr>
        <w:t xml:space="preserve">  </w:t>
      </w:r>
      <w:r>
        <w:rPr>
          <w:rFonts w:hint="eastAsia" w:ascii="宋体" w:hAnsi="宋体" w:cs="宋体"/>
          <w:b/>
          <w:bCs/>
          <w:sz w:val="48"/>
          <w:szCs w:val="48"/>
          <w:highlight w:val="none"/>
        </w:rPr>
        <w:t>商</w:t>
      </w:r>
      <w:r>
        <w:rPr>
          <w:rFonts w:ascii="宋体" w:hAnsi="宋体" w:cs="宋体"/>
          <w:b/>
          <w:bCs/>
          <w:sz w:val="48"/>
          <w:szCs w:val="48"/>
          <w:highlight w:val="none"/>
        </w:rPr>
        <w:t xml:space="preserve">  </w:t>
      </w:r>
      <w:r>
        <w:rPr>
          <w:rFonts w:hint="eastAsia" w:ascii="宋体" w:hAnsi="宋体" w:cs="宋体"/>
          <w:b/>
          <w:bCs/>
          <w:sz w:val="48"/>
          <w:szCs w:val="48"/>
          <w:highlight w:val="none"/>
        </w:rPr>
        <w:t>文</w:t>
      </w:r>
      <w:r>
        <w:rPr>
          <w:rFonts w:ascii="宋体" w:hAnsi="宋体" w:cs="宋体"/>
          <w:b/>
          <w:bCs/>
          <w:sz w:val="48"/>
          <w:szCs w:val="48"/>
          <w:highlight w:val="none"/>
        </w:rPr>
        <w:t xml:space="preserve">  </w:t>
      </w:r>
      <w:r>
        <w:rPr>
          <w:rFonts w:hint="eastAsia" w:ascii="宋体" w:hAnsi="宋体" w:cs="宋体"/>
          <w:b/>
          <w:bCs/>
          <w:sz w:val="48"/>
          <w:szCs w:val="48"/>
          <w:highlight w:val="none"/>
        </w:rPr>
        <w:t>件</w:t>
      </w:r>
    </w:p>
    <w:p>
      <w:pPr>
        <w:spacing w:line="480" w:lineRule="exact"/>
        <w:jc w:val="center"/>
        <w:rPr>
          <w:rFonts w:ascii="宋体" w:cs="宋体"/>
          <w:b/>
          <w:bCs/>
          <w:sz w:val="48"/>
          <w:szCs w:val="48"/>
          <w:highlight w:val="none"/>
        </w:rPr>
      </w:pPr>
    </w:p>
    <w:p>
      <w:pPr>
        <w:spacing w:line="480" w:lineRule="exact"/>
        <w:ind w:firstLine="2530" w:firstLineChars="900"/>
        <w:jc w:val="left"/>
        <w:rPr>
          <w:rFonts w:hint="eastAsia" w:ascii="宋体" w:hAnsi="宋体" w:cs="宋体"/>
          <w:b/>
          <w:bCs/>
          <w:sz w:val="28"/>
          <w:szCs w:val="28"/>
          <w:highlight w:val="none"/>
        </w:rPr>
      </w:pPr>
    </w:p>
    <w:p>
      <w:pPr>
        <w:spacing w:line="480" w:lineRule="exact"/>
        <w:ind w:firstLine="1687" w:firstLineChars="600"/>
        <w:jc w:val="both"/>
        <w:rPr>
          <w:rFonts w:hint="default" w:ascii="宋体" w:hAnsi="宋体" w:cs="宋体"/>
          <w:b/>
          <w:bCs/>
          <w:sz w:val="28"/>
          <w:szCs w:val="28"/>
          <w:highlight w:val="none"/>
          <w:lang w:val="en-US" w:eastAsia="zh-CN"/>
        </w:rPr>
      </w:pPr>
      <w:r>
        <w:rPr>
          <w:rFonts w:hint="eastAsia" w:ascii="宋体" w:hAnsi="宋体" w:cs="宋体"/>
          <w:b/>
          <w:bCs/>
          <w:sz w:val="28"/>
          <w:szCs w:val="28"/>
          <w:highlight w:val="none"/>
        </w:rPr>
        <w:t>项目编号：</w:t>
      </w:r>
      <w:r>
        <w:rPr>
          <w:rFonts w:hint="eastAsia" w:ascii="宋体" w:hAnsi="宋体" w:cs="宋体"/>
          <w:b/>
          <w:bCs/>
          <w:sz w:val="28"/>
          <w:szCs w:val="28"/>
          <w:highlight w:val="none"/>
          <w:lang w:val="en-US" w:eastAsia="zh-CN"/>
        </w:rPr>
        <w:t xml:space="preserve"> CG-AQ-2023-0294  FS34080120230156号</w:t>
      </w:r>
    </w:p>
    <w:p>
      <w:pPr>
        <w:spacing w:line="480" w:lineRule="exact"/>
        <w:rPr>
          <w:rFonts w:ascii="宋体" w:hAnsi="宋体" w:cs="仿宋_GB2312"/>
          <w:szCs w:val="21"/>
          <w:highlight w:val="none"/>
        </w:rPr>
      </w:pPr>
    </w:p>
    <w:p>
      <w:pPr>
        <w:spacing w:line="480" w:lineRule="exact"/>
        <w:rPr>
          <w:rFonts w:ascii="宋体" w:hAnsi="宋体" w:cs="仿宋_GB2312"/>
          <w:szCs w:val="21"/>
          <w:highlight w:val="none"/>
        </w:rPr>
      </w:pPr>
    </w:p>
    <w:p>
      <w:pPr>
        <w:pStyle w:val="24"/>
        <w:rPr>
          <w:highlight w:val="none"/>
        </w:rPr>
      </w:pPr>
    </w:p>
    <w:p>
      <w:pPr>
        <w:spacing w:line="480" w:lineRule="exact"/>
        <w:rPr>
          <w:rFonts w:ascii="宋体" w:hAnsi="宋体" w:cs="仿宋_GB2312"/>
          <w:szCs w:val="21"/>
          <w:highlight w:val="none"/>
        </w:rPr>
      </w:pPr>
    </w:p>
    <w:p>
      <w:pPr>
        <w:spacing w:line="360" w:lineRule="auto"/>
        <w:ind w:firstLine="596" w:firstLineChars="198"/>
        <w:rPr>
          <w:rFonts w:hint="default" w:ascii="宋体" w:hAnsi="宋体" w:eastAsia="宋体" w:cs="仿宋_GB2312"/>
          <w:b/>
          <w:szCs w:val="21"/>
          <w:highlight w:val="none"/>
          <w:lang w:val="en-US" w:eastAsia="zh-CN"/>
        </w:rPr>
      </w:pPr>
      <w:r>
        <w:rPr>
          <w:rFonts w:hint="eastAsia" w:ascii="宋体" w:hAnsi="宋体" w:cs="仿宋_GB2312"/>
          <w:b/>
          <w:sz w:val="30"/>
          <w:szCs w:val="30"/>
          <w:highlight w:val="none"/>
        </w:rPr>
        <w:t>采</w:t>
      </w:r>
      <w:r>
        <w:rPr>
          <w:rFonts w:ascii="宋体" w:hAnsi="宋体" w:cs="仿宋_GB2312"/>
          <w:b/>
          <w:sz w:val="30"/>
          <w:szCs w:val="30"/>
          <w:highlight w:val="none"/>
        </w:rPr>
        <w:t xml:space="preserve"> </w:t>
      </w:r>
      <w:r>
        <w:rPr>
          <w:rFonts w:hint="eastAsia" w:ascii="宋体" w:hAnsi="宋体" w:cs="仿宋_GB2312"/>
          <w:b/>
          <w:sz w:val="30"/>
          <w:szCs w:val="30"/>
          <w:highlight w:val="none"/>
        </w:rPr>
        <w:t>购</w:t>
      </w:r>
      <w:r>
        <w:rPr>
          <w:rFonts w:ascii="宋体" w:hAnsi="宋体" w:cs="仿宋_GB2312"/>
          <w:b/>
          <w:sz w:val="30"/>
          <w:szCs w:val="30"/>
          <w:highlight w:val="none"/>
        </w:rPr>
        <w:t xml:space="preserve"> </w:t>
      </w:r>
      <w:r>
        <w:rPr>
          <w:rFonts w:hint="eastAsia" w:ascii="宋体" w:hAnsi="宋体" w:cs="仿宋_GB2312"/>
          <w:b/>
          <w:sz w:val="30"/>
          <w:szCs w:val="30"/>
          <w:highlight w:val="none"/>
        </w:rPr>
        <w:t>人：</w:t>
      </w:r>
      <w:r>
        <w:rPr>
          <w:rFonts w:hint="eastAsia" w:ascii="宋体" w:hAnsi="宋体" w:cs="仿宋_GB2312"/>
          <w:b/>
          <w:sz w:val="30"/>
          <w:szCs w:val="30"/>
          <w:highlight w:val="none"/>
          <w:u w:val="single"/>
          <w:lang w:val="en-US" w:eastAsia="zh-CN"/>
        </w:rPr>
        <w:t xml:space="preserve">            </w:t>
      </w:r>
      <w:r>
        <w:rPr>
          <w:rFonts w:hint="eastAsia" w:ascii="宋体" w:hAnsi="宋体" w:eastAsia="宋体" w:cs="仿宋_GB2312"/>
          <w:b/>
          <w:sz w:val="30"/>
          <w:szCs w:val="30"/>
          <w:highlight w:val="none"/>
          <w:u w:val="single"/>
          <w:lang w:val="en-US" w:eastAsia="zh-CN"/>
        </w:rPr>
        <w:t>安庆</w:t>
      </w:r>
      <w:r>
        <w:rPr>
          <w:rFonts w:hint="eastAsia" w:ascii="宋体" w:hAnsi="宋体" w:cs="仿宋_GB2312"/>
          <w:b/>
          <w:sz w:val="30"/>
          <w:szCs w:val="30"/>
          <w:highlight w:val="none"/>
          <w:u w:val="single"/>
          <w:lang w:val="en-US" w:eastAsia="zh-CN"/>
        </w:rPr>
        <w:t>职业技术学院</w:t>
      </w:r>
      <w:r>
        <w:rPr>
          <w:rFonts w:hint="eastAsia" w:ascii="宋体" w:hAnsi="宋体" w:eastAsia="宋体" w:cs="仿宋_GB2312"/>
          <w:b/>
          <w:sz w:val="30"/>
          <w:szCs w:val="30"/>
          <w:highlight w:val="none"/>
          <w:u w:val="single"/>
          <w:lang w:val="en-US" w:eastAsia="zh-CN"/>
        </w:rPr>
        <w:t xml:space="preserve"> </w:t>
      </w:r>
      <w:r>
        <w:rPr>
          <w:rFonts w:hint="eastAsia" w:ascii="宋体" w:hAnsi="宋体" w:cs="仿宋_GB2312"/>
          <w:b/>
          <w:sz w:val="30"/>
          <w:szCs w:val="30"/>
          <w:highlight w:val="none"/>
          <w:u w:val="single"/>
          <w:lang w:val="en-US" w:eastAsia="zh-CN"/>
        </w:rPr>
        <w:t xml:space="preserve">              </w:t>
      </w:r>
    </w:p>
    <w:p>
      <w:pPr>
        <w:spacing w:line="360" w:lineRule="auto"/>
        <w:rPr>
          <w:rFonts w:ascii="宋体" w:hAnsi="宋体" w:cs="仿宋_GB2312"/>
          <w:b/>
          <w:sz w:val="24"/>
          <w:highlight w:val="none"/>
        </w:rPr>
      </w:pPr>
    </w:p>
    <w:p>
      <w:pPr>
        <w:spacing w:line="360" w:lineRule="auto"/>
        <w:rPr>
          <w:rFonts w:ascii="宋体" w:hAnsi="宋体" w:cs="仿宋_GB2312"/>
          <w:b/>
          <w:sz w:val="24"/>
          <w:highlight w:val="none"/>
        </w:rPr>
      </w:pPr>
    </w:p>
    <w:p>
      <w:pPr>
        <w:spacing w:line="360" w:lineRule="auto"/>
        <w:rPr>
          <w:rFonts w:ascii="宋体" w:hAnsi="宋体" w:cs="仿宋_GB2312"/>
          <w:b/>
          <w:sz w:val="24"/>
          <w:highlight w:val="none"/>
        </w:rPr>
      </w:pPr>
    </w:p>
    <w:p>
      <w:pPr>
        <w:spacing w:line="360" w:lineRule="auto"/>
        <w:ind w:firstLine="596" w:firstLineChars="198"/>
        <w:rPr>
          <w:rFonts w:ascii="宋体" w:hAnsi="宋体" w:cs="仿宋_GB2312"/>
          <w:b/>
          <w:sz w:val="18"/>
          <w:szCs w:val="18"/>
          <w:highlight w:val="none"/>
        </w:rPr>
      </w:pPr>
      <w:r>
        <w:rPr>
          <w:rFonts w:hint="eastAsia" w:ascii="宋体" w:hAnsi="宋体" w:cs="仿宋_GB2312"/>
          <w:b/>
          <w:sz w:val="30"/>
          <w:szCs w:val="30"/>
          <w:highlight w:val="none"/>
        </w:rPr>
        <w:t>采购</w:t>
      </w:r>
      <w:r>
        <w:rPr>
          <w:rFonts w:hint="eastAsia" w:ascii="宋体" w:hAnsi="宋体" w:cs="仿宋_GB2312"/>
          <w:b/>
          <w:sz w:val="30"/>
          <w:szCs w:val="30"/>
          <w:highlight w:val="none"/>
          <w:lang w:val="en-US" w:eastAsia="zh-CN"/>
        </w:rPr>
        <w:t>代理</w:t>
      </w:r>
      <w:r>
        <w:rPr>
          <w:rFonts w:hint="eastAsia" w:ascii="宋体" w:hAnsi="宋体" w:cs="仿宋_GB2312"/>
          <w:b/>
          <w:sz w:val="30"/>
          <w:szCs w:val="30"/>
          <w:highlight w:val="none"/>
        </w:rPr>
        <w:t>机构：</w:t>
      </w:r>
      <w:r>
        <w:rPr>
          <w:rFonts w:ascii="宋体" w:hAnsi="宋体" w:cs="仿宋_GB2312"/>
          <w:b/>
          <w:sz w:val="30"/>
          <w:szCs w:val="30"/>
          <w:highlight w:val="none"/>
          <w:u w:val="single"/>
        </w:rPr>
        <w:t xml:space="preserve">    </w:t>
      </w:r>
      <w:r>
        <w:rPr>
          <w:rFonts w:hint="eastAsia" w:ascii="宋体" w:hAnsi="宋体" w:cs="仿宋_GB2312"/>
          <w:b/>
          <w:sz w:val="30"/>
          <w:szCs w:val="30"/>
          <w:highlight w:val="none"/>
          <w:u w:val="single"/>
        </w:rPr>
        <w:t>安庆市皖宜项目咨询管理有限公司</w:t>
      </w:r>
      <w:r>
        <w:rPr>
          <w:rFonts w:ascii="宋体" w:hAnsi="宋体" w:cs="仿宋_GB2312"/>
          <w:b/>
          <w:spacing w:val="20"/>
          <w:sz w:val="30"/>
          <w:szCs w:val="30"/>
          <w:highlight w:val="none"/>
          <w:u w:val="single"/>
        </w:rPr>
        <w:t xml:space="preserve">  </w:t>
      </w:r>
      <w:r>
        <w:rPr>
          <w:rFonts w:ascii="宋体" w:hAnsi="宋体" w:cs="仿宋_GB2312"/>
          <w:b/>
          <w:sz w:val="30"/>
          <w:szCs w:val="30"/>
          <w:highlight w:val="none"/>
          <w:u w:val="single"/>
        </w:rPr>
        <w:t xml:space="preserve">  </w:t>
      </w:r>
    </w:p>
    <w:p>
      <w:pPr>
        <w:spacing w:line="360" w:lineRule="auto"/>
        <w:rPr>
          <w:rFonts w:ascii="宋体" w:hAnsi="宋体" w:cs="仿宋_GB2312"/>
          <w:b/>
          <w:sz w:val="24"/>
          <w:highlight w:val="none"/>
          <w:u w:val="single"/>
        </w:rPr>
      </w:pPr>
    </w:p>
    <w:p>
      <w:pPr>
        <w:spacing w:line="360" w:lineRule="auto"/>
        <w:rPr>
          <w:rFonts w:ascii="宋体" w:hAnsi="宋体" w:cs="仿宋_GB2312"/>
          <w:b/>
          <w:sz w:val="24"/>
          <w:highlight w:val="none"/>
          <w:u w:val="single"/>
        </w:rPr>
      </w:pPr>
    </w:p>
    <w:p>
      <w:pPr>
        <w:spacing w:line="360" w:lineRule="auto"/>
        <w:rPr>
          <w:rFonts w:ascii="宋体" w:hAnsi="宋体" w:cs="仿宋_GB2312"/>
          <w:sz w:val="24"/>
          <w:highlight w:val="none"/>
        </w:rPr>
      </w:pPr>
    </w:p>
    <w:p>
      <w:pPr>
        <w:spacing w:line="480" w:lineRule="exact"/>
        <w:rPr>
          <w:rFonts w:ascii="宋体" w:hAnsi="宋体" w:cs="仿宋_GB2312"/>
          <w:szCs w:val="21"/>
          <w:highlight w:val="none"/>
        </w:rPr>
      </w:pPr>
    </w:p>
    <w:p>
      <w:pPr>
        <w:spacing w:line="480" w:lineRule="exact"/>
        <w:jc w:val="center"/>
        <w:rPr>
          <w:rFonts w:ascii="宋体" w:hAnsi="宋体" w:cs="仿宋_GB2312"/>
          <w:sz w:val="32"/>
          <w:szCs w:val="32"/>
          <w:highlight w:val="none"/>
        </w:rPr>
      </w:pPr>
      <w:r>
        <w:rPr>
          <w:rFonts w:hint="eastAsia" w:ascii="宋体" w:hAnsi="宋体" w:cs="仿宋_GB2312"/>
          <w:sz w:val="32"/>
          <w:szCs w:val="32"/>
          <w:highlight w:val="none"/>
        </w:rPr>
        <w:t>日期：</w:t>
      </w:r>
      <w:r>
        <w:rPr>
          <w:rFonts w:hint="eastAsia" w:ascii="宋体" w:hAnsi="宋体" w:cs="仿宋_GB2312"/>
          <w:sz w:val="32"/>
          <w:szCs w:val="32"/>
          <w:highlight w:val="none"/>
          <w:lang w:val="en-US" w:eastAsia="zh-CN"/>
        </w:rPr>
        <w:t>二〇二三</w:t>
      </w:r>
      <w:r>
        <w:rPr>
          <w:rFonts w:hint="eastAsia" w:ascii="宋体" w:hAnsi="宋体" w:cs="仿宋_GB2312"/>
          <w:sz w:val="32"/>
          <w:szCs w:val="32"/>
          <w:highlight w:val="none"/>
        </w:rPr>
        <w:t>年</w:t>
      </w:r>
      <w:r>
        <w:rPr>
          <w:rFonts w:hint="eastAsia" w:ascii="宋体" w:hAnsi="宋体" w:cs="仿宋_GB2312"/>
          <w:sz w:val="32"/>
          <w:szCs w:val="32"/>
          <w:highlight w:val="none"/>
          <w:lang w:val="en-US" w:eastAsia="zh-CN"/>
        </w:rPr>
        <w:t>四</w:t>
      </w:r>
      <w:r>
        <w:rPr>
          <w:rFonts w:hint="eastAsia" w:ascii="宋体" w:hAnsi="宋体" w:cs="仿宋_GB2312"/>
          <w:sz w:val="32"/>
          <w:szCs w:val="32"/>
          <w:highlight w:val="none"/>
        </w:rPr>
        <w:t>月</w:t>
      </w:r>
    </w:p>
    <w:p>
      <w:pPr>
        <w:spacing w:line="480" w:lineRule="exact"/>
        <w:jc w:val="center"/>
        <w:rPr>
          <w:rFonts w:ascii="宋体" w:hAnsi="宋体" w:cs="仿宋_GB2312"/>
          <w:sz w:val="32"/>
          <w:szCs w:val="32"/>
          <w:highlight w:val="none"/>
        </w:rPr>
      </w:pPr>
    </w:p>
    <w:p>
      <w:pPr>
        <w:spacing w:line="480" w:lineRule="exact"/>
        <w:jc w:val="center"/>
        <w:rPr>
          <w:rFonts w:ascii="宋体" w:hAnsi="宋体" w:cs="仿宋_GB2312"/>
          <w:sz w:val="32"/>
          <w:szCs w:val="32"/>
          <w:highlight w:val="none"/>
        </w:rPr>
      </w:pPr>
    </w:p>
    <w:p>
      <w:pPr>
        <w:spacing w:line="480" w:lineRule="exact"/>
        <w:jc w:val="center"/>
        <w:rPr>
          <w:rFonts w:ascii="宋体" w:hAnsi="宋体" w:cs="仿宋_GB2312"/>
          <w:sz w:val="32"/>
          <w:szCs w:val="32"/>
          <w:highlight w:val="none"/>
        </w:rPr>
      </w:pPr>
    </w:p>
    <w:p>
      <w:pPr>
        <w:pStyle w:val="400"/>
        <w:spacing w:before="240" w:after="240"/>
        <w:rPr>
          <w:rFonts w:ascii="宋体" w:hAnsi="宋体"/>
          <w:color w:val="auto"/>
          <w:highlight w:val="none"/>
        </w:rPr>
        <w:sectPr>
          <w:headerReference r:id="rId3" w:type="default"/>
          <w:footerReference r:id="rId4" w:type="default"/>
          <w:footerReference r:id="rId5" w:type="even"/>
          <w:pgSz w:w="11906" w:h="16838"/>
          <w:pgMar w:top="1418" w:right="1418" w:bottom="1418" w:left="1418" w:header="851" w:footer="680" w:gutter="0"/>
          <w:pgNumType w:fmt="koreanDigital" w:start="1"/>
          <w:cols w:space="720" w:num="1"/>
          <w:docGrid w:linePitch="290" w:charSpace="0"/>
        </w:sectPr>
      </w:pPr>
    </w:p>
    <w:p>
      <w:pPr>
        <w:widowControl/>
        <w:spacing w:line="480" w:lineRule="auto"/>
        <w:jc w:val="center"/>
        <w:rPr>
          <w:rFonts w:ascii="黑体" w:hAnsi="黑体" w:eastAsia="黑体" w:cs="宋体"/>
          <w:b/>
          <w:kern w:val="0"/>
          <w:sz w:val="32"/>
          <w:szCs w:val="32"/>
          <w:highlight w:val="none"/>
        </w:rPr>
      </w:pPr>
      <w:r>
        <w:rPr>
          <w:rFonts w:hint="eastAsia" w:ascii="黑体" w:hAnsi="黑体" w:eastAsia="黑体" w:cs="宋体"/>
          <w:b/>
          <w:kern w:val="0"/>
          <w:sz w:val="32"/>
          <w:szCs w:val="32"/>
          <w:highlight w:val="none"/>
        </w:rPr>
        <w:t>重  要  提  醒</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 xml:space="preserve">1.组织、领导、实施恶意竞标、围标、串标、虚假投标、挂靠投标、出让资质等违法活动。 </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 xml:space="preserve">3.聚众围堵开、评标现场，干扰正常开评标秩序的行为。 </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 xml:space="preserve">4.在招投标过程中寻衅滋事、恶意投诉，或以投诉、信访、举报相威胁获取不正当利益的行为。 </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 xml:space="preserve">5.伪造资质证书、证件、提供虚假材料进行投标，谋取不正当利益的违法行为。 </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8.利诱、欺骗招标人违反相关规定按其意图设置</w:t>
      </w:r>
      <w:r>
        <w:rPr>
          <w:rFonts w:hint="eastAsia" w:ascii="宋体" w:hAnsi="宋体" w:cs="宋体"/>
          <w:b/>
          <w:kern w:val="0"/>
          <w:sz w:val="24"/>
          <w:szCs w:val="24"/>
          <w:highlight w:val="none"/>
          <w:lang w:eastAsia="zh-CN"/>
        </w:rPr>
        <w:t>竞争性磋商文件</w:t>
      </w:r>
      <w:r>
        <w:rPr>
          <w:rFonts w:hint="eastAsia" w:ascii="宋体" w:hAnsi="宋体" w:cs="宋体"/>
          <w:b/>
          <w:kern w:val="0"/>
          <w:sz w:val="24"/>
          <w:szCs w:val="24"/>
          <w:highlight w:val="none"/>
        </w:rPr>
        <w:t xml:space="preserve">条款的违法违规行为。 </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 xml:space="preserve">9.窃取项目投标人报名情况、评标委员会组成人员等保密信息。 </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 xml:space="preserve">10.领导干部违反规定插手干预项目招投标活动。 </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11.干部职工在招投标活动中与黑恶势力勾结，充当保护伞。</w:t>
      </w:r>
    </w:p>
    <w:p>
      <w:pPr>
        <w:widowControl/>
        <w:spacing w:line="480" w:lineRule="auto"/>
        <w:ind w:firstLine="482" w:firstLineChars="200"/>
        <w:jc w:val="left"/>
        <w:rPr>
          <w:rFonts w:ascii="宋体" w:hAnsi="宋体" w:cs="宋体"/>
          <w:b/>
          <w:kern w:val="0"/>
          <w:sz w:val="24"/>
          <w:szCs w:val="24"/>
          <w:highlight w:val="none"/>
        </w:rPr>
      </w:pPr>
    </w:p>
    <w:p>
      <w:pPr>
        <w:widowControl/>
        <w:spacing w:line="480" w:lineRule="auto"/>
        <w:ind w:firstLine="482" w:firstLineChars="200"/>
        <w:jc w:val="left"/>
        <w:rPr>
          <w:rFonts w:ascii="宋体" w:hAnsi="宋体" w:cs="宋体"/>
          <w:b/>
          <w:kern w:val="0"/>
          <w:sz w:val="24"/>
          <w:szCs w:val="24"/>
          <w:highlight w:val="none"/>
        </w:rPr>
      </w:pPr>
    </w:p>
    <w:p>
      <w:pPr>
        <w:widowControl/>
        <w:spacing w:line="480" w:lineRule="auto"/>
        <w:ind w:firstLine="482" w:firstLineChars="200"/>
        <w:jc w:val="left"/>
        <w:rPr>
          <w:rFonts w:ascii="宋体" w:hAnsi="宋体" w:cs="宋体"/>
          <w:b/>
          <w:kern w:val="0"/>
          <w:sz w:val="24"/>
          <w:szCs w:val="24"/>
          <w:highlight w:val="none"/>
        </w:rPr>
      </w:pP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二、请各磋商响应人认真阅读磋商文件，对下述事项予以重视：</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1、请依据项目资格要求，自行核对营业执照合法有效。</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2、按照磋商文件要求制作磋商响应文件，磋商响应文件创建标识码、文件制作机器码任一项一致的将不予通过符合性评审，并予以披露，记入不良行为记录。</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3、对投标活动中可能发生的质疑、投诉行为，须依法在规定的时间内提出。</w:t>
      </w:r>
      <w:r>
        <w:rPr>
          <w:rFonts w:ascii="宋体" w:hAnsi="宋体" w:cs="宋体"/>
          <w:b/>
          <w:kern w:val="0"/>
          <w:sz w:val="24"/>
          <w:szCs w:val="24"/>
          <w:highlight w:val="none"/>
        </w:rPr>
        <w:t xml:space="preserve">  </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4、本项目开评标期间，供应商必须保证联系电话、电子邮箱通畅，因供应商通讯不畅造成的不利后果由供应商自行承担。</w:t>
      </w:r>
    </w:p>
    <w:p>
      <w:pPr>
        <w:widowControl/>
        <w:jc w:val="left"/>
        <w:rPr>
          <w:rFonts w:ascii="宋体" w:hAnsi="宋体" w:cs="宋体"/>
          <w:b/>
          <w:sz w:val="36"/>
          <w:szCs w:val="36"/>
          <w:highlight w:val="none"/>
          <w:lang w:val="zh-CN"/>
        </w:rPr>
      </w:pPr>
      <w:r>
        <w:rPr>
          <w:rFonts w:ascii="宋体" w:hAnsi="宋体" w:cs="宋体"/>
          <w:b/>
          <w:sz w:val="36"/>
          <w:szCs w:val="36"/>
          <w:highlight w:val="none"/>
          <w:lang w:val="zh-CN"/>
        </w:rPr>
        <w:br w:type="page"/>
      </w:r>
    </w:p>
    <w:p>
      <w:pPr>
        <w:spacing w:line="480" w:lineRule="exact"/>
        <w:jc w:val="center"/>
        <w:rPr>
          <w:rFonts w:ascii="宋体" w:hAnsi="宋体" w:cs="宋体"/>
          <w:b/>
          <w:sz w:val="36"/>
          <w:szCs w:val="36"/>
          <w:highlight w:val="none"/>
          <w:lang w:val="zh-CN"/>
        </w:rPr>
      </w:pPr>
      <w:r>
        <w:rPr>
          <w:rFonts w:hint="eastAsia" w:ascii="宋体" w:hAnsi="宋体" w:cs="宋体"/>
          <w:b/>
          <w:sz w:val="36"/>
          <w:szCs w:val="36"/>
          <w:highlight w:val="none"/>
          <w:lang w:val="zh-CN"/>
        </w:rPr>
        <w:t>目</w:t>
      </w:r>
      <w:r>
        <w:rPr>
          <w:rFonts w:ascii="宋体" w:hAnsi="宋体" w:cs="宋体"/>
          <w:b/>
          <w:sz w:val="36"/>
          <w:szCs w:val="36"/>
          <w:highlight w:val="none"/>
        </w:rPr>
        <w:t xml:space="preserve">    </w:t>
      </w:r>
      <w:r>
        <w:rPr>
          <w:rFonts w:hint="eastAsia" w:ascii="宋体" w:hAnsi="宋体" w:cs="宋体"/>
          <w:b/>
          <w:sz w:val="36"/>
          <w:szCs w:val="36"/>
          <w:highlight w:val="none"/>
          <w:lang w:val="zh-CN"/>
        </w:rPr>
        <w:t>录</w:t>
      </w:r>
    </w:p>
    <w:p>
      <w:pPr>
        <w:pStyle w:val="43"/>
        <w:tabs>
          <w:tab w:val="right" w:leader="dot" w:pos="9070"/>
        </w:tabs>
        <w:rPr>
          <w:highlight w:val="none"/>
        </w:rPr>
      </w:pPr>
      <w:bookmarkStart w:id="0" w:name="_Toc21464"/>
      <w:bookmarkStart w:id="1" w:name="_Toc54941328"/>
      <w:bookmarkStart w:id="2" w:name="_Toc23467"/>
      <w:bookmarkStart w:id="3" w:name="_Toc439316870"/>
      <w:r>
        <w:rPr>
          <w:sz w:val="28"/>
          <w:szCs w:val="28"/>
          <w:highlight w:val="none"/>
        </w:rPr>
        <w:fldChar w:fldCharType="begin"/>
      </w:r>
      <w:r>
        <w:rPr>
          <w:sz w:val="28"/>
          <w:szCs w:val="28"/>
          <w:highlight w:val="none"/>
        </w:rPr>
        <w:instrText xml:space="preserve">TOC \o "1-1" \h \u </w:instrText>
      </w:r>
      <w:r>
        <w:rPr>
          <w:sz w:val="28"/>
          <w:szCs w:val="28"/>
          <w:highlight w:val="none"/>
        </w:rPr>
        <w:fldChar w:fldCharType="separate"/>
      </w:r>
      <w:r>
        <w:rPr>
          <w:szCs w:val="28"/>
          <w:highlight w:val="none"/>
        </w:rPr>
        <w:fldChar w:fldCharType="begin"/>
      </w:r>
      <w:r>
        <w:rPr>
          <w:szCs w:val="28"/>
          <w:highlight w:val="none"/>
        </w:rPr>
        <w:instrText xml:space="preserve"> HYPERLINK \l _Toc21290 </w:instrText>
      </w:r>
      <w:r>
        <w:rPr>
          <w:szCs w:val="28"/>
          <w:highlight w:val="none"/>
        </w:rPr>
        <w:fldChar w:fldCharType="separate"/>
      </w:r>
      <w:r>
        <w:rPr>
          <w:rFonts w:hint="eastAsia"/>
          <w:bCs/>
          <w:i w:val="0"/>
          <w:iCs/>
          <w:szCs w:val="32"/>
          <w:highlight w:val="none"/>
        </w:rPr>
        <w:t>第一章</w:t>
      </w:r>
      <w:r>
        <w:rPr>
          <w:bCs/>
          <w:i w:val="0"/>
          <w:iCs/>
          <w:szCs w:val="32"/>
          <w:highlight w:val="none"/>
        </w:rPr>
        <w:t xml:space="preserve">   </w:t>
      </w:r>
      <w:r>
        <w:rPr>
          <w:rFonts w:hint="eastAsia"/>
          <w:bCs/>
          <w:i w:val="0"/>
          <w:iCs/>
          <w:szCs w:val="32"/>
          <w:highlight w:val="none"/>
        </w:rPr>
        <w:t>竞争性磋商公告</w:t>
      </w:r>
      <w:r>
        <w:rPr>
          <w:highlight w:val="none"/>
        </w:rPr>
        <w:tab/>
      </w:r>
      <w:r>
        <w:rPr>
          <w:highlight w:val="none"/>
        </w:rPr>
        <w:fldChar w:fldCharType="begin"/>
      </w:r>
      <w:r>
        <w:rPr>
          <w:highlight w:val="none"/>
        </w:rPr>
        <w:instrText xml:space="preserve"> PAGEREF _Toc21290 \h </w:instrText>
      </w:r>
      <w:r>
        <w:rPr>
          <w:highlight w:val="none"/>
        </w:rPr>
        <w:fldChar w:fldCharType="separate"/>
      </w:r>
      <w:r>
        <w:rPr>
          <w:highlight w:val="none"/>
        </w:rPr>
        <w:t>1</w:t>
      </w:r>
      <w:r>
        <w:rPr>
          <w:highlight w:val="none"/>
        </w:rPr>
        <w:fldChar w:fldCharType="end"/>
      </w:r>
      <w:r>
        <w:rPr>
          <w:szCs w:val="28"/>
          <w:highlight w:val="none"/>
        </w:rPr>
        <w:fldChar w:fldCharType="end"/>
      </w:r>
    </w:p>
    <w:p>
      <w:pPr>
        <w:pStyle w:val="43"/>
        <w:tabs>
          <w:tab w:val="right" w:leader="dot" w:pos="9070"/>
        </w:tabs>
        <w:rPr>
          <w:highlight w:val="none"/>
        </w:rPr>
      </w:pPr>
      <w:r>
        <w:rPr>
          <w:szCs w:val="28"/>
          <w:highlight w:val="none"/>
        </w:rPr>
        <w:fldChar w:fldCharType="begin"/>
      </w:r>
      <w:r>
        <w:rPr>
          <w:szCs w:val="28"/>
          <w:highlight w:val="none"/>
        </w:rPr>
        <w:instrText xml:space="preserve"> HYPERLINK \l _Toc13471 </w:instrText>
      </w:r>
      <w:r>
        <w:rPr>
          <w:szCs w:val="28"/>
          <w:highlight w:val="none"/>
        </w:rPr>
        <w:fldChar w:fldCharType="separate"/>
      </w:r>
      <w:r>
        <w:rPr>
          <w:rFonts w:hint="eastAsia" w:ascii="Arial" w:hAnsi="Arial"/>
          <w:kern w:val="2"/>
          <w:szCs w:val="32"/>
          <w:highlight w:val="none"/>
        </w:rPr>
        <w:t>第二章</w:t>
      </w:r>
      <w:r>
        <w:rPr>
          <w:rFonts w:ascii="Arial" w:hAnsi="Arial"/>
          <w:kern w:val="2"/>
          <w:szCs w:val="32"/>
          <w:highlight w:val="none"/>
        </w:rPr>
        <w:t xml:space="preserve">   </w:t>
      </w:r>
      <w:r>
        <w:rPr>
          <w:rFonts w:hint="eastAsia" w:ascii="Arial" w:hAnsi="Arial"/>
          <w:kern w:val="2"/>
          <w:szCs w:val="32"/>
          <w:highlight w:val="none"/>
        </w:rPr>
        <w:t>磋商须知</w:t>
      </w:r>
      <w:r>
        <w:rPr>
          <w:highlight w:val="none"/>
        </w:rPr>
        <w:tab/>
      </w:r>
      <w:r>
        <w:rPr>
          <w:highlight w:val="none"/>
        </w:rPr>
        <w:fldChar w:fldCharType="begin"/>
      </w:r>
      <w:r>
        <w:rPr>
          <w:highlight w:val="none"/>
        </w:rPr>
        <w:instrText xml:space="preserve"> PAGEREF _Toc13471 \h </w:instrText>
      </w:r>
      <w:r>
        <w:rPr>
          <w:highlight w:val="none"/>
        </w:rPr>
        <w:fldChar w:fldCharType="separate"/>
      </w:r>
      <w:r>
        <w:rPr>
          <w:highlight w:val="none"/>
        </w:rPr>
        <w:t>6</w:t>
      </w:r>
      <w:r>
        <w:rPr>
          <w:highlight w:val="none"/>
        </w:rPr>
        <w:fldChar w:fldCharType="end"/>
      </w:r>
      <w:r>
        <w:rPr>
          <w:szCs w:val="28"/>
          <w:highlight w:val="none"/>
        </w:rPr>
        <w:fldChar w:fldCharType="end"/>
      </w:r>
    </w:p>
    <w:p>
      <w:pPr>
        <w:pStyle w:val="43"/>
        <w:tabs>
          <w:tab w:val="right" w:leader="dot" w:pos="9070"/>
        </w:tabs>
        <w:rPr>
          <w:highlight w:val="none"/>
        </w:rPr>
      </w:pPr>
      <w:r>
        <w:rPr>
          <w:szCs w:val="28"/>
          <w:highlight w:val="none"/>
        </w:rPr>
        <w:fldChar w:fldCharType="begin"/>
      </w:r>
      <w:r>
        <w:rPr>
          <w:szCs w:val="28"/>
          <w:highlight w:val="none"/>
        </w:rPr>
        <w:instrText xml:space="preserve"> HYPERLINK \l _Toc8866 </w:instrText>
      </w:r>
      <w:r>
        <w:rPr>
          <w:szCs w:val="28"/>
          <w:highlight w:val="none"/>
        </w:rPr>
        <w:fldChar w:fldCharType="separate"/>
      </w:r>
      <w:r>
        <w:rPr>
          <w:rFonts w:hint="eastAsia" w:ascii="Arial" w:hAnsi="Arial"/>
          <w:kern w:val="2"/>
          <w:szCs w:val="32"/>
          <w:highlight w:val="none"/>
        </w:rPr>
        <w:t>第</w:t>
      </w:r>
      <w:r>
        <w:rPr>
          <w:rFonts w:hint="eastAsia" w:ascii="Arial" w:hAnsi="Arial"/>
          <w:kern w:val="2"/>
          <w:szCs w:val="32"/>
          <w:highlight w:val="none"/>
          <w:lang w:val="en-US" w:eastAsia="zh-CN"/>
        </w:rPr>
        <w:t>三</w:t>
      </w:r>
      <w:r>
        <w:rPr>
          <w:rFonts w:hint="eastAsia" w:ascii="Arial" w:hAnsi="Arial"/>
          <w:kern w:val="2"/>
          <w:szCs w:val="32"/>
          <w:highlight w:val="none"/>
        </w:rPr>
        <w:t xml:space="preserve">章  </w:t>
      </w:r>
      <w:r>
        <w:rPr>
          <w:rFonts w:hint="eastAsia" w:ascii="Arial" w:hAnsi="Arial"/>
          <w:kern w:val="2"/>
          <w:szCs w:val="32"/>
          <w:highlight w:val="none"/>
          <w:lang w:val="en-US" w:eastAsia="zh-CN"/>
        </w:rPr>
        <w:t xml:space="preserve"> </w:t>
      </w:r>
      <w:r>
        <w:rPr>
          <w:rFonts w:hint="eastAsia" w:ascii="Arial" w:hAnsi="Arial"/>
          <w:kern w:val="2"/>
          <w:szCs w:val="32"/>
          <w:highlight w:val="none"/>
        </w:rPr>
        <w:t>合同条款</w:t>
      </w:r>
      <w:r>
        <w:rPr>
          <w:highlight w:val="none"/>
        </w:rPr>
        <w:tab/>
      </w:r>
      <w:r>
        <w:rPr>
          <w:highlight w:val="none"/>
        </w:rPr>
        <w:fldChar w:fldCharType="begin"/>
      </w:r>
      <w:r>
        <w:rPr>
          <w:highlight w:val="none"/>
        </w:rPr>
        <w:instrText xml:space="preserve"> PAGEREF _Toc8866 \h </w:instrText>
      </w:r>
      <w:r>
        <w:rPr>
          <w:highlight w:val="none"/>
        </w:rPr>
        <w:fldChar w:fldCharType="separate"/>
      </w:r>
      <w:r>
        <w:rPr>
          <w:highlight w:val="none"/>
        </w:rPr>
        <w:t>33</w:t>
      </w:r>
      <w:r>
        <w:rPr>
          <w:highlight w:val="none"/>
        </w:rPr>
        <w:fldChar w:fldCharType="end"/>
      </w:r>
      <w:r>
        <w:rPr>
          <w:szCs w:val="28"/>
          <w:highlight w:val="none"/>
        </w:rPr>
        <w:fldChar w:fldCharType="end"/>
      </w:r>
    </w:p>
    <w:p>
      <w:pPr>
        <w:pStyle w:val="43"/>
        <w:tabs>
          <w:tab w:val="right" w:leader="dot" w:pos="9070"/>
        </w:tabs>
        <w:rPr>
          <w:highlight w:val="none"/>
        </w:rPr>
      </w:pPr>
      <w:r>
        <w:rPr>
          <w:szCs w:val="28"/>
          <w:highlight w:val="none"/>
        </w:rPr>
        <w:fldChar w:fldCharType="begin"/>
      </w:r>
      <w:r>
        <w:rPr>
          <w:szCs w:val="28"/>
          <w:highlight w:val="none"/>
        </w:rPr>
        <w:instrText xml:space="preserve"> HYPERLINK \l _Toc27878 </w:instrText>
      </w:r>
      <w:r>
        <w:rPr>
          <w:szCs w:val="28"/>
          <w:highlight w:val="none"/>
        </w:rPr>
        <w:fldChar w:fldCharType="separate"/>
      </w:r>
      <w:r>
        <w:rPr>
          <w:rFonts w:hint="eastAsia" w:ascii="Arial" w:hAnsi="Arial"/>
          <w:kern w:val="2"/>
          <w:szCs w:val="32"/>
          <w:highlight w:val="none"/>
          <w:lang w:val="zh-CN" w:eastAsia="zh-CN"/>
        </w:rPr>
        <w:t>第</w:t>
      </w:r>
      <w:r>
        <w:rPr>
          <w:rFonts w:hint="eastAsia" w:ascii="Arial" w:hAnsi="Arial"/>
          <w:kern w:val="2"/>
          <w:szCs w:val="32"/>
          <w:highlight w:val="none"/>
          <w:lang w:val="en-US" w:eastAsia="zh-CN"/>
        </w:rPr>
        <w:t>四</w:t>
      </w:r>
      <w:r>
        <w:rPr>
          <w:rFonts w:hint="eastAsia" w:ascii="Arial" w:hAnsi="Arial"/>
          <w:kern w:val="2"/>
          <w:szCs w:val="32"/>
          <w:highlight w:val="none"/>
          <w:lang w:val="zh-CN" w:eastAsia="zh-CN"/>
        </w:rPr>
        <w:t xml:space="preserve">章  </w:t>
      </w:r>
      <w:r>
        <w:rPr>
          <w:rFonts w:hint="eastAsia" w:ascii="Arial" w:hAnsi="Arial"/>
          <w:kern w:val="2"/>
          <w:szCs w:val="32"/>
          <w:highlight w:val="none"/>
          <w:lang w:val="en-US" w:eastAsia="zh-CN"/>
        </w:rPr>
        <w:t xml:space="preserve"> 响应文件格式</w:t>
      </w:r>
      <w:r>
        <w:rPr>
          <w:highlight w:val="none"/>
        </w:rPr>
        <w:tab/>
      </w:r>
      <w:r>
        <w:rPr>
          <w:highlight w:val="none"/>
        </w:rPr>
        <w:fldChar w:fldCharType="begin"/>
      </w:r>
      <w:r>
        <w:rPr>
          <w:highlight w:val="none"/>
        </w:rPr>
        <w:instrText xml:space="preserve"> PAGEREF _Toc27878 \h </w:instrText>
      </w:r>
      <w:r>
        <w:rPr>
          <w:highlight w:val="none"/>
        </w:rPr>
        <w:fldChar w:fldCharType="separate"/>
      </w:r>
      <w:r>
        <w:rPr>
          <w:highlight w:val="none"/>
        </w:rPr>
        <w:t>65</w:t>
      </w:r>
      <w:r>
        <w:rPr>
          <w:highlight w:val="none"/>
        </w:rPr>
        <w:fldChar w:fldCharType="end"/>
      </w:r>
      <w:r>
        <w:rPr>
          <w:szCs w:val="28"/>
          <w:highlight w:val="none"/>
        </w:rPr>
        <w:fldChar w:fldCharType="end"/>
      </w:r>
    </w:p>
    <w:p>
      <w:pPr>
        <w:pStyle w:val="43"/>
        <w:tabs>
          <w:tab w:val="right" w:leader="dot" w:pos="9070"/>
        </w:tabs>
        <w:rPr>
          <w:highlight w:val="none"/>
        </w:rPr>
      </w:pPr>
      <w:r>
        <w:rPr>
          <w:szCs w:val="28"/>
          <w:highlight w:val="none"/>
        </w:rPr>
        <w:fldChar w:fldCharType="begin"/>
      </w:r>
      <w:r>
        <w:rPr>
          <w:szCs w:val="28"/>
          <w:highlight w:val="none"/>
        </w:rPr>
        <w:instrText xml:space="preserve"> HYPERLINK \l _Toc7613 </w:instrText>
      </w:r>
      <w:r>
        <w:rPr>
          <w:szCs w:val="28"/>
          <w:highlight w:val="none"/>
        </w:rPr>
        <w:fldChar w:fldCharType="separate"/>
      </w:r>
      <w:r>
        <w:rPr>
          <w:rFonts w:hint="eastAsia" w:ascii="宋体" w:hAnsi="宋体" w:eastAsia="宋体" w:cs="宋体"/>
          <w:szCs w:val="36"/>
          <w:highlight w:val="none"/>
        </w:rPr>
        <w:t>第五章</w:t>
      </w:r>
      <w:r>
        <w:rPr>
          <w:rFonts w:hint="eastAsia" w:ascii="宋体" w:hAnsi="宋体" w:eastAsia="宋体" w:cs="宋体"/>
          <w:szCs w:val="36"/>
          <w:highlight w:val="none"/>
          <w:lang w:val="en-US" w:eastAsia="zh-CN"/>
        </w:rPr>
        <w:t xml:space="preserve">  </w:t>
      </w:r>
      <w:r>
        <w:rPr>
          <w:rFonts w:hint="eastAsia" w:ascii="宋体" w:hAnsi="宋体" w:cs="宋体"/>
          <w:szCs w:val="36"/>
          <w:highlight w:val="none"/>
          <w:lang w:val="en-US" w:eastAsia="zh-CN"/>
        </w:rPr>
        <w:t xml:space="preserve"> </w:t>
      </w:r>
      <w:r>
        <w:rPr>
          <w:rFonts w:hint="eastAsia" w:ascii="宋体" w:hAnsi="宋体" w:eastAsia="宋体" w:cs="宋体"/>
          <w:szCs w:val="36"/>
          <w:highlight w:val="none"/>
        </w:rPr>
        <w:t>工程技术经济要求</w:t>
      </w:r>
      <w:r>
        <w:rPr>
          <w:highlight w:val="none"/>
        </w:rPr>
        <w:tab/>
      </w:r>
      <w:r>
        <w:rPr>
          <w:highlight w:val="none"/>
        </w:rPr>
        <w:fldChar w:fldCharType="begin"/>
      </w:r>
      <w:r>
        <w:rPr>
          <w:highlight w:val="none"/>
        </w:rPr>
        <w:instrText xml:space="preserve"> PAGEREF _Toc7613 \h </w:instrText>
      </w:r>
      <w:r>
        <w:rPr>
          <w:highlight w:val="none"/>
        </w:rPr>
        <w:fldChar w:fldCharType="separate"/>
      </w:r>
      <w:r>
        <w:rPr>
          <w:highlight w:val="none"/>
        </w:rPr>
        <w:t>99</w:t>
      </w:r>
      <w:r>
        <w:rPr>
          <w:highlight w:val="none"/>
        </w:rPr>
        <w:fldChar w:fldCharType="end"/>
      </w:r>
      <w:r>
        <w:rPr>
          <w:szCs w:val="28"/>
          <w:highlight w:val="none"/>
        </w:rPr>
        <w:fldChar w:fldCharType="end"/>
      </w:r>
    </w:p>
    <w:p>
      <w:pPr>
        <w:pStyle w:val="43"/>
        <w:tabs>
          <w:tab w:val="right" w:leader="dot" w:pos="9070"/>
        </w:tabs>
        <w:rPr>
          <w:highlight w:val="none"/>
        </w:rPr>
      </w:pPr>
      <w:r>
        <w:rPr>
          <w:szCs w:val="28"/>
          <w:highlight w:val="none"/>
        </w:rPr>
        <w:fldChar w:fldCharType="begin"/>
      </w:r>
      <w:r>
        <w:rPr>
          <w:szCs w:val="28"/>
          <w:highlight w:val="none"/>
        </w:rPr>
        <w:instrText xml:space="preserve"> HYPERLINK \l _Toc15873 </w:instrText>
      </w:r>
      <w:r>
        <w:rPr>
          <w:szCs w:val="28"/>
          <w:highlight w:val="none"/>
        </w:rPr>
        <w:fldChar w:fldCharType="separate"/>
      </w:r>
      <w:r>
        <w:rPr>
          <w:rFonts w:hint="eastAsia" w:ascii="宋体" w:hAnsi="宋体" w:eastAsia="宋体" w:cs="宋体"/>
          <w:szCs w:val="36"/>
          <w:highlight w:val="none"/>
        </w:rPr>
        <w:t>第六章</w:t>
      </w:r>
      <w:r>
        <w:rPr>
          <w:rFonts w:hint="eastAsia" w:ascii="宋体" w:hAnsi="宋体" w:eastAsia="宋体" w:cs="宋体"/>
          <w:szCs w:val="36"/>
          <w:highlight w:val="none"/>
          <w:lang w:val="en-US" w:eastAsia="zh-CN"/>
        </w:rPr>
        <w:t xml:space="preserve">   </w:t>
      </w:r>
      <w:r>
        <w:rPr>
          <w:rFonts w:hint="eastAsia" w:ascii="宋体" w:hAnsi="宋体" w:eastAsia="宋体" w:cs="宋体"/>
          <w:szCs w:val="36"/>
          <w:highlight w:val="none"/>
        </w:rPr>
        <w:t>施工图设计文件</w:t>
      </w:r>
      <w:r>
        <w:rPr>
          <w:highlight w:val="none"/>
        </w:rPr>
        <w:tab/>
      </w:r>
      <w:r>
        <w:rPr>
          <w:highlight w:val="none"/>
        </w:rPr>
        <w:fldChar w:fldCharType="begin"/>
      </w:r>
      <w:r>
        <w:rPr>
          <w:highlight w:val="none"/>
        </w:rPr>
        <w:instrText xml:space="preserve"> PAGEREF _Toc15873 \h </w:instrText>
      </w:r>
      <w:r>
        <w:rPr>
          <w:highlight w:val="none"/>
        </w:rPr>
        <w:fldChar w:fldCharType="separate"/>
      </w:r>
      <w:r>
        <w:rPr>
          <w:highlight w:val="none"/>
        </w:rPr>
        <w:t>100</w:t>
      </w:r>
      <w:r>
        <w:rPr>
          <w:highlight w:val="none"/>
        </w:rPr>
        <w:fldChar w:fldCharType="end"/>
      </w:r>
      <w:r>
        <w:rPr>
          <w:szCs w:val="28"/>
          <w:highlight w:val="none"/>
        </w:rPr>
        <w:fldChar w:fldCharType="end"/>
      </w:r>
    </w:p>
    <w:p>
      <w:pPr>
        <w:pStyle w:val="43"/>
        <w:tabs>
          <w:tab w:val="right" w:leader="dot" w:pos="9070"/>
        </w:tabs>
        <w:rPr>
          <w:highlight w:val="none"/>
        </w:rPr>
      </w:pPr>
      <w:r>
        <w:rPr>
          <w:szCs w:val="28"/>
          <w:highlight w:val="none"/>
        </w:rPr>
        <w:fldChar w:fldCharType="begin"/>
      </w:r>
      <w:r>
        <w:rPr>
          <w:szCs w:val="28"/>
          <w:highlight w:val="none"/>
        </w:rPr>
        <w:instrText xml:space="preserve"> HYPERLINK \l _Toc6416 </w:instrText>
      </w:r>
      <w:r>
        <w:rPr>
          <w:szCs w:val="28"/>
          <w:highlight w:val="none"/>
        </w:rPr>
        <w:fldChar w:fldCharType="separate"/>
      </w:r>
      <w:r>
        <w:rPr>
          <w:rFonts w:hint="eastAsia" w:ascii="宋体" w:hAnsi="宋体" w:eastAsia="宋体" w:cs="宋体"/>
          <w:szCs w:val="36"/>
          <w:highlight w:val="none"/>
        </w:rPr>
        <w:t>第七章</w:t>
      </w:r>
      <w:r>
        <w:rPr>
          <w:rFonts w:hint="eastAsia" w:ascii="宋体" w:hAnsi="宋体" w:eastAsia="宋体" w:cs="宋体"/>
          <w:szCs w:val="36"/>
          <w:highlight w:val="none"/>
          <w:lang w:val="en-US" w:eastAsia="zh-CN"/>
        </w:rPr>
        <w:t xml:space="preserve">   </w:t>
      </w:r>
      <w:r>
        <w:rPr>
          <w:rFonts w:hint="eastAsia" w:ascii="宋体" w:hAnsi="宋体" w:eastAsia="宋体" w:cs="宋体"/>
          <w:szCs w:val="36"/>
          <w:highlight w:val="none"/>
        </w:rPr>
        <w:t>工程量清单</w:t>
      </w:r>
      <w:r>
        <w:rPr>
          <w:highlight w:val="none"/>
        </w:rPr>
        <w:tab/>
      </w:r>
      <w:r>
        <w:rPr>
          <w:highlight w:val="none"/>
        </w:rPr>
        <w:fldChar w:fldCharType="begin"/>
      </w:r>
      <w:r>
        <w:rPr>
          <w:highlight w:val="none"/>
        </w:rPr>
        <w:instrText xml:space="preserve"> PAGEREF _Toc6416 \h </w:instrText>
      </w:r>
      <w:r>
        <w:rPr>
          <w:highlight w:val="none"/>
        </w:rPr>
        <w:fldChar w:fldCharType="separate"/>
      </w:r>
      <w:r>
        <w:rPr>
          <w:highlight w:val="none"/>
        </w:rPr>
        <w:t>101</w:t>
      </w:r>
      <w:r>
        <w:rPr>
          <w:highlight w:val="none"/>
        </w:rPr>
        <w:fldChar w:fldCharType="end"/>
      </w:r>
      <w:r>
        <w:rPr>
          <w:szCs w:val="28"/>
          <w:highlight w:val="none"/>
        </w:rPr>
        <w:fldChar w:fldCharType="end"/>
      </w:r>
    </w:p>
    <w:p>
      <w:pPr>
        <w:pStyle w:val="43"/>
        <w:tabs>
          <w:tab w:val="right" w:leader="dot" w:pos="9070"/>
        </w:tabs>
        <w:rPr>
          <w:highlight w:val="none"/>
        </w:rPr>
      </w:pPr>
      <w:r>
        <w:rPr>
          <w:szCs w:val="28"/>
          <w:highlight w:val="none"/>
        </w:rPr>
        <w:fldChar w:fldCharType="begin"/>
      </w:r>
      <w:r>
        <w:rPr>
          <w:szCs w:val="28"/>
          <w:highlight w:val="none"/>
        </w:rPr>
        <w:instrText xml:space="preserve"> HYPERLINK \l _Toc6084 </w:instrText>
      </w:r>
      <w:r>
        <w:rPr>
          <w:szCs w:val="28"/>
          <w:highlight w:val="none"/>
        </w:rPr>
        <w:fldChar w:fldCharType="separate"/>
      </w:r>
      <w:r>
        <w:rPr>
          <w:rFonts w:hint="eastAsia"/>
          <w:highlight w:val="none"/>
        </w:rPr>
        <w:t>第</w:t>
      </w:r>
      <w:r>
        <w:rPr>
          <w:rFonts w:hint="eastAsia"/>
          <w:highlight w:val="none"/>
          <w:lang w:val="en-US" w:eastAsia="zh-CN"/>
        </w:rPr>
        <w:t>八</w:t>
      </w:r>
      <w:r>
        <w:rPr>
          <w:rFonts w:hint="eastAsia"/>
          <w:highlight w:val="none"/>
        </w:rPr>
        <w:t xml:space="preserve">章  </w:t>
      </w:r>
      <w:r>
        <w:rPr>
          <w:rFonts w:hint="eastAsia"/>
          <w:highlight w:val="none"/>
          <w:lang w:val="en-US" w:eastAsia="zh-CN"/>
        </w:rPr>
        <w:t xml:space="preserve"> </w:t>
      </w:r>
      <w:r>
        <w:rPr>
          <w:rFonts w:hint="eastAsia"/>
          <w:highlight w:val="none"/>
        </w:rPr>
        <w:t>政府采购供应商质疑函范本</w:t>
      </w:r>
      <w:r>
        <w:rPr>
          <w:highlight w:val="none"/>
        </w:rPr>
        <w:tab/>
      </w:r>
      <w:r>
        <w:rPr>
          <w:highlight w:val="none"/>
        </w:rPr>
        <w:fldChar w:fldCharType="begin"/>
      </w:r>
      <w:r>
        <w:rPr>
          <w:highlight w:val="none"/>
        </w:rPr>
        <w:instrText xml:space="preserve"> PAGEREF _Toc6084 \h </w:instrText>
      </w:r>
      <w:r>
        <w:rPr>
          <w:highlight w:val="none"/>
        </w:rPr>
        <w:fldChar w:fldCharType="separate"/>
      </w:r>
      <w:r>
        <w:rPr>
          <w:highlight w:val="none"/>
        </w:rPr>
        <w:t>102</w:t>
      </w:r>
      <w:r>
        <w:rPr>
          <w:highlight w:val="none"/>
        </w:rPr>
        <w:fldChar w:fldCharType="end"/>
      </w:r>
      <w:r>
        <w:rPr>
          <w:szCs w:val="28"/>
          <w:highlight w:val="none"/>
        </w:rPr>
        <w:fldChar w:fldCharType="end"/>
      </w:r>
    </w:p>
    <w:p>
      <w:pPr>
        <w:pStyle w:val="32"/>
        <w:tabs>
          <w:tab w:val="right" w:leader="dot" w:pos="9060"/>
        </w:tabs>
        <w:spacing w:line="360" w:lineRule="auto"/>
        <w:rPr>
          <w:szCs w:val="21"/>
          <w:highlight w:val="none"/>
        </w:rPr>
        <w:sectPr>
          <w:footerReference r:id="rId6" w:type="default"/>
          <w:pgSz w:w="11906" w:h="16838"/>
          <w:pgMar w:top="1418" w:right="1418" w:bottom="1418" w:left="1418" w:header="851" w:footer="680" w:gutter="0"/>
          <w:pgNumType w:fmt="koreanDigital" w:start="0"/>
          <w:cols w:space="720" w:num="1"/>
          <w:docGrid w:linePitch="290" w:charSpace="0"/>
        </w:sectPr>
      </w:pPr>
      <w:r>
        <w:rPr>
          <w:szCs w:val="28"/>
          <w:highlight w:val="none"/>
        </w:rPr>
        <w:fldChar w:fldCharType="end"/>
      </w:r>
    </w:p>
    <w:p>
      <w:pPr>
        <w:pStyle w:val="32"/>
        <w:tabs>
          <w:tab w:val="right" w:leader="dot" w:pos="9060"/>
        </w:tabs>
        <w:spacing w:line="360" w:lineRule="auto"/>
        <w:jc w:val="center"/>
        <w:outlineLvl w:val="0"/>
        <w:rPr>
          <w:rFonts w:ascii="Arial" w:hAnsi="Arial"/>
          <w:b/>
          <w:bCs/>
          <w:i w:val="0"/>
          <w:iCs/>
          <w:sz w:val="32"/>
          <w:szCs w:val="32"/>
          <w:highlight w:val="none"/>
        </w:rPr>
      </w:pPr>
      <w:bookmarkStart w:id="4" w:name="_Toc21290"/>
      <w:r>
        <w:rPr>
          <w:rFonts w:hint="eastAsia"/>
          <w:b/>
          <w:bCs/>
          <w:i w:val="0"/>
          <w:iCs/>
          <w:sz w:val="32"/>
          <w:szCs w:val="32"/>
          <w:highlight w:val="none"/>
        </w:rPr>
        <w:t>第一章</w:t>
      </w:r>
      <w:r>
        <w:rPr>
          <w:b/>
          <w:bCs/>
          <w:i w:val="0"/>
          <w:iCs/>
          <w:sz w:val="32"/>
          <w:szCs w:val="32"/>
          <w:highlight w:val="none"/>
        </w:rPr>
        <w:t xml:space="preserve">   </w:t>
      </w:r>
      <w:r>
        <w:rPr>
          <w:rFonts w:hint="eastAsia"/>
          <w:b/>
          <w:bCs/>
          <w:i w:val="0"/>
          <w:iCs/>
          <w:sz w:val="32"/>
          <w:szCs w:val="32"/>
          <w:highlight w:val="none"/>
        </w:rPr>
        <w:t>竞争性磋商</w:t>
      </w:r>
      <w:bookmarkEnd w:id="0"/>
      <w:r>
        <w:rPr>
          <w:rFonts w:hint="eastAsia"/>
          <w:b/>
          <w:bCs/>
          <w:i w:val="0"/>
          <w:iCs/>
          <w:sz w:val="32"/>
          <w:szCs w:val="32"/>
          <w:highlight w:val="none"/>
        </w:rPr>
        <w:t>公告</w:t>
      </w:r>
      <w:bookmarkEnd w:id="1"/>
      <w:bookmarkEnd w:id="2"/>
      <w:bookmarkEnd w:id="4"/>
    </w:p>
    <w:p>
      <w:pPr>
        <w:jc w:val="center"/>
        <w:rPr>
          <w:rFonts w:ascii="华文中宋" w:hAnsi="华文中宋" w:eastAsia="华文中宋"/>
          <w:b/>
          <w:bCs/>
          <w:kern w:val="44"/>
          <w:sz w:val="32"/>
          <w:szCs w:val="32"/>
          <w:highlight w:val="none"/>
        </w:rPr>
      </w:pPr>
      <w:bookmarkStart w:id="5" w:name="_Toc28359011"/>
      <w:bookmarkStart w:id="6" w:name="_Toc35393797"/>
      <w:r>
        <w:rPr>
          <w:rFonts w:hint="eastAsia" w:ascii="华文中宋" w:hAnsi="华文中宋" w:eastAsia="华文中宋" w:cs="Times New Roman"/>
          <w:b/>
          <w:bCs/>
          <w:kern w:val="44"/>
          <w:sz w:val="32"/>
          <w:szCs w:val="32"/>
          <w:highlight w:val="none"/>
          <w:lang w:eastAsia="zh-CN"/>
        </w:rPr>
        <w:t>安庆职业技术学院篮球场和排球场改造项目</w:t>
      </w:r>
      <w:r>
        <w:rPr>
          <w:rFonts w:hint="eastAsia" w:ascii="华文中宋" w:hAnsi="华文中宋" w:eastAsia="华文中宋" w:cs="Times New Roman"/>
          <w:b/>
          <w:bCs/>
          <w:kern w:val="44"/>
          <w:sz w:val="32"/>
          <w:szCs w:val="32"/>
          <w:highlight w:val="none"/>
        </w:rPr>
        <w:t>竞争性</w:t>
      </w:r>
      <w:r>
        <w:rPr>
          <w:rFonts w:hint="eastAsia" w:ascii="华文中宋" w:hAnsi="华文中宋" w:eastAsia="华文中宋"/>
          <w:b/>
          <w:bCs/>
          <w:kern w:val="44"/>
          <w:sz w:val="32"/>
          <w:szCs w:val="32"/>
          <w:highlight w:val="none"/>
        </w:rPr>
        <w:t>磋商公告</w:t>
      </w:r>
      <w:bookmarkEnd w:id="5"/>
      <w:bookmarkEnd w:id="6"/>
    </w:p>
    <w:tbl>
      <w:tblPr>
        <w:tblStyle w:val="63"/>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8"/>
                <w:szCs w:val="28"/>
                <w:highlight w:val="none"/>
              </w:rPr>
            </w:pPr>
            <w:r>
              <w:rPr>
                <w:rFonts w:hint="eastAsia" w:ascii="仿宋" w:hAnsi="仿宋" w:eastAsia="仿宋"/>
                <w:sz w:val="28"/>
                <w:szCs w:val="28"/>
                <w:highlight w:val="none"/>
              </w:rPr>
              <w:t>项目概况</w:t>
            </w:r>
          </w:p>
          <w:p>
            <w:pPr>
              <w:rPr>
                <w:highlight w:val="none"/>
              </w:rPr>
            </w:pP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u w:val="single"/>
                <w:lang w:eastAsia="zh-CN"/>
              </w:rPr>
              <w:t>安庆职业技术学院篮球场和排球场改造项目</w:t>
            </w:r>
            <w:r>
              <w:rPr>
                <w:rFonts w:hint="eastAsia" w:ascii="仿宋" w:hAnsi="仿宋" w:eastAsia="仿宋"/>
                <w:sz w:val="28"/>
                <w:szCs w:val="28"/>
                <w:highlight w:val="none"/>
              </w:rPr>
              <w:t>的潜在供应商应在安庆市公共资源电子交易平台（http://220.179.5.14:90/TPBidder/memberLogin）获取采购文件，并于</w:t>
            </w:r>
            <w:r>
              <w:rPr>
                <w:rFonts w:hint="eastAsia" w:ascii="仿宋" w:hAnsi="仿宋" w:eastAsia="仿宋"/>
                <w:sz w:val="28"/>
                <w:szCs w:val="28"/>
                <w:highlight w:val="none"/>
                <w:lang w:eastAsia="zh-CN"/>
              </w:rPr>
              <w:t>202</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lang w:eastAsia="zh-CN"/>
              </w:rPr>
              <w:t>年</w:t>
            </w:r>
            <w:r>
              <w:rPr>
                <w:rFonts w:hint="eastAsia" w:ascii="仿宋" w:hAnsi="仿宋" w:eastAsia="仿宋"/>
                <w:sz w:val="28"/>
                <w:szCs w:val="28"/>
                <w:highlight w:val="none"/>
                <w:lang w:val="en-US" w:eastAsia="zh-CN"/>
              </w:rPr>
              <w:t xml:space="preserve"> 5 </w:t>
            </w:r>
            <w:r>
              <w:rPr>
                <w:rFonts w:hint="eastAsia" w:ascii="仿宋" w:hAnsi="仿宋" w:eastAsia="仿宋"/>
                <w:sz w:val="28"/>
                <w:szCs w:val="28"/>
                <w:highlight w:val="none"/>
                <w:lang w:eastAsia="zh-CN"/>
              </w:rPr>
              <w:t xml:space="preserve">月 </w:t>
            </w:r>
            <w:r>
              <w:rPr>
                <w:rFonts w:hint="eastAsia" w:ascii="仿宋" w:hAnsi="仿宋" w:eastAsia="仿宋"/>
                <w:sz w:val="28"/>
                <w:szCs w:val="28"/>
                <w:highlight w:val="none"/>
                <w:lang w:val="en-US" w:eastAsia="zh-CN"/>
              </w:rPr>
              <w:t>11</w:t>
            </w:r>
            <w:r>
              <w:rPr>
                <w:rFonts w:hint="eastAsia" w:ascii="仿宋" w:hAnsi="仿宋" w:eastAsia="仿宋"/>
                <w:sz w:val="28"/>
                <w:szCs w:val="28"/>
                <w:highlight w:val="none"/>
                <w:lang w:eastAsia="zh-CN"/>
              </w:rPr>
              <w:t xml:space="preserve"> 日 </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lang w:eastAsia="zh-CN"/>
              </w:rPr>
              <w:t xml:space="preserve"> 点 </w:t>
            </w:r>
            <w:r>
              <w:rPr>
                <w:rFonts w:hint="eastAsia" w:ascii="仿宋" w:hAnsi="仿宋" w:eastAsia="仿宋"/>
                <w:sz w:val="28"/>
                <w:szCs w:val="28"/>
                <w:highlight w:val="none"/>
                <w:lang w:val="en-US" w:eastAsia="zh-CN"/>
              </w:rPr>
              <w:t>30</w:t>
            </w:r>
            <w:r>
              <w:rPr>
                <w:rFonts w:hint="eastAsia" w:ascii="仿宋" w:hAnsi="仿宋" w:eastAsia="仿宋"/>
                <w:sz w:val="28"/>
                <w:szCs w:val="28"/>
                <w:highlight w:val="none"/>
                <w:lang w:eastAsia="zh-CN"/>
              </w:rPr>
              <w:t xml:space="preserve"> 分</w:t>
            </w:r>
            <w:r>
              <w:rPr>
                <w:rFonts w:hint="eastAsia" w:ascii="仿宋" w:hAnsi="仿宋" w:eastAsia="仿宋"/>
                <w:sz w:val="28"/>
                <w:szCs w:val="28"/>
                <w:highlight w:val="none"/>
              </w:rPr>
              <w:t>（北京时间）前提交响应文件。</w:t>
            </w:r>
            <w:r>
              <w:rPr>
                <w:rFonts w:ascii="Calibri" w:hAnsi="Calibri"/>
                <w:szCs w:val="21"/>
                <w:highlight w:val="none"/>
                <w:lang w:bidi="ar"/>
              </w:rPr>
              <w:t> </w:t>
            </w:r>
          </w:p>
        </w:tc>
      </w:tr>
    </w:tbl>
    <w:p>
      <w:pPr>
        <w:rPr>
          <w:szCs w:val="21"/>
          <w:highlight w:val="none"/>
        </w:rPr>
      </w:pPr>
    </w:p>
    <w:p>
      <w:pPr>
        <w:rPr>
          <w:rFonts w:ascii="黑体" w:hAnsi="黑体" w:eastAsia="黑体" w:cs="宋体"/>
          <w:bCs/>
          <w:sz w:val="28"/>
          <w:szCs w:val="28"/>
          <w:highlight w:val="none"/>
        </w:rPr>
      </w:pPr>
      <w:bookmarkStart w:id="7" w:name="_Toc35393629"/>
      <w:bookmarkStart w:id="8" w:name="_Toc35393798"/>
      <w:bookmarkStart w:id="9" w:name="_Toc28359012"/>
      <w:bookmarkStart w:id="10" w:name="_Toc28359089"/>
      <w:r>
        <w:rPr>
          <w:rFonts w:hint="eastAsia" w:ascii="黑体" w:hAnsi="黑体" w:eastAsia="黑体" w:cs="宋体"/>
          <w:bCs/>
          <w:sz w:val="28"/>
          <w:szCs w:val="28"/>
          <w:highlight w:val="none"/>
        </w:rPr>
        <w:t>一、项目基本情况</w:t>
      </w:r>
      <w:bookmarkEnd w:id="7"/>
      <w:bookmarkEnd w:id="8"/>
      <w:bookmarkEnd w:id="9"/>
      <w:bookmarkEnd w:id="10"/>
    </w:p>
    <w:p>
      <w:pPr>
        <w:ind w:firstLine="565" w:firstLineChars="202"/>
        <w:rPr>
          <w:rFonts w:hint="default" w:ascii="仿宋" w:hAnsi="仿宋" w:eastAsia="仿宋"/>
          <w:sz w:val="28"/>
          <w:szCs w:val="28"/>
          <w:highlight w:val="none"/>
          <w:lang w:val="en-US" w:eastAsia="zh-CN"/>
        </w:rPr>
      </w:pPr>
      <w:r>
        <w:rPr>
          <w:rFonts w:hint="eastAsia" w:ascii="仿宋" w:hAnsi="仿宋" w:eastAsia="仿宋"/>
          <w:sz w:val="28"/>
          <w:szCs w:val="28"/>
          <w:highlight w:val="none"/>
        </w:rPr>
        <w:t>项目编号：</w:t>
      </w:r>
      <w:r>
        <w:rPr>
          <w:rFonts w:hint="eastAsia" w:ascii="仿宋" w:hAnsi="仿宋" w:eastAsia="仿宋"/>
          <w:sz w:val="28"/>
          <w:szCs w:val="28"/>
          <w:highlight w:val="none"/>
          <w:lang w:eastAsia="zh-CN"/>
        </w:rPr>
        <w:t>CG-AQ-202</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0294   FS34080120230156号</w:t>
      </w:r>
    </w:p>
    <w:p>
      <w:pPr>
        <w:ind w:firstLine="565" w:firstLineChars="202"/>
        <w:rPr>
          <w:rFonts w:hint="eastAsia" w:ascii="仿宋" w:hAnsi="仿宋" w:eastAsia="仿宋"/>
          <w:sz w:val="28"/>
          <w:szCs w:val="28"/>
          <w:highlight w:val="none"/>
          <w:u w:val="single"/>
          <w:lang w:eastAsia="zh-CN"/>
        </w:rPr>
      </w:pPr>
      <w:r>
        <w:rPr>
          <w:rFonts w:hint="eastAsia" w:ascii="仿宋" w:hAnsi="仿宋" w:eastAsia="仿宋"/>
          <w:sz w:val="28"/>
          <w:szCs w:val="28"/>
          <w:highlight w:val="none"/>
        </w:rPr>
        <w:t>项目名称：</w:t>
      </w:r>
      <w:r>
        <w:rPr>
          <w:rFonts w:hint="eastAsia" w:ascii="仿宋" w:hAnsi="仿宋" w:eastAsia="仿宋"/>
          <w:sz w:val="28"/>
          <w:szCs w:val="28"/>
          <w:highlight w:val="none"/>
          <w:lang w:eastAsia="zh-CN"/>
        </w:rPr>
        <w:t>安庆职业技术学院篮球场和排球场改造项目</w:t>
      </w:r>
    </w:p>
    <w:p>
      <w:pPr>
        <w:ind w:firstLine="565" w:firstLineChars="202"/>
        <w:rPr>
          <w:rFonts w:ascii="仿宋" w:hAnsi="仿宋" w:eastAsia="仿宋"/>
          <w:sz w:val="28"/>
          <w:szCs w:val="28"/>
          <w:highlight w:val="none"/>
        </w:rPr>
      </w:pPr>
      <w:r>
        <w:rPr>
          <w:rFonts w:hint="eastAsia" w:ascii="仿宋" w:hAnsi="仿宋" w:eastAsia="仿宋"/>
          <w:sz w:val="28"/>
          <w:szCs w:val="28"/>
          <w:highlight w:val="none"/>
        </w:rPr>
        <w:t>采购方式：</w:t>
      </w:r>
      <w:r>
        <w:rPr>
          <w:rFonts w:hint="eastAsia" w:ascii="仿宋" w:hAnsi="仿宋" w:eastAsia="仿宋" w:cs="仿宋"/>
          <w:sz w:val="28"/>
          <w:szCs w:val="28"/>
          <w:highlight w:val="none"/>
        </w:rPr>
        <w:t>竞争性磋商</w:t>
      </w:r>
    </w:p>
    <w:p>
      <w:pPr>
        <w:ind w:firstLine="565" w:firstLineChars="202"/>
        <w:rPr>
          <w:rFonts w:hint="eastAsia" w:ascii="仿宋" w:hAnsi="仿宋" w:eastAsia="仿宋"/>
          <w:sz w:val="28"/>
          <w:szCs w:val="28"/>
          <w:highlight w:val="none"/>
          <w:lang w:val="en-US" w:eastAsia="zh-CN"/>
        </w:rPr>
      </w:pPr>
      <w:r>
        <w:rPr>
          <w:rFonts w:hint="eastAsia" w:ascii="仿宋" w:hAnsi="仿宋" w:eastAsia="仿宋"/>
          <w:sz w:val="28"/>
          <w:szCs w:val="28"/>
          <w:highlight w:val="none"/>
        </w:rPr>
        <w:t>预算金额：</w:t>
      </w:r>
      <w:r>
        <w:rPr>
          <w:rFonts w:hint="eastAsia" w:ascii="仿宋" w:hAnsi="仿宋" w:eastAsia="仿宋"/>
          <w:sz w:val="28"/>
          <w:szCs w:val="28"/>
          <w:highlight w:val="none"/>
          <w:lang w:val="en-US" w:eastAsia="zh-CN"/>
        </w:rPr>
        <w:t>690000元</w:t>
      </w:r>
    </w:p>
    <w:p>
      <w:pPr>
        <w:ind w:firstLine="565" w:firstLineChars="202"/>
        <w:rPr>
          <w:rFonts w:hint="default" w:ascii="仿宋" w:hAnsi="仿宋" w:eastAsia="仿宋"/>
          <w:sz w:val="28"/>
          <w:szCs w:val="28"/>
          <w:highlight w:val="none"/>
          <w:lang w:val="en-US" w:eastAsia="zh-CN"/>
        </w:rPr>
      </w:pPr>
      <w:r>
        <w:rPr>
          <w:rFonts w:hint="eastAsia" w:ascii="仿宋" w:hAnsi="仿宋" w:eastAsia="仿宋"/>
          <w:sz w:val="28"/>
          <w:szCs w:val="28"/>
          <w:highlight w:val="none"/>
        </w:rPr>
        <w:t>最高限价：</w:t>
      </w:r>
      <w:r>
        <w:rPr>
          <w:rFonts w:hint="eastAsia" w:ascii="仿宋" w:hAnsi="仿宋" w:eastAsia="仿宋"/>
          <w:sz w:val="28"/>
          <w:szCs w:val="28"/>
          <w:highlight w:val="none"/>
          <w:lang w:val="en-US" w:eastAsia="zh-CN"/>
        </w:rPr>
        <w:t>669175.48元</w:t>
      </w:r>
    </w:p>
    <w:p>
      <w:pPr>
        <w:ind w:firstLine="565" w:firstLineChars="202"/>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采购需求：3个篮球场（约1800平米）5mm硅PU地面建设及其画线；2个排球场（约1015平米）8mm硅PU地面建设及其画线；2个排球网架及网；排球场围栏周长约</w:t>
      </w:r>
      <w:r>
        <w:rPr>
          <w:rFonts w:hint="default" w:ascii="仿宋" w:hAnsi="仿宋" w:eastAsia="仿宋"/>
          <w:sz w:val="28"/>
          <w:szCs w:val="28"/>
          <w:highlight w:val="none"/>
          <w:lang w:val="en-US" w:eastAsia="zh-CN"/>
        </w:rPr>
        <w:t>145</w:t>
      </w:r>
      <w:r>
        <w:rPr>
          <w:rFonts w:hint="eastAsia" w:ascii="仿宋" w:hAnsi="仿宋" w:eastAsia="仿宋"/>
          <w:sz w:val="28"/>
          <w:szCs w:val="28"/>
          <w:highlight w:val="none"/>
          <w:lang w:val="en-US" w:eastAsia="zh-CN"/>
        </w:rPr>
        <w:t>米，高</w:t>
      </w:r>
      <w:r>
        <w:rPr>
          <w:rFonts w:hint="default" w:ascii="仿宋" w:hAnsi="仿宋" w:eastAsia="仿宋"/>
          <w:sz w:val="28"/>
          <w:szCs w:val="28"/>
          <w:highlight w:val="none"/>
          <w:lang w:val="en-US" w:eastAsia="zh-CN"/>
        </w:rPr>
        <w:t>4</w:t>
      </w:r>
      <w:r>
        <w:rPr>
          <w:rFonts w:hint="eastAsia" w:ascii="仿宋" w:hAnsi="仿宋" w:eastAsia="仿宋"/>
          <w:sz w:val="28"/>
          <w:szCs w:val="28"/>
          <w:highlight w:val="none"/>
          <w:lang w:val="en-US" w:eastAsia="zh-CN"/>
        </w:rPr>
        <w:t xml:space="preserve">米； </w:t>
      </w:r>
      <w:r>
        <w:rPr>
          <w:rFonts w:hint="default" w:ascii="仿宋" w:hAnsi="仿宋" w:eastAsia="仿宋"/>
          <w:sz w:val="28"/>
          <w:szCs w:val="28"/>
          <w:highlight w:val="none"/>
          <w:lang w:val="en-US" w:eastAsia="zh-CN"/>
        </w:rPr>
        <w:t>6</w:t>
      </w:r>
      <w:r>
        <w:rPr>
          <w:rFonts w:hint="eastAsia" w:ascii="仿宋" w:hAnsi="仿宋" w:eastAsia="仿宋"/>
          <w:sz w:val="28"/>
          <w:szCs w:val="28"/>
          <w:highlight w:val="none"/>
          <w:lang w:val="en-US" w:eastAsia="zh-CN"/>
        </w:rPr>
        <w:t>个篮球架及面板和休息长廊维修刷漆翻新，篮球场东南西三侧排水系统清理维修，将篮球场西侧排水沟水泥盖板更换成铸铁盖板，保证篮球场排水顺畅；篮球场旧围网更新,立柱除锈、刷漆、加固，篮球场原推拉门维护翻新；标准排球裁判椅1个，钢制颁奖台</w:t>
      </w:r>
      <w:r>
        <w:rPr>
          <w:rFonts w:hint="default" w:ascii="仿宋" w:hAnsi="仿宋" w:eastAsia="仿宋"/>
          <w:sz w:val="28"/>
          <w:szCs w:val="28"/>
          <w:highlight w:val="none"/>
          <w:lang w:val="en-US" w:eastAsia="zh-CN"/>
        </w:rPr>
        <w:t>2</w:t>
      </w:r>
      <w:r>
        <w:rPr>
          <w:rFonts w:hint="eastAsia" w:ascii="仿宋" w:hAnsi="仿宋" w:eastAsia="仿宋"/>
          <w:sz w:val="28"/>
          <w:szCs w:val="28"/>
          <w:highlight w:val="none"/>
          <w:lang w:val="en-US" w:eastAsia="zh-CN"/>
        </w:rPr>
        <w:t>组；400米标准田径运动场塑胶跑道划线；篮球场和排球场原有地面处理及施工垃圾清运等。详见施工图设计文件及工程量清单。</w:t>
      </w:r>
    </w:p>
    <w:p>
      <w:pPr>
        <w:ind w:firstLine="565" w:firstLineChars="202"/>
        <w:rPr>
          <w:rFonts w:hint="default" w:ascii="仿宋" w:hAnsi="仿宋" w:eastAsia="仿宋"/>
          <w:sz w:val="28"/>
          <w:szCs w:val="28"/>
          <w:highlight w:val="none"/>
          <w:lang w:val="en-US" w:eastAsia="zh-CN"/>
        </w:rPr>
      </w:pPr>
      <w:r>
        <w:rPr>
          <w:rFonts w:hint="eastAsia" w:ascii="仿宋" w:hAnsi="仿宋" w:eastAsia="仿宋"/>
          <w:sz w:val="28"/>
          <w:szCs w:val="28"/>
          <w:highlight w:val="none"/>
        </w:rPr>
        <w:t>评标办法：</w:t>
      </w:r>
      <w:r>
        <w:rPr>
          <w:rFonts w:hint="eastAsia" w:ascii="仿宋" w:hAnsi="仿宋" w:eastAsia="仿宋"/>
          <w:sz w:val="28"/>
          <w:szCs w:val="28"/>
          <w:highlight w:val="none"/>
          <w:lang w:val="en-US" w:eastAsia="zh-CN"/>
        </w:rPr>
        <w:t>综合评分法</w:t>
      </w:r>
    </w:p>
    <w:p>
      <w:pPr>
        <w:ind w:firstLine="565" w:firstLineChars="202"/>
        <w:rPr>
          <w:rFonts w:hint="default" w:ascii="仿宋" w:hAnsi="仿宋" w:eastAsia="仿宋"/>
          <w:sz w:val="28"/>
          <w:szCs w:val="28"/>
          <w:highlight w:val="none"/>
          <w:lang w:val="en-US" w:eastAsia="zh-CN"/>
        </w:rPr>
      </w:pPr>
      <w:r>
        <w:rPr>
          <w:rFonts w:hint="eastAsia" w:ascii="仿宋" w:hAnsi="仿宋" w:eastAsia="仿宋"/>
          <w:sz w:val="28"/>
          <w:szCs w:val="28"/>
          <w:highlight w:val="none"/>
        </w:rPr>
        <w:t>合同履行期限</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50日历天</w:t>
      </w:r>
    </w:p>
    <w:p>
      <w:pPr>
        <w:ind w:firstLine="565" w:firstLineChars="202"/>
        <w:rPr>
          <w:rFonts w:ascii="仿宋" w:hAnsi="仿宋" w:eastAsia="仿宋"/>
          <w:i/>
          <w:iCs/>
          <w:sz w:val="28"/>
          <w:szCs w:val="28"/>
          <w:highlight w:val="none"/>
          <w:u w:val="single"/>
        </w:rPr>
      </w:pPr>
      <w:r>
        <w:rPr>
          <w:rFonts w:hint="eastAsia" w:ascii="仿宋" w:hAnsi="仿宋" w:eastAsia="仿宋"/>
          <w:sz w:val="28"/>
          <w:szCs w:val="28"/>
          <w:highlight w:val="none"/>
        </w:rPr>
        <w:t>本项目不接受联合体。</w:t>
      </w:r>
    </w:p>
    <w:p>
      <w:pPr>
        <w:rPr>
          <w:rFonts w:ascii="黑体" w:hAnsi="黑体" w:eastAsia="黑体" w:cs="宋体"/>
          <w:bCs/>
          <w:sz w:val="28"/>
          <w:szCs w:val="28"/>
          <w:highlight w:val="none"/>
        </w:rPr>
      </w:pPr>
      <w:bookmarkStart w:id="11" w:name="_Toc28359090"/>
      <w:bookmarkStart w:id="12" w:name="_Toc35393630"/>
      <w:bookmarkStart w:id="13" w:name="_Toc35393799"/>
      <w:bookmarkStart w:id="14" w:name="_Toc28359013"/>
      <w:r>
        <w:rPr>
          <w:rFonts w:hint="eastAsia" w:ascii="黑体" w:hAnsi="黑体" w:eastAsia="黑体" w:cs="宋体"/>
          <w:bCs/>
          <w:sz w:val="28"/>
          <w:szCs w:val="28"/>
          <w:highlight w:val="none"/>
        </w:rPr>
        <w:t>二、申请人的资格要求：</w:t>
      </w:r>
      <w:bookmarkEnd w:id="11"/>
      <w:bookmarkEnd w:id="12"/>
      <w:bookmarkEnd w:id="13"/>
      <w:bookmarkEnd w:id="14"/>
    </w:p>
    <w:p>
      <w:pPr>
        <w:ind w:firstLine="565" w:firstLineChars="202"/>
        <w:rPr>
          <w:rFonts w:ascii="仿宋" w:hAnsi="仿宋" w:eastAsia="仿宋"/>
          <w:sz w:val="28"/>
          <w:szCs w:val="28"/>
          <w:highlight w:val="none"/>
        </w:rPr>
      </w:pPr>
      <w:r>
        <w:rPr>
          <w:rFonts w:hint="eastAsia" w:ascii="仿宋" w:hAnsi="仿宋" w:eastAsia="仿宋"/>
          <w:sz w:val="28"/>
          <w:szCs w:val="28"/>
          <w:highlight w:val="none"/>
        </w:rPr>
        <w:t>1.满足《中华人民共和国政府采购法》第二十二条规定；</w:t>
      </w:r>
    </w:p>
    <w:p>
      <w:pPr>
        <w:ind w:firstLine="560" w:firstLineChars="200"/>
        <w:rPr>
          <w:rFonts w:ascii="仿宋" w:hAnsi="仿宋" w:eastAsia="仿宋"/>
          <w:sz w:val="28"/>
          <w:szCs w:val="28"/>
          <w:highlight w:val="none"/>
        </w:rPr>
      </w:pPr>
      <w:bookmarkStart w:id="15" w:name="_Toc28359091"/>
      <w:bookmarkStart w:id="16" w:name="_Toc28359014"/>
      <w:r>
        <w:rPr>
          <w:rFonts w:ascii="仿宋" w:hAnsi="仿宋" w:eastAsia="仿宋"/>
          <w:sz w:val="28"/>
          <w:szCs w:val="28"/>
          <w:highlight w:val="none"/>
        </w:rPr>
        <w:t>2</w:t>
      </w:r>
      <w:r>
        <w:rPr>
          <w:rFonts w:hint="eastAsia" w:ascii="仿宋" w:hAnsi="仿宋" w:eastAsia="仿宋"/>
          <w:sz w:val="28"/>
          <w:szCs w:val="28"/>
          <w:highlight w:val="none"/>
        </w:rPr>
        <w:t>.落实政府采购政策需满足的资格要求：根据《政府采购促进中小企业发展管理办法》（财库〔2020〕46号）的相关规定，本项目属于专门面向中小企业采购的项目, 供应商须为中小微企业。残疾人福利性单位、监狱单位视同小型、微型企业，享受本项目专门面向中小企业采购的政策。（中小微企业投标的出具《中小企业声明函》，监狱企业投标的提供由省级以上监狱管理局、戒毒管理局(含新疆生产建设兵团)出具的属于监狱企业的证明文件，不用再提供《中小企业声明函》；残疾人福利性单位投标的提供《残疾人福利性单位声明函》，不用再提供《中小企业声明函》）</w:t>
      </w:r>
      <w:r>
        <w:rPr>
          <w:rFonts w:hint="eastAsia" w:ascii="仿宋" w:hAnsi="仿宋" w:eastAsia="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3.本项目的特定资格要求：</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供应商须具有独立法人资格</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具备住房城乡建设主管部门核发的</w:t>
      </w:r>
      <w:r>
        <w:rPr>
          <w:rFonts w:hint="eastAsia" w:ascii="仿宋" w:hAnsi="仿宋" w:eastAsia="仿宋"/>
          <w:b/>
          <w:bCs/>
          <w:color w:val="auto"/>
          <w:sz w:val="28"/>
          <w:szCs w:val="28"/>
          <w:highlight w:val="none"/>
          <w:lang w:val="en-US" w:eastAsia="zh-CN"/>
        </w:rPr>
        <w:t>建筑</w:t>
      </w:r>
      <w:r>
        <w:rPr>
          <w:rFonts w:hint="eastAsia" w:ascii="仿宋" w:hAnsi="仿宋" w:eastAsia="仿宋"/>
          <w:b/>
          <w:bCs/>
          <w:color w:val="auto"/>
          <w:sz w:val="28"/>
          <w:szCs w:val="28"/>
          <w:highlight w:val="none"/>
        </w:rPr>
        <w:t>工程</w:t>
      </w:r>
      <w:r>
        <w:rPr>
          <w:rFonts w:hint="eastAsia" w:ascii="仿宋" w:hAnsi="仿宋" w:eastAsia="仿宋"/>
          <w:color w:val="auto"/>
          <w:sz w:val="28"/>
          <w:szCs w:val="28"/>
          <w:highlight w:val="none"/>
          <w:lang w:val="en-US" w:eastAsia="zh-CN"/>
        </w:rPr>
        <w:t>施工总</w:t>
      </w:r>
      <w:r>
        <w:rPr>
          <w:rFonts w:hint="eastAsia" w:ascii="仿宋" w:hAnsi="仿宋" w:eastAsia="仿宋"/>
          <w:color w:val="auto"/>
          <w:sz w:val="28"/>
          <w:szCs w:val="28"/>
          <w:highlight w:val="none"/>
        </w:rPr>
        <w:t>承包</w:t>
      </w:r>
      <w:r>
        <w:rPr>
          <w:rFonts w:hint="eastAsia" w:ascii="仿宋" w:hAnsi="仿宋" w:eastAsia="仿宋"/>
          <w:color w:val="auto"/>
          <w:sz w:val="28"/>
          <w:szCs w:val="28"/>
          <w:highlight w:val="none"/>
          <w:lang w:val="en-US" w:eastAsia="zh-CN"/>
        </w:rPr>
        <w:t>叁</w:t>
      </w:r>
      <w:r>
        <w:rPr>
          <w:rFonts w:hint="eastAsia" w:ascii="仿宋" w:hAnsi="仿宋" w:eastAsia="仿宋"/>
          <w:color w:val="auto"/>
          <w:sz w:val="28"/>
          <w:szCs w:val="28"/>
          <w:highlight w:val="none"/>
        </w:rPr>
        <w:t>级及以上资质，且具有合格有效的安全生产许可证；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拟派本工程项目经理资格要求：同时具备下列①、②、③要求：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①具有</w:t>
      </w:r>
      <w:r>
        <w:rPr>
          <w:rFonts w:hint="eastAsia" w:ascii="仿宋" w:hAnsi="仿宋" w:eastAsia="仿宋"/>
          <w:b/>
          <w:bCs/>
          <w:color w:val="auto"/>
          <w:sz w:val="28"/>
          <w:szCs w:val="28"/>
          <w:highlight w:val="none"/>
          <w:lang w:val="en-US" w:eastAsia="zh-CN"/>
        </w:rPr>
        <w:t>建筑工程</w:t>
      </w:r>
      <w:r>
        <w:rPr>
          <w:rFonts w:hint="eastAsia" w:ascii="仿宋" w:hAnsi="仿宋" w:eastAsia="仿宋"/>
          <w:b/>
          <w:bCs/>
          <w:color w:val="auto"/>
          <w:sz w:val="28"/>
          <w:szCs w:val="28"/>
          <w:highlight w:val="none"/>
        </w:rPr>
        <w:t>专业</w:t>
      </w:r>
      <w:r>
        <w:rPr>
          <w:rFonts w:hint="eastAsia" w:ascii="仿宋" w:hAnsi="仿宋" w:eastAsia="仿宋"/>
          <w:color w:val="auto"/>
          <w:sz w:val="28"/>
          <w:szCs w:val="28"/>
          <w:highlight w:val="none"/>
        </w:rPr>
        <w:t>二级及以上注册建造师执业资格；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②取得建设行政主管部门颁发的安全生产考核合格证B证；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③</w:t>
      </w:r>
      <w:r>
        <w:rPr>
          <w:rFonts w:hint="eastAsia" w:ascii="仿宋" w:hAnsi="仿宋" w:eastAsia="仿宋"/>
          <w:color w:val="auto"/>
          <w:sz w:val="28"/>
          <w:szCs w:val="28"/>
          <w:highlight w:val="none"/>
          <w:lang w:val="en-US" w:eastAsia="zh-CN"/>
        </w:rPr>
        <w:t>响应文件提交</w:t>
      </w:r>
      <w:r>
        <w:rPr>
          <w:rFonts w:hint="eastAsia" w:ascii="仿宋" w:hAnsi="仿宋" w:eastAsia="仿宋"/>
          <w:color w:val="auto"/>
          <w:sz w:val="28"/>
          <w:szCs w:val="28"/>
          <w:highlight w:val="none"/>
        </w:rPr>
        <w:t>截止日未在其他项目担任项目经理，或虽在其他项目上担任项目经理岗位，但承诺在本项目</w:t>
      </w:r>
      <w:r>
        <w:rPr>
          <w:rFonts w:hint="eastAsia" w:ascii="仿宋" w:hAnsi="仿宋" w:eastAsia="仿宋"/>
          <w:color w:val="auto"/>
          <w:sz w:val="28"/>
          <w:szCs w:val="28"/>
          <w:highlight w:val="none"/>
          <w:lang w:val="en-US" w:eastAsia="zh-CN"/>
        </w:rPr>
        <w:t>成交</w:t>
      </w:r>
      <w:r>
        <w:rPr>
          <w:rFonts w:hint="eastAsia" w:ascii="仿宋" w:hAnsi="仿宋" w:eastAsia="仿宋"/>
          <w:color w:val="auto"/>
          <w:sz w:val="28"/>
          <w:szCs w:val="28"/>
          <w:highlight w:val="none"/>
        </w:rPr>
        <w:t>后合同签订前能够从其他项目变更至本项目并全面履约。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ascii="仿宋" w:hAnsi="仿宋" w:eastAsia="仿宋" w:cs="Times New Roman"/>
          <w:color w:val="auto"/>
          <w:sz w:val="28"/>
          <w:szCs w:val="28"/>
          <w:highlight w:val="none"/>
          <w:lang w:val="en-US" w:eastAsia="zh-CN"/>
        </w:rPr>
        <w:t>注：</w:t>
      </w:r>
      <w:r>
        <w:rPr>
          <w:rFonts w:hint="eastAsia" w:ascii="仿宋" w:hAnsi="仿宋" w:eastAsia="仿宋" w:cs="Times New Roman"/>
          <w:color w:val="auto"/>
          <w:sz w:val="28"/>
          <w:szCs w:val="28"/>
          <w:highlight w:val="none"/>
          <w:lang w:val="fr-FR" w:eastAsia="zh-CN"/>
        </w:rPr>
        <w:t>项目经理</w:t>
      </w:r>
      <w:r>
        <w:rPr>
          <w:rFonts w:hint="eastAsia" w:ascii="仿宋" w:hAnsi="仿宋" w:eastAsia="仿宋" w:cs="Times New Roman"/>
          <w:color w:val="auto"/>
          <w:sz w:val="28"/>
          <w:szCs w:val="28"/>
          <w:highlight w:val="none"/>
          <w:lang w:val="en-US" w:eastAsia="zh-CN"/>
        </w:rPr>
        <w:t>须提供响应文件提交截止</w:t>
      </w:r>
      <w:r>
        <w:rPr>
          <w:rFonts w:hint="default" w:ascii="仿宋" w:hAnsi="仿宋" w:eastAsia="仿宋" w:cs="Times New Roman"/>
          <w:color w:val="auto"/>
          <w:sz w:val="28"/>
          <w:szCs w:val="28"/>
          <w:highlight w:val="none"/>
          <w:lang w:val="en-US" w:eastAsia="zh-CN"/>
        </w:rPr>
        <w:t>之日前半年内连续三个月</w:t>
      </w:r>
      <w:r>
        <w:rPr>
          <w:rFonts w:hint="eastAsia" w:ascii="仿宋" w:hAnsi="仿宋" w:eastAsia="仿宋" w:cs="Times New Roman"/>
          <w:color w:val="auto"/>
          <w:sz w:val="28"/>
          <w:szCs w:val="28"/>
          <w:highlight w:val="none"/>
          <w:lang w:val="fr-FR" w:eastAsia="zh-CN"/>
        </w:rPr>
        <w:t>社保缴费证明（或社保有效证明材料）。</w:t>
      </w:r>
    </w:p>
    <w:p>
      <w:pPr>
        <w:rPr>
          <w:rFonts w:ascii="黑体" w:hAnsi="黑体" w:eastAsia="黑体" w:cs="宋体"/>
          <w:bCs/>
          <w:sz w:val="28"/>
          <w:szCs w:val="28"/>
          <w:highlight w:val="none"/>
        </w:rPr>
      </w:pPr>
      <w:bookmarkStart w:id="17" w:name="_Toc35393800"/>
      <w:bookmarkStart w:id="18" w:name="_Toc35393631"/>
      <w:r>
        <w:rPr>
          <w:rFonts w:hint="eastAsia" w:ascii="黑体" w:hAnsi="黑体" w:eastAsia="黑体" w:cs="宋体"/>
          <w:bCs/>
          <w:sz w:val="28"/>
          <w:szCs w:val="28"/>
          <w:highlight w:val="none"/>
        </w:rPr>
        <w:t>三、获取采购文件</w:t>
      </w:r>
      <w:bookmarkEnd w:id="15"/>
      <w:bookmarkEnd w:id="16"/>
      <w:bookmarkEnd w:id="17"/>
      <w:bookmarkEnd w:id="18"/>
    </w:p>
    <w:p>
      <w:pPr>
        <w:ind w:firstLine="565" w:firstLineChars="202"/>
        <w:rPr>
          <w:rFonts w:ascii="仿宋" w:hAnsi="仿宋" w:eastAsia="仿宋" w:cs="宋体"/>
          <w:sz w:val="28"/>
          <w:szCs w:val="28"/>
          <w:highlight w:val="none"/>
        </w:rPr>
      </w:pPr>
      <w:r>
        <w:rPr>
          <w:rFonts w:hint="eastAsia" w:ascii="仿宋" w:hAnsi="仿宋" w:eastAsia="仿宋" w:cs="宋体"/>
          <w:sz w:val="28"/>
          <w:szCs w:val="28"/>
          <w:highlight w:val="none"/>
        </w:rPr>
        <w:t>时间：</w:t>
      </w:r>
      <w:r>
        <w:rPr>
          <w:rFonts w:hint="eastAsia" w:ascii="仿宋" w:hAnsi="仿宋" w:eastAsia="仿宋" w:cs="宋体"/>
          <w:sz w:val="28"/>
          <w:szCs w:val="28"/>
          <w:highlight w:val="none"/>
          <w:u w:val="single"/>
          <w:lang w:val="en-US" w:eastAsia="zh-CN"/>
        </w:rPr>
        <w:t>2023</w:t>
      </w:r>
      <w:r>
        <w:rPr>
          <w:rFonts w:hint="eastAsia" w:ascii="仿宋" w:hAnsi="仿宋" w:eastAsia="仿宋" w:cs="宋体"/>
          <w:sz w:val="28"/>
          <w:szCs w:val="28"/>
          <w:highlight w:val="none"/>
          <w:u w:val="single"/>
        </w:rPr>
        <w:t>年</w:t>
      </w:r>
      <w:r>
        <w:rPr>
          <w:rFonts w:hint="eastAsia" w:ascii="仿宋" w:hAnsi="仿宋" w:eastAsia="仿宋" w:cs="宋体"/>
          <w:sz w:val="28"/>
          <w:szCs w:val="28"/>
          <w:highlight w:val="none"/>
          <w:u w:val="single"/>
          <w:lang w:val="en-US" w:eastAsia="zh-CN"/>
        </w:rPr>
        <w:t xml:space="preserve"> 4 </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 xml:space="preserve"> 28 </w:t>
      </w:r>
      <w:r>
        <w:rPr>
          <w:rFonts w:hint="eastAsia" w:ascii="仿宋" w:hAnsi="仿宋" w:eastAsia="仿宋" w:cs="宋体"/>
          <w:sz w:val="28"/>
          <w:szCs w:val="28"/>
          <w:highlight w:val="none"/>
          <w:u w:val="single"/>
        </w:rPr>
        <w:t>日</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lang w:val="en-US" w:eastAsia="zh-CN"/>
        </w:rPr>
        <w:t>2023</w:t>
      </w:r>
      <w:r>
        <w:rPr>
          <w:rFonts w:hint="eastAsia" w:ascii="仿宋" w:hAnsi="仿宋" w:eastAsia="仿宋" w:cs="宋体"/>
          <w:sz w:val="28"/>
          <w:szCs w:val="28"/>
          <w:highlight w:val="none"/>
          <w:u w:val="single"/>
        </w:rPr>
        <w:t>年</w:t>
      </w:r>
      <w:r>
        <w:rPr>
          <w:rFonts w:hint="eastAsia" w:ascii="仿宋" w:hAnsi="仿宋" w:eastAsia="仿宋" w:cs="宋体"/>
          <w:sz w:val="28"/>
          <w:szCs w:val="28"/>
          <w:highlight w:val="none"/>
          <w:u w:val="single"/>
          <w:lang w:val="en-US" w:eastAsia="zh-CN"/>
        </w:rPr>
        <w:t xml:space="preserve"> 5 </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 xml:space="preserve"> 9 </w:t>
      </w:r>
      <w:r>
        <w:rPr>
          <w:rFonts w:hint="eastAsia" w:ascii="仿宋" w:hAnsi="仿宋" w:eastAsia="仿宋" w:cs="宋体"/>
          <w:sz w:val="28"/>
          <w:szCs w:val="28"/>
          <w:highlight w:val="none"/>
          <w:u w:val="single"/>
        </w:rPr>
        <w:t>日</w:t>
      </w:r>
      <w:r>
        <w:rPr>
          <w:rFonts w:hint="eastAsia" w:ascii="仿宋" w:hAnsi="仿宋" w:eastAsia="仿宋" w:cs="宋体"/>
          <w:sz w:val="28"/>
          <w:szCs w:val="28"/>
          <w:highlight w:val="none"/>
        </w:rPr>
        <w:t>，每天上午8:0</w:t>
      </w:r>
      <w:r>
        <w:rPr>
          <w:rFonts w:ascii="仿宋" w:hAnsi="仿宋" w:eastAsia="仿宋" w:cs="宋体"/>
          <w:sz w:val="28"/>
          <w:szCs w:val="28"/>
          <w:highlight w:val="none"/>
        </w:rPr>
        <w:t>0</w:t>
      </w:r>
      <w:r>
        <w:rPr>
          <w:rFonts w:hint="eastAsia" w:ascii="仿宋" w:hAnsi="仿宋" w:eastAsia="仿宋" w:cs="宋体"/>
          <w:sz w:val="28"/>
          <w:szCs w:val="28"/>
          <w:highlight w:val="none"/>
        </w:rPr>
        <w:t>至1</w:t>
      </w:r>
      <w:r>
        <w:rPr>
          <w:rFonts w:ascii="仿宋" w:hAnsi="仿宋" w:eastAsia="仿宋" w:cs="宋体"/>
          <w:sz w:val="28"/>
          <w:szCs w:val="28"/>
          <w:highlight w:val="none"/>
        </w:rPr>
        <w:t>2</w:t>
      </w:r>
      <w:r>
        <w:rPr>
          <w:rFonts w:hint="eastAsia" w:ascii="仿宋" w:hAnsi="仿宋" w:eastAsia="仿宋" w:cs="宋体"/>
          <w:sz w:val="28"/>
          <w:szCs w:val="28"/>
          <w:highlight w:val="none"/>
        </w:rPr>
        <w:t>:0</w:t>
      </w:r>
      <w:r>
        <w:rPr>
          <w:rFonts w:ascii="仿宋" w:hAnsi="仿宋" w:eastAsia="仿宋" w:cs="宋体"/>
          <w:sz w:val="28"/>
          <w:szCs w:val="28"/>
          <w:highlight w:val="none"/>
        </w:rPr>
        <w:t>0</w:t>
      </w:r>
      <w:r>
        <w:rPr>
          <w:rFonts w:hint="eastAsia" w:ascii="仿宋" w:hAnsi="仿宋" w:eastAsia="仿宋" w:cs="宋体"/>
          <w:sz w:val="28"/>
          <w:szCs w:val="28"/>
          <w:highlight w:val="none"/>
        </w:rPr>
        <w:t>，下午1</w:t>
      </w:r>
      <w:r>
        <w:rPr>
          <w:rFonts w:ascii="仿宋" w:hAnsi="仿宋" w:eastAsia="仿宋" w:cs="宋体"/>
          <w:sz w:val="28"/>
          <w:szCs w:val="28"/>
          <w:highlight w:val="none"/>
        </w:rPr>
        <w:t>4</w:t>
      </w:r>
      <w:r>
        <w:rPr>
          <w:rFonts w:hint="eastAsia" w:ascii="仿宋" w:hAnsi="仿宋" w:eastAsia="仿宋" w:cs="宋体"/>
          <w:sz w:val="28"/>
          <w:szCs w:val="28"/>
          <w:highlight w:val="none"/>
        </w:rPr>
        <w:t>:3</w:t>
      </w:r>
      <w:r>
        <w:rPr>
          <w:rFonts w:ascii="仿宋" w:hAnsi="仿宋" w:eastAsia="仿宋" w:cs="宋体"/>
          <w:sz w:val="28"/>
          <w:szCs w:val="28"/>
          <w:highlight w:val="none"/>
        </w:rPr>
        <w:t>0</w:t>
      </w:r>
      <w:r>
        <w:rPr>
          <w:rFonts w:hint="eastAsia" w:ascii="仿宋" w:hAnsi="仿宋" w:eastAsia="仿宋" w:cs="宋体"/>
          <w:sz w:val="28"/>
          <w:szCs w:val="28"/>
          <w:highlight w:val="none"/>
        </w:rPr>
        <w:t>至1</w:t>
      </w:r>
      <w:r>
        <w:rPr>
          <w:rFonts w:ascii="仿宋" w:hAnsi="仿宋" w:eastAsia="仿宋" w:cs="宋体"/>
          <w:sz w:val="28"/>
          <w:szCs w:val="28"/>
          <w:highlight w:val="none"/>
        </w:rPr>
        <w:t>7</w:t>
      </w:r>
      <w:r>
        <w:rPr>
          <w:rFonts w:hint="eastAsia" w:ascii="仿宋" w:hAnsi="仿宋" w:eastAsia="仿宋" w:cs="宋体"/>
          <w:sz w:val="28"/>
          <w:szCs w:val="28"/>
          <w:highlight w:val="none"/>
        </w:rPr>
        <w:t>:3</w:t>
      </w:r>
      <w:r>
        <w:rPr>
          <w:rFonts w:ascii="仿宋" w:hAnsi="仿宋" w:eastAsia="仿宋" w:cs="宋体"/>
          <w:sz w:val="28"/>
          <w:szCs w:val="28"/>
          <w:highlight w:val="none"/>
        </w:rPr>
        <w:t>0</w:t>
      </w:r>
      <w:r>
        <w:rPr>
          <w:rFonts w:hint="eastAsia" w:ascii="仿宋" w:hAnsi="仿宋" w:eastAsia="仿宋" w:cs="宋体"/>
          <w:sz w:val="28"/>
          <w:szCs w:val="28"/>
          <w:highlight w:val="none"/>
        </w:rPr>
        <w:t>（北京时间，</w:t>
      </w:r>
      <w:r>
        <w:rPr>
          <w:rFonts w:ascii="仿宋" w:hAnsi="仿宋" w:eastAsia="仿宋" w:cs="宋体"/>
          <w:sz w:val="28"/>
          <w:szCs w:val="28"/>
          <w:highlight w:val="none"/>
        </w:rPr>
        <w:t>法定节假日</w:t>
      </w:r>
      <w:r>
        <w:rPr>
          <w:rFonts w:hint="eastAsia" w:ascii="仿宋" w:hAnsi="仿宋" w:eastAsia="仿宋" w:cs="宋体"/>
          <w:sz w:val="28"/>
          <w:szCs w:val="28"/>
          <w:highlight w:val="none"/>
        </w:rPr>
        <w:t>除外 ）</w:t>
      </w:r>
    </w:p>
    <w:p>
      <w:pPr>
        <w:ind w:firstLine="565" w:firstLineChars="202"/>
        <w:rPr>
          <w:rFonts w:ascii="仿宋" w:hAnsi="仿宋" w:eastAsia="仿宋" w:cs="宋体"/>
          <w:sz w:val="28"/>
          <w:szCs w:val="28"/>
          <w:highlight w:val="none"/>
          <w:u w:val="single"/>
        </w:rPr>
      </w:pPr>
      <w:r>
        <w:rPr>
          <w:rFonts w:hint="eastAsia" w:ascii="仿宋" w:hAnsi="仿宋" w:eastAsia="仿宋" w:cs="宋体"/>
          <w:sz w:val="28"/>
          <w:szCs w:val="28"/>
          <w:highlight w:val="none"/>
        </w:rPr>
        <w:t>地点：</w:t>
      </w:r>
      <w:r>
        <w:rPr>
          <w:rFonts w:hint="eastAsia" w:ascii="仿宋" w:hAnsi="仿宋" w:eastAsia="仿宋"/>
          <w:sz w:val="28"/>
          <w:szCs w:val="28"/>
          <w:highlight w:val="none"/>
        </w:rPr>
        <w:t>安庆市公共资源电子交易平台（http://220.179.5.14:90/TPBidder/memberLogin）</w:t>
      </w:r>
    </w:p>
    <w:p>
      <w:pPr>
        <w:ind w:firstLine="565" w:firstLineChars="202"/>
        <w:rPr>
          <w:rFonts w:ascii="仿宋" w:hAnsi="仿宋" w:eastAsia="仿宋" w:cs="宋体"/>
          <w:sz w:val="28"/>
          <w:szCs w:val="28"/>
          <w:highlight w:val="none"/>
        </w:rPr>
      </w:pPr>
      <w:r>
        <w:rPr>
          <w:rFonts w:hint="eastAsia" w:ascii="仿宋" w:hAnsi="仿宋" w:eastAsia="仿宋" w:cs="宋体"/>
          <w:sz w:val="28"/>
          <w:szCs w:val="28"/>
          <w:highlight w:val="none"/>
        </w:rPr>
        <w:t>方式：（1）供应商须登录安庆市公共资源</w:t>
      </w:r>
      <w:r>
        <w:rPr>
          <w:rFonts w:hint="eastAsia" w:ascii="仿宋" w:hAnsi="仿宋" w:eastAsia="仿宋" w:cs="宋体"/>
          <w:sz w:val="28"/>
          <w:szCs w:val="28"/>
          <w:highlight w:val="none"/>
          <w:lang w:val="en-US" w:eastAsia="zh-CN"/>
        </w:rPr>
        <w:t>电子交易</w:t>
      </w:r>
      <w:bookmarkStart w:id="428" w:name="_GoBack"/>
      <w:bookmarkEnd w:id="428"/>
      <w:r>
        <w:rPr>
          <w:rFonts w:hint="eastAsia" w:ascii="仿宋" w:hAnsi="仿宋" w:eastAsia="仿宋" w:cs="宋体"/>
          <w:sz w:val="28"/>
          <w:szCs w:val="28"/>
          <w:highlight w:val="none"/>
        </w:rPr>
        <w:t xml:space="preserve">平台查询、获取磋商文件。首次登录须在安徽省公共资源交易市场主体库（ http://61.190.70.20/ahggfwpt-zhutiku/dengludenglu）办理入库手续，办理入库不收取任何费用。安徽省公共资源交易市场主体库使用相关问题（如系统登录、信息登记、录入及提交、数字证书关联等）请拨打服务电话：010-86483801 转 5-2（工作日）。  </w:t>
      </w:r>
    </w:p>
    <w:p>
      <w:pPr>
        <w:ind w:firstLine="565" w:firstLineChars="202"/>
        <w:rPr>
          <w:rFonts w:ascii="仿宋" w:hAnsi="仿宋" w:eastAsia="仿宋" w:cs="宋体"/>
          <w:sz w:val="28"/>
          <w:szCs w:val="28"/>
          <w:highlight w:val="none"/>
        </w:rPr>
      </w:pPr>
      <w:r>
        <w:rPr>
          <w:rFonts w:hint="eastAsia" w:ascii="仿宋" w:hAnsi="仿宋" w:eastAsia="仿宋" w:cs="宋体"/>
          <w:sz w:val="28"/>
          <w:szCs w:val="28"/>
          <w:highlight w:val="none"/>
        </w:rPr>
        <w:t>CA 数字证书有关问题请拨打服务电话：安徽 CA 客服400-880-4959（工作日）。</w:t>
      </w:r>
    </w:p>
    <w:p>
      <w:pPr>
        <w:ind w:firstLine="565" w:firstLineChars="202"/>
        <w:rPr>
          <w:rFonts w:ascii="仿宋" w:hAnsi="仿宋" w:eastAsia="仿宋" w:cs="宋体"/>
          <w:sz w:val="28"/>
          <w:szCs w:val="28"/>
          <w:highlight w:val="none"/>
        </w:rPr>
      </w:pPr>
      <w:r>
        <w:rPr>
          <w:rFonts w:hint="eastAsia" w:ascii="仿宋" w:hAnsi="仿宋" w:eastAsia="仿宋" w:cs="宋体"/>
          <w:sz w:val="28"/>
          <w:szCs w:val="28"/>
          <w:highlight w:val="none"/>
        </w:rPr>
        <w:t>市场主体招标环节和投标环节系统使用服务电话：400-998-0000（8:00-21:00）。</w:t>
      </w:r>
    </w:p>
    <w:p>
      <w:pPr>
        <w:ind w:firstLine="565" w:firstLineChars="202"/>
        <w:rPr>
          <w:rFonts w:ascii="仿宋" w:hAnsi="仿宋" w:eastAsia="仿宋" w:cs="宋体"/>
          <w:sz w:val="28"/>
          <w:szCs w:val="28"/>
          <w:highlight w:val="none"/>
          <w:u w:val="single"/>
        </w:rPr>
      </w:pPr>
      <w:r>
        <w:rPr>
          <w:rFonts w:hint="eastAsia" w:ascii="仿宋" w:hAnsi="仿宋" w:eastAsia="仿宋" w:cs="宋体"/>
          <w:sz w:val="28"/>
          <w:szCs w:val="28"/>
          <w:highlight w:val="none"/>
        </w:rPr>
        <w:t>（2）供应商登录</w:t>
      </w:r>
      <w:r>
        <w:rPr>
          <w:rFonts w:hint="eastAsia" w:ascii="仿宋" w:hAnsi="仿宋" w:eastAsia="仿宋"/>
          <w:sz w:val="28"/>
          <w:szCs w:val="28"/>
          <w:highlight w:val="none"/>
        </w:rPr>
        <w:t>安庆市公共资源电子交易平台</w:t>
      </w:r>
      <w:r>
        <w:rPr>
          <w:rFonts w:hint="eastAsia" w:ascii="仿宋" w:hAnsi="仿宋" w:eastAsia="仿宋" w:cs="宋体"/>
          <w:sz w:val="28"/>
          <w:szCs w:val="28"/>
          <w:highlight w:val="none"/>
        </w:rPr>
        <w:t>获取采购文件及其它资料（含澄清和补充说明等）。如在采购文件获取过程中遇到系统问题，请拨打技术支持服务热线400-9980000，QQ：4008503300。</w:t>
      </w:r>
    </w:p>
    <w:p>
      <w:pPr>
        <w:ind w:firstLine="565" w:firstLineChars="202"/>
        <w:rPr>
          <w:rFonts w:ascii="仿宋" w:hAnsi="仿宋" w:eastAsia="仿宋" w:cs="宋体"/>
          <w:sz w:val="28"/>
          <w:szCs w:val="28"/>
          <w:highlight w:val="none"/>
        </w:rPr>
      </w:pPr>
      <w:r>
        <w:rPr>
          <w:rFonts w:hint="eastAsia" w:ascii="仿宋" w:hAnsi="仿宋" w:eastAsia="仿宋" w:cs="宋体"/>
          <w:sz w:val="28"/>
          <w:szCs w:val="28"/>
          <w:highlight w:val="none"/>
        </w:rPr>
        <w:t>售价：免费。</w:t>
      </w:r>
    </w:p>
    <w:p>
      <w:pPr>
        <w:rPr>
          <w:rFonts w:ascii="黑体" w:hAnsi="黑体" w:eastAsia="黑体" w:cs="宋体"/>
          <w:bCs/>
          <w:sz w:val="28"/>
          <w:szCs w:val="28"/>
          <w:highlight w:val="none"/>
        </w:rPr>
      </w:pPr>
      <w:bookmarkStart w:id="19" w:name="_Toc35393632"/>
      <w:bookmarkStart w:id="20" w:name="_Toc28359015"/>
      <w:bookmarkStart w:id="21" w:name="_Toc35393801"/>
      <w:bookmarkStart w:id="22" w:name="_Toc28359092"/>
      <w:r>
        <w:rPr>
          <w:rFonts w:hint="eastAsia" w:ascii="黑体" w:hAnsi="黑体" w:eastAsia="黑体" w:cs="宋体"/>
          <w:bCs/>
          <w:sz w:val="28"/>
          <w:szCs w:val="28"/>
          <w:highlight w:val="none"/>
        </w:rPr>
        <w:t>四、响应文件提交</w:t>
      </w:r>
      <w:bookmarkEnd w:id="19"/>
      <w:bookmarkEnd w:id="20"/>
      <w:bookmarkEnd w:id="21"/>
      <w:bookmarkEnd w:id="22"/>
    </w:p>
    <w:p>
      <w:pPr>
        <w:ind w:firstLine="565" w:firstLineChars="202"/>
        <w:rPr>
          <w:rFonts w:ascii="仿宋" w:hAnsi="仿宋" w:eastAsia="仿宋"/>
          <w:bCs/>
          <w:sz w:val="28"/>
          <w:szCs w:val="28"/>
          <w:highlight w:val="none"/>
          <w:u w:val="single"/>
        </w:rPr>
      </w:pPr>
      <w:r>
        <w:rPr>
          <w:rFonts w:hint="eastAsia" w:ascii="仿宋" w:hAnsi="仿宋" w:eastAsia="仿宋"/>
          <w:sz w:val="28"/>
          <w:szCs w:val="28"/>
          <w:highlight w:val="none"/>
        </w:rPr>
        <w:t>截止时间：</w:t>
      </w:r>
      <w:r>
        <w:rPr>
          <w:rFonts w:hint="eastAsia" w:ascii="仿宋" w:hAnsi="仿宋" w:eastAsia="仿宋"/>
          <w:sz w:val="28"/>
          <w:szCs w:val="28"/>
          <w:highlight w:val="none"/>
          <w:u w:val="none"/>
          <w:lang w:val="en-US" w:eastAsia="zh-CN"/>
        </w:rPr>
        <w:t>2023年 5 月 11 日 9 点 30 分</w:t>
      </w:r>
      <w:r>
        <w:rPr>
          <w:rFonts w:hint="eastAsia" w:ascii="仿宋" w:hAnsi="仿宋" w:eastAsia="仿宋"/>
          <w:bCs/>
          <w:sz w:val="28"/>
          <w:szCs w:val="28"/>
          <w:highlight w:val="none"/>
        </w:rPr>
        <w:t>（北京时间）</w:t>
      </w:r>
    </w:p>
    <w:p>
      <w:pPr>
        <w:ind w:firstLine="565" w:firstLineChars="202"/>
        <w:rPr>
          <w:rFonts w:ascii="仿宋" w:hAnsi="仿宋" w:eastAsia="仿宋"/>
          <w:bCs/>
          <w:sz w:val="28"/>
          <w:szCs w:val="28"/>
          <w:highlight w:val="none"/>
          <w:u w:val="single"/>
        </w:rPr>
      </w:pPr>
      <w:r>
        <w:rPr>
          <w:rFonts w:hint="eastAsia" w:ascii="仿宋" w:hAnsi="仿宋" w:eastAsia="仿宋"/>
          <w:sz w:val="28"/>
          <w:szCs w:val="28"/>
          <w:highlight w:val="none"/>
        </w:rPr>
        <w:t>地点：安庆市公共资源电子交易平台</w:t>
      </w:r>
    </w:p>
    <w:p>
      <w:pPr>
        <w:rPr>
          <w:rFonts w:ascii="黑体" w:hAnsi="黑体" w:eastAsia="黑体" w:cs="宋体"/>
          <w:bCs/>
          <w:sz w:val="28"/>
          <w:szCs w:val="28"/>
          <w:highlight w:val="none"/>
        </w:rPr>
      </w:pPr>
      <w:bookmarkStart w:id="23" w:name="_Toc35393802"/>
      <w:bookmarkStart w:id="24" w:name="_Toc35393633"/>
      <w:bookmarkStart w:id="25" w:name="_Toc28359016"/>
      <w:bookmarkStart w:id="26" w:name="_Toc28359093"/>
      <w:r>
        <w:rPr>
          <w:rFonts w:hint="eastAsia" w:ascii="黑体" w:hAnsi="黑体" w:eastAsia="黑体" w:cs="宋体"/>
          <w:bCs/>
          <w:sz w:val="28"/>
          <w:szCs w:val="28"/>
          <w:highlight w:val="none"/>
        </w:rPr>
        <w:t>五、开启</w:t>
      </w:r>
      <w:bookmarkEnd w:id="23"/>
      <w:bookmarkEnd w:id="24"/>
      <w:bookmarkEnd w:id="25"/>
      <w:bookmarkEnd w:id="26"/>
    </w:p>
    <w:p>
      <w:pPr>
        <w:ind w:firstLine="565" w:firstLineChars="202"/>
        <w:rPr>
          <w:rFonts w:ascii="仿宋" w:hAnsi="仿宋" w:eastAsia="仿宋"/>
          <w:sz w:val="28"/>
          <w:szCs w:val="28"/>
          <w:highlight w:val="none"/>
        </w:rPr>
      </w:pPr>
      <w:r>
        <w:rPr>
          <w:rFonts w:hint="eastAsia" w:ascii="仿宋" w:hAnsi="仿宋" w:eastAsia="仿宋"/>
          <w:sz w:val="28"/>
          <w:szCs w:val="28"/>
          <w:highlight w:val="none"/>
        </w:rPr>
        <w:t>时间：</w:t>
      </w:r>
      <w:r>
        <w:rPr>
          <w:rFonts w:hint="eastAsia" w:ascii="仿宋" w:hAnsi="仿宋" w:eastAsia="仿宋"/>
          <w:sz w:val="28"/>
          <w:szCs w:val="28"/>
          <w:highlight w:val="none"/>
          <w:u w:val="none"/>
          <w:lang w:val="en-US" w:eastAsia="zh-CN"/>
        </w:rPr>
        <w:t>2023年 5 月 11 日 9 点 30 分</w:t>
      </w:r>
      <w:r>
        <w:rPr>
          <w:rFonts w:hint="eastAsia" w:ascii="仿宋" w:hAnsi="仿宋" w:eastAsia="仿宋"/>
          <w:sz w:val="28"/>
          <w:szCs w:val="28"/>
          <w:highlight w:val="none"/>
        </w:rPr>
        <w:t>（北京时间）</w:t>
      </w:r>
    </w:p>
    <w:p>
      <w:pPr>
        <w:ind w:firstLine="565" w:firstLineChars="202"/>
        <w:rPr>
          <w:rFonts w:ascii="仿宋" w:hAnsi="仿宋" w:eastAsia="仿宋"/>
          <w:sz w:val="28"/>
          <w:szCs w:val="28"/>
          <w:highlight w:val="none"/>
        </w:rPr>
      </w:pPr>
      <w:bookmarkStart w:id="27" w:name="_Toc35393803"/>
      <w:bookmarkStart w:id="28" w:name="_Toc35393634"/>
      <w:bookmarkStart w:id="29" w:name="_Toc28359094"/>
      <w:bookmarkStart w:id="30" w:name="_Toc28359017"/>
      <w:r>
        <w:rPr>
          <w:rFonts w:hint="eastAsia" w:ascii="仿宋" w:hAnsi="仿宋" w:eastAsia="仿宋"/>
          <w:sz w:val="28"/>
          <w:szCs w:val="28"/>
          <w:highlight w:val="none"/>
        </w:rPr>
        <w:t>地点：安庆市公共资源电子交易平台</w:t>
      </w:r>
    </w:p>
    <w:p>
      <w:pPr>
        <w:ind w:firstLine="565" w:firstLineChars="202"/>
        <w:rPr>
          <w:rFonts w:ascii="仿宋" w:hAnsi="仿宋" w:eastAsia="仿宋"/>
          <w:sz w:val="28"/>
          <w:szCs w:val="28"/>
          <w:highlight w:val="none"/>
        </w:rPr>
      </w:pPr>
      <w:r>
        <w:rPr>
          <w:rFonts w:hint="eastAsia" w:ascii="仿宋" w:hAnsi="仿宋" w:eastAsia="仿宋"/>
          <w:sz w:val="28"/>
          <w:szCs w:val="28"/>
          <w:highlight w:val="none"/>
        </w:rPr>
        <w:t>开评标方式：全流程电子化交易，在线开标</w:t>
      </w:r>
    </w:p>
    <w:p>
      <w:pPr>
        <w:rPr>
          <w:rFonts w:ascii="黑体" w:hAnsi="黑体" w:eastAsia="黑体" w:cs="宋体"/>
          <w:bCs/>
          <w:sz w:val="28"/>
          <w:szCs w:val="28"/>
          <w:highlight w:val="none"/>
        </w:rPr>
      </w:pPr>
      <w:r>
        <w:rPr>
          <w:rFonts w:hint="eastAsia" w:ascii="黑体" w:hAnsi="黑体" w:eastAsia="黑体" w:cs="宋体"/>
          <w:bCs/>
          <w:sz w:val="28"/>
          <w:szCs w:val="28"/>
          <w:highlight w:val="none"/>
        </w:rPr>
        <w:t>六、公告期限</w:t>
      </w:r>
      <w:bookmarkEnd w:id="27"/>
      <w:bookmarkEnd w:id="28"/>
      <w:bookmarkEnd w:id="29"/>
      <w:bookmarkEnd w:id="30"/>
    </w:p>
    <w:p>
      <w:pPr>
        <w:ind w:firstLine="565" w:firstLineChars="202"/>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w:t>
      </w:r>
      <w:r>
        <w:rPr>
          <w:rFonts w:hint="eastAsia" w:ascii="仿宋" w:hAnsi="仿宋" w:eastAsia="仿宋" w:cs="宋体"/>
          <w:kern w:val="0"/>
          <w:sz w:val="28"/>
          <w:szCs w:val="28"/>
          <w:highlight w:val="none"/>
          <w:lang w:val="en-US" w:eastAsia="zh-CN"/>
        </w:rPr>
        <w:t>3</w:t>
      </w:r>
      <w:r>
        <w:rPr>
          <w:rFonts w:hint="eastAsia" w:ascii="仿宋" w:hAnsi="仿宋" w:eastAsia="仿宋" w:cs="宋体"/>
          <w:kern w:val="0"/>
          <w:sz w:val="28"/>
          <w:szCs w:val="28"/>
          <w:highlight w:val="none"/>
        </w:rPr>
        <w:t>个工作日。</w:t>
      </w:r>
    </w:p>
    <w:p>
      <w:pPr>
        <w:rPr>
          <w:rFonts w:ascii="黑体" w:hAnsi="黑体" w:eastAsia="黑体" w:cs="宋体"/>
          <w:bCs/>
          <w:sz w:val="28"/>
          <w:szCs w:val="28"/>
          <w:highlight w:val="none"/>
        </w:rPr>
      </w:pPr>
      <w:bookmarkStart w:id="31" w:name="_Toc35393635"/>
      <w:bookmarkStart w:id="32" w:name="_Toc35393804"/>
      <w:r>
        <w:rPr>
          <w:rFonts w:hint="eastAsia" w:ascii="黑体" w:hAnsi="黑体" w:eastAsia="黑体" w:cs="宋体"/>
          <w:bCs/>
          <w:sz w:val="28"/>
          <w:szCs w:val="28"/>
          <w:highlight w:val="none"/>
        </w:rPr>
        <w:t>七、其他补充事宜</w:t>
      </w:r>
      <w:bookmarkEnd w:id="31"/>
      <w:bookmarkEnd w:id="32"/>
    </w:p>
    <w:p>
      <w:pPr>
        <w:ind w:firstLine="565" w:firstLineChars="202"/>
        <w:rPr>
          <w:rFonts w:ascii="仿宋" w:hAnsi="仿宋" w:eastAsia="仿宋"/>
          <w:sz w:val="28"/>
          <w:szCs w:val="28"/>
          <w:highlight w:val="none"/>
        </w:rPr>
      </w:pPr>
      <w:r>
        <w:rPr>
          <w:rFonts w:ascii="仿宋" w:hAnsi="仿宋" w:eastAsia="仿宋"/>
          <w:sz w:val="28"/>
          <w:szCs w:val="28"/>
          <w:highlight w:val="none"/>
        </w:rPr>
        <w:t>1.</w:t>
      </w:r>
      <w:r>
        <w:rPr>
          <w:rFonts w:hint="eastAsia" w:ascii="仿宋" w:hAnsi="仿宋" w:eastAsia="仿宋"/>
          <w:sz w:val="28"/>
          <w:szCs w:val="28"/>
          <w:highlight w:val="none"/>
        </w:rPr>
        <w:t>供应商的联系人电话(手机)、电子邮箱等通讯方式在谈判或磋商过程中必须保持畅通，否则因上述原因造成的后果，责任自负。</w:t>
      </w:r>
    </w:p>
    <w:p>
      <w:pPr>
        <w:ind w:firstLine="565" w:firstLineChars="202"/>
        <w:rPr>
          <w:rFonts w:ascii="仿宋" w:hAnsi="仿宋" w:eastAsia="仿宋"/>
          <w:sz w:val="28"/>
          <w:szCs w:val="28"/>
          <w:highlight w:val="none"/>
        </w:rPr>
      </w:pPr>
      <w:r>
        <w:rPr>
          <w:rFonts w:ascii="仿宋" w:hAnsi="仿宋" w:eastAsia="仿宋"/>
          <w:sz w:val="28"/>
          <w:szCs w:val="28"/>
          <w:highlight w:val="none"/>
        </w:rPr>
        <w:t>2.</w:t>
      </w:r>
      <w:r>
        <w:rPr>
          <w:rFonts w:hint="eastAsia" w:ascii="仿宋" w:hAnsi="仿宋" w:eastAsia="仿宋"/>
          <w:sz w:val="28"/>
          <w:szCs w:val="28"/>
          <w:highlight w:val="none"/>
        </w:rPr>
        <w:t>本项目采用电子招投标方式，请供应商在“安庆市公共资源交易服务网”下载专区下载“电子招投标系统平台操作手册”、在“安庆市公共资源交易中心网员系统”—登陆页面—工具下载中下载电子</w:t>
      </w:r>
      <w:r>
        <w:rPr>
          <w:rFonts w:hint="eastAsia" w:ascii="仿宋" w:hAnsi="仿宋" w:eastAsia="仿宋"/>
          <w:sz w:val="28"/>
          <w:szCs w:val="28"/>
          <w:highlight w:val="none"/>
          <w:lang w:eastAsia="zh-CN"/>
        </w:rPr>
        <w:t>磋商响应文件</w:t>
      </w:r>
      <w:r>
        <w:rPr>
          <w:rFonts w:hint="eastAsia" w:ascii="仿宋" w:hAnsi="仿宋" w:eastAsia="仿宋"/>
          <w:sz w:val="28"/>
          <w:szCs w:val="28"/>
          <w:highlight w:val="none"/>
        </w:rPr>
        <w:t>（响应文件）制作工具等相关资料，仔细阅读采购文件要求和相关操作手册。</w:t>
      </w:r>
    </w:p>
    <w:p>
      <w:pPr>
        <w:ind w:firstLine="565" w:firstLineChars="202"/>
        <w:rPr>
          <w:rFonts w:ascii="仿宋" w:hAnsi="仿宋" w:eastAsia="仿宋"/>
          <w:sz w:val="28"/>
          <w:szCs w:val="28"/>
          <w:highlight w:val="none"/>
        </w:rPr>
      </w:pPr>
      <w:r>
        <w:rPr>
          <w:rFonts w:ascii="仿宋" w:hAnsi="仿宋" w:eastAsia="仿宋"/>
          <w:sz w:val="28"/>
          <w:szCs w:val="28"/>
          <w:highlight w:val="none"/>
        </w:rPr>
        <w:t>3.</w:t>
      </w:r>
      <w:r>
        <w:rPr>
          <w:rFonts w:hint="eastAsia" w:ascii="仿宋" w:hAnsi="仿宋" w:eastAsia="仿宋"/>
          <w:sz w:val="28"/>
          <w:szCs w:val="28"/>
          <w:highlight w:val="none"/>
        </w:rPr>
        <w:t>响应文件中安徽省公共资源交易市场主体库网址链接不视为响应文件组成部分，供应商须严格按照采购文件要求的格式进行编制响应文件。</w:t>
      </w:r>
    </w:p>
    <w:p>
      <w:pPr>
        <w:ind w:firstLine="565" w:firstLineChars="202"/>
        <w:rPr>
          <w:rFonts w:ascii="仿宋" w:hAnsi="仿宋" w:eastAsia="仿宋"/>
          <w:sz w:val="28"/>
          <w:szCs w:val="28"/>
          <w:highlight w:val="none"/>
        </w:rPr>
      </w:pPr>
      <w:r>
        <w:rPr>
          <w:rFonts w:hint="eastAsia" w:ascii="仿宋" w:hAnsi="仿宋" w:eastAsia="仿宋"/>
          <w:sz w:val="28"/>
          <w:szCs w:val="28"/>
          <w:highlight w:val="none"/>
        </w:rPr>
        <w:t>4</w:t>
      </w:r>
      <w:r>
        <w:rPr>
          <w:rFonts w:hint="eastAsia" w:ascii="仿宋" w:hAnsi="仿宋" w:eastAsia="仿宋"/>
          <w:sz w:val="28"/>
          <w:szCs w:val="28"/>
          <w:highlight w:val="none"/>
          <w:lang w:val="en-US" w:eastAsia="zh-CN"/>
        </w:rPr>
        <w:t>.</w:t>
      </w:r>
      <w:r>
        <w:rPr>
          <w:rFonts w:hint="eastAsia" w:ascii="仿宋" w:hAnsi="仿宋" w:eastAsia="仿宋"/>
          <w:sz w:val="28"/>
          <w:szCs w:val="28"/>
          <w:highlight w:val="none"/>
        </w:rPr>
        <w:t>本项目开评标实行全流程电子化，开标活动在线完成。开标时供应商不得到达开标现场，不接受现场解密，实行远程解密和在线询标。各供应商认真学习《安庆新系统投标单位操作手册v1.0》，务必掌握远程解密方法和在线回复询标方法。</w:t>
      </w:r>
    </w:p>
    <w:p>
      <w:pPr>
        <w:rPr>
          <w:rFonts w:ascii="黑体" w:hAnsi="黑体" w:eastAsia="黑体" w:cs="宋体"/>
          <w:bCs/>
          <w:sz w:val="28"/>
          <w:szCs w:val="28"/>
          <w:highlight w:val="none"/>
        </w:rPr>
      </w:pPr>
      <w:bookmarkStart w:id="33" w:name="_Toc28359095"/>
      <w:bookmarkStart w:id="34" w:name="_Toc28359018"/>
      <w:bookmarkStart w:id="35" w:name="_Toc35393805"/>
      <w:bookmarkStart w:id="36" w:name="_Toc35393636"/>
      <w:r>
        <w:rPr>
          <w:rFonts w:hint="eastAsia" w:ascii="黑体" w:hAnsi="黑体" w:eastAsia="黑体" w:cs="宋体"/>
          <w:bCs/>
          <w:sz w:val="28"/>
          <w:szCs w:val="28"/>
          <w:highlight w:val="none"/>
        </w:rPr>
        <w:t>八、凡对本次采购提出询问，请按</w:t>
      </w:r>
      <w:r>
        <w:rPr>
          <w:rFonts w:ascii="黑体" w:hAnsi="黑体" w:eastAsia="黑体" w:cs="宋体"/>
          <w:bCs/>
          <w:sz w:val="28"/>
          <w:szCs w:val="28"/>
          <w:highlight w:val="none"/>
        </w:rPr>
        <w:t>以下方式</w:t>
      </w:r>
      <w:r>
        <w:rPr>
          <w:rFonts w:hint="eastAsia" w:ascii="黑体" w:hAnsi="黑体" w:eastAsia="黑体" w:cs="宋体"/>
          <w:bCs/>
          <w:sz w:val="28"/>
          <w:szCs w:val="28"/>
          <w:highlight w:val="none"/>
        </w:rPr>
        <w:t>联系。</w:t>
      </w:r>
      <w:bookmarkEnd w:id="33"/>
      <w:bookmarkEnd w:id="34"/>
      <w:bookmarkEnd w:id="35"/>
      <w:bookmarkEnd w:id="36"/>
    </w:p>
    <w:p>
      <w:pPr>
        <w:ind w:firstLine="565" w:firstLineChars="202"/>
        <w:rPr>
          <w:rFonts w:ascii="仿宋" w:hAnsi="仿宋" w:eastAsia="仿宋" w:cs="宋体"/>
          <w:bCs/>
          <w:sz w:val="28"/>
          <w:szCs w:val="28"/>
          <w:highlight w:val="none"/>
        </w:rPr>
      </w:pPr>
      <w:bookmarkStart w:id="37" w:name="_Toc28359019"/>
      <w:bookmarkStart w:id="38" w:name="_Toc35393637"/>
      <w:bookmarkStart w:id="39" w:name="_Toc28359096"/>
      <w:bookmarkStart w:id="40" w:name="_Toc35393806"/>
      <w:bookmarkStart w:id="41" w:name="_Toc35393638"/>
      <w:bookmarkStart w:id="42" w:name="_Toc35393807"/>
      <w:bookmarkStart w:id="43" w:name="_Toc28359097"/>
      <w:bookmarkStart w:id="44" w:name="_Toc28359020"/>
      <w:r>
        <w:rPr>
          <w:rFonts w:hint="eastAsia" w:ascii="仿宋" w:hAnsi="仿宋" w:eastAsia="仿宋" w:cs="宋体"/>
          <w:bCs/>
          <w:sz w:val="28"/>
          <w:szCs w:val="28"/>
          <w:highlight w:val="none"/>
        </w:rPr>
        <w:t>1.采购人信息</w:t>
      </w:r>
      <w:bookmarkEnd w:id="37"/>
      <w:bookmarkEnd w:id="38"/>
      <w:bookmarkEnd w:id="39"/>
      <w:bookmarkEnd w:id="40"/>
    </w:p>
    <w:p>
      <w:pPr>
        <w:keepNext w:val="0"/>
        <w:keepLines w:val="0"/>
        <w:pageBreakBefore w:val="0"/>
        <w:widowControl w:val="0"/>
        <w:kinsoku/>
        <w:wordWrap/>
        <w:overflowPunct/>
        <w:topLinePunct w:val="0"/>
        <w:autoSpaceDE/>
        <w:autoSpaceDN/>
        <w:bidi w:val="0"/>
        <w:adjustRightInd/>
        <w:snapToGrid/>
        <w:spacing w:line="600" w:lineRule="exact"/>
        <w:ind w:firstLine="565" w:firstLineChars="202"/>
        <w:textAlignment w:val="auto"/>
        <w:rPr>
          <w:rFonts w:hint="eastAsia" w:ascii="仿宋" w:hAnsi="仿宋" w:eastAsia="仿宋" w:cs="Times New Roman"/>
          <w:sz w:val="28"/>
          <w:szCs w:val="28"/>
          <w:highlight w:val="none"/>
          <w:u w:val="none"/>
        </w:rPr>
      </w:pPr>
      <w:r>
        <w:rPr>
          <w:rFonts w:hint="eastAsia" w:ascii="仿宋" w:hAnsi="仿宋" w:eastAsia="仿宋" w:cs="Times New Roman"/>
          <w:sz w:val="28"/>
          <w:szCs w:val="28"/>
          <w:highlight w:val="none"/>
          <w:u w:val="none"/>
        </w:rPr>
        <w:t>名    称：</w:t>
      </w:r>
      <w:r>
        <w:rPr>
          <w:rFonts w:hint="eastAsia" w:ascii="仿宋" w:hAnsi="仿宋" w:eastAsia="仿宋" w:cs="Times New Roman"/>
          <w:sz w:val="28"/>
          <w:szCs w:val="28"/>
          <w:highlight w:val="none"/>
          <w:u w:val="none"/>
          <w:lang w:val="en-US" w:eastAsia="zh-CN"/>
        </w:rPr>
        <w:t xml:space="preserve">安庆职业技术学院  </w:t>
      </w:r>
    </w:p>
    <w:p>
      <w:pPr>
        <w:keepNext w:val="0"/>
        <w:keepLines w:val="0"/>
        <w:pageBreakBefore w:val="0"/>
        <w:widowControl w:val="0"/>
        <w:kinsoku/>
        <w:wordWrap/>
        <w:overflowPunct/>
        <w:topLinePunct w:val="0"/>
        <w:autoSpaceDE/>
        <w:autoSpaceDN/>
        <w:bidi w:val="0"/>
        <w:adjustRightInd/>
        <w:snapToGrid/>
        <w:spacing w:line="600" w:lineRule="exact"/>
        <w:ind w:firstLine="565" w:firstLineChars="202"/>
        <w:textAlignment w:val="auto"/>
        <w:rPr>
          <w:rFonts w:hint="eastAsia" w:ascii="仿宋" w:hAnsi="仿宋" w:eastAsia="仿宋" w:cs="Times New Roman"/>
          <w:sz w:val="28"/>
          <w:szCs w:val="28"/>
          <w:highlight w:val="none"/>
          <w:u w:val="none"/>
        </w:rPr>
      </w:pPr>
      <w:r>
        <w:rPr>
          <w:rFonts w:hint="eastAsia" w:ascii="仿宋" w:hAnsi="仿宋" w:eastAsia="仿宋" w:cs="Times New Roman"/>
          <w:sz w:val="28"/>
          <w:szCs w:val="28"/>
          <w:highlight w:val="none"/>
          <w:u w:val="none"/>
        </w:rPr>
        <w:t>地    址：安庆市</w:t>
      </w:r>
      <w:r>
        <w:rPr>
          <w:rFonts w:hint="eastAsia" w:ascii="仿宋" w:hAnsi="仿宋" w:eastAsia="仿宋" w:cs="Times New Roman"/>
          <w:sz w:val="28"/>
          <w:szCs w:val="28"/>
          <w:highlight w:val="none"/>
          <w:u w:val="none"/>
          <w:lang w:val="en-US" w:eastAsia="zh-CN"/>
        </w:rPr>
        <w:t>经开区</w:t>
      </w:r>
      <w:r>
        <w:rPr>
          <w:rFonts w:hint="eastAsia" w:ascii="仿宋" w:hAnsi="仿宋" w:eastAsia="仿宋" w:cs="Times New Roman"/>
          <w:sz w:val="28"/>
          <w:szCs w:val="28"/>
          <w:highlight w:val="none"/>
          <w:u w:val="none"/>
        </w:rPr>
        <w:t>天柱山东路99号</w:t>
      </w:r>
    </w:p>
    <w:p>
      <w:pPr>
        <w:keepNext w:val="0"/>
        <w:keepLines w:val="0"/>
        <w:pageBreakBefore w:val="0"/>
        <w:widowControl w:val="0"/>
        <w:kinsoku/>
        <w:wordWrap/>
        <w:overflowPunct/>
        <w:topLinePunct w:val="0"/>
        <w:autoSpaceDE/>
        <w:autoSpaceDN/>
        <w:bidi w:val="0"/>
        <w:adjustRightInd/>
        <w:snapToGrid/>
        <w:spacing w:line="600" w:lineRule="exact"/>
        <w:ind w:firstLine="565" w:firstLineChars="202"/>
        <w:textAlignment w:val="auto"/>
        <w:rPr>
          <w:rFonts w:hint="eastAsia" w:ascii="仿宋" w:hAnsi="仿宋" w:eastAsia="仿宋" w:cs="Times New Roman"/>
          <w:sz w:val="28"/>
          <w:szCs w:val="28"/>
          <w:highlight w:val="none"/>
          <w:u w:val="none"/>
        </w:rPr>
      </w:pPr>
      <w:r>
        <w:rPr>
          <w:rFonts w:hint="eastAsia" w:ascii="仿宋" w:hAnsi="仿宋" w:eastAsia="仿宋" w:cs="Times New Roman"/>
          <w:sz w:val="28"/>
          <w:szCs w:val="28"/>
          <w:highlight w:val="none"/>
          <w:u w:val="none"/>
        </w:rPr>
        <w:t>联 系 人：</w:t>
      </w:r>
      <w:r>
        <w:rPr>
          <w:rFonts w:hint="eastAsia" w:ascii="仿宋" w:hAnsi="仿宋" w:eastAsia="仿宋" w:cs="Times New Roman"/>
          <w:sz w:val="28"/>
          <w:szCs w:val="28"/>
          <w:highlight w:val="none"/>
          <w:u w:val="none"/>
          <w:lang w:val="en-US" w:eastAsia="zh-CN"/>
        </w:rPr>
        <w:t xml:space="preserve">朱老师   </w:t>
      </w:r>
    </w:p>
    <w:p>
      <w:pPr>
        <w:keepNext w:val="0"/>
        <w:keepLines w:val="0"/>
        <w:pageBreakBefore w:val="0"/>
        <w:widowControl w:val="0"/>
        <w:kinsoku/>
        <w:wordWrap/>
        <w:overflowPunct/>
        <w:topLinePunct w:val="0"/>
        <w:autoSpaceDE/>
        <w:autoSpaceDN/>
        <w:bidi w:val="0"/>
        <w:adjustRightInd/>
        <w:snapToGrid/>
        <w:spacing w:line="600" w:lineRule="exact"/>
        <w:ind w:firstLine="565" w:firstLineChars="202"/>
        <w:textAlignment w:val="auto"/>
        <w:rPr>
          <w:rFonts w:hint="eastAsia" w:ascii="仿宋" w:hAnsi="仿宋" w:eastAsia="仿宋" w:cs="Times New Roman"/>
          <w:sz w:val="28"/>
          <w:szCs w:val="28"/>
          <w:highlight w:val="none"/>
          <w:u w:val="none"/>
        </w:rPr>
      </w:pPr>
      <w:r>
        <w:rPr>
          <w:rFonts w:hint="eastAsia" w:ascii="仿宋" w:hAnsi="仿宋" w:eastAsia="仿宋" w:cs="Times New Roman"/>
          <w:sz w:val="28"/>
          <w:szCs w:val="28"/>
          <w:highlight w:val="none"/>
          <w:u w:val="none"/>
        </w:rPr>
        <w:t>联系方式：0556-5283045</w:t>
      </w:r>
    </w:p>
    <w:p>
      <w:pPr>
        <w:keepNext w:val="0"/>
        <w:keepLines w:val="0"/>
        <w:pageBreakBefore w:val="0"/>
        <w:widowControl w:val="0"/>
        <w:kinsoku/>
        <w:wordWrap/>
        <w:overflowPunct/>
        <w:topLinePunct w:val="0"/>
        <w:autoSpaceDE/>
        <w:autoSpaceDN/>
        <w:bidi w:val="0"/>
        <w:adjustRightInd/>
        <w:snapToGrid/>
        <w:spacing w:line="600" w:lineRule="exact"/>
        <w:ind w:firstLine="565" w:firstLineChars="202"/>
        <w:textAlignment w:val="auto"/>
        <w:rPr>
          <w:rFonts w:ascii="仿宋" w:hAnsi="仿宋" w:eastAsia="仿宋" w:cs="宋体"/>
          <w:bCs/>
          <w:sz w:val="28"/>
          <w:szCs w:val="28"/>
          <w:highlight w:val="none"/>
        </w:rPr>
      </w:pPr>
      <w:r>
        <w:rPr>
          <w:rFonts w:hint="eastAsia" w:ascii="仿宋" w:hAnsi="仿宋" w:eastAsia="仿宋" w:cs="宋体"/>
          <w:bCs/>
          <w:sz w:val="28"/>
          <w:szCs w:val="28"/>
          <w:highlight w:val="none"/>
        </w:rPr>
        <w:t>2.采购代理机构信息</w:t>
      </w:r>
      <w:bookmarkEnd w:id="41"/>
      <w:bookmarkEnd w:id="42"/>
      <w:bookmarkEnd w:id="43"/>
      <w:bookmarkEnd w:id="44"/>
    </w:p>
    <w:p>
      <w:pPr>
        <w:keepNext w:val="0"/>
        <w:keepLines w:val="0"/>
        <w:pageBreakBefore w:val="0"/>
        <w:widowControl w:val="0"/>
        <w:kinsoku/>
        <w:wordWrap/>
        <w:overflowPunct/>
        <w:topLinePunct w:val="0"/>
        <w:autoSpaceDE/>
        <w:autoSpaceDN/>
        <w:bidi w:val="0"/>
        <w:adjustRightInd/>
        <w:snapToGrid/>
        <w:spacing w:line="600" w:lineRule="exact"/>
        <w:ind w:firstLine="565" w:firstLineChars="202"/>
        <w:textAlignment w:val="auto"/>
        <w:rPr>
          <w:rFonts w:ascii="仿宋" w:hAnsi="仿宋" w:eastAsia="仿宋"/>
          <w:sz w:val="28"/>
          <w:szCs w:val="28"/>
          <w:highlight w:val="none"/>
        </w:rPr>
      </w:pPr>
      <w:r>
        <w:rPr>
          <w:rFonts w:hint="eastAsia" w:ascii="仿宋" w:hAnsi="仿宋" w:eastAsia="仿宋"/>
          <w:sz w:val="28"/>
          <w:szCs w:val="28"/>
          <w:highlight w:val="none"/>
        </w:rPr>
        <w:t>名    称：</w:t>
      </w:r>
      <w:r>
        <w:rPr>
          <w:rFonts w:hint="eastAsia" w:ascii="仿宋" w:hAnsi="仿宋" w:eastAsia="仿宋"/>
          <w:sz w:val="28"/>
          <w:szCs w:val="28"/>
          <w:highlight w:val="none"/>
          <w:u w:val="none"/>
        </w:rPr>
        <w:t>安庆市皖宜项目咨询管理有限公司　</w:t>
      </w:r>
    </w:p>
    <w:p>
      <w:pPr>
        <w:keepNext w:val="0"/>
        <w:keepLines w:val="0"/>
        <w:pageBreakBefore w:val="0"/>
        <w:widowControl w:val="0"/>
        <w:kinsoku/>
        <w:wordWrap/>
        <w:overflowPunct/>
        <w:topLinePunct w:val="0"/>
        <w:autoSpaceDE/>
        <w:autoSpaceDN/>
        <w:bidi w:val="0"/>
        <w:adjustRightInd/>
        <w:snapToGrid/>
        <w:spacing w:line="600" w:lineRule="exact"/>
        <w:ind w:firstLine="565" w:firstLineChars="202"/>
        <w:textAlignment w:val="auto"/>
        <w:rPr>
          <w:rFonts w:ascii="仿宋" w:hAnsi="仿宋" w:eastAsia="仿宋"/>
          <w:sz w:val="28"/>
          <w:szCs w:val="28"/>
          <w:highlight w:val="none"/>
          <w:u w:val="single"/>
        </w:rPr>
      </w:pPr>
      <w:r>
        <w:rPr>
          <w:rFonts w:hint="eastAsia" w:ascii="仿宋" w:hAnsi="仿宋" w:eastAsia="仿宋"/>
          <w:sz w:val="28"/>
          <w:szCs w:val="28"/>
          <w:highlight w:val="none"/>
        </w:rPr>
        <w:t>地　　址：</w:t>
      </w:r>
      <w:r>
        <w:rPr>
          <w:rFonts w:hint="eastAsia" w:ascii="仿宋" w:hAnsi="仿宋" w:eastAsia="仿宋"/>
          <w:sz w:val="28"/>
          <w:szCs w:val="28"/>
          <w:highlight w:val="none"/>
          <w:u w:val="none"/>
        </w:rPr>
        <w:t>安庆市</w:t>
      </w:r>
      <w:r>
        <w:rPr>
          <w:rFonts w:hint="eastAsia" w:ascii="仿宋" w:hAnsi="仿宋" w:eastAsia="仿宋"/>
          <w:sz w:val="28"/>
          <w:szCs w:val="28"/>
          <w:highlight w:val="none"/>
          <w:u w:val="none"/>
          <w:lang w:val="en-US" w:eastAsia="zh-CN"/>
        </w:rPr>
        <w:t>大观区</w:t>
      </w:r>
      <w:r>
        <w:rPr>
          <w:rFonts w:hint="eastAsia" w:ascii="仿宋" w:hAnsi="仿宋" w:eastAsia="仿宋"/>
          <w:sz w:val="28"/>
          <w:szCs w:val="28"/>
          <w:highlight w:val="none"/>
          <w:u w:val="none"/>
        </w:rPr>
        <w:t>龙山路213号五楼交易一部　</w:t>
      </w:r>
    </w:p>
    <w:p>
      <w:pPr>
        <w:keepNext w:val="0"/>
        <w:keepLines w:val="0"/>
        <w:pageBreakBefore w:val="0"/>
        <w:widowControl w:val="0"/>
        <w:kinsoku/>
        <w:wordWrap/>
        <w:overflowPunct/>
        <w:topLinePunct w:val="0"/>
        <w:autoSpaceDE/>
        <w:autoSpaceDN/>
        <w:bidi w:val="0"/>
        <w:adjustRightInd/>
        <w:snapToGrid/>
        <w:spacing w:line="600" w:lineRule="exact"/>
        <w:ind w:firstLine="565" w:firstLineChars="202"/>
        <w:textAlignment w:val="auto"/>
        <w:rPr>
          <w:rFonts w:ascii="仿宋" w:hAnsi="仿宋" w:eastAsia="仿宋"/>
          <w:sz w:val="28"/>
          <w:szCs w:val="28"/>
          <w:highlight w:val="none"/>
        </w:rPr>
      </w:pPr>
      <w:r>
        <w:rPr>
          <w:rFonts w:hint="eastAsia" w:ascii="仿宋" w:hAnsi="仿宋" w:eastAsia="仿宋" w:cstheme="minorBidi"/>
          <w:sz w:val="28"/>
          <w:szCs w:val="28"/>
          <w:highlight w:val="none"/>
        </w:rPr>
        <w:t>联 系 人：</w:t>
      </w:r>
      <w:r>
        <w:rPr>
          <w:rFonts w:hint="eastAsia" w:ascii="仿宋" w:hAnsi="仿宋" w:eastAsia="仿宋"/>
          <w:sz w:val="28"/>
          <w:szCs w:val="28"/>
          <w:highlight w:val="none"/>
          <w:u w:val="none"/>
          <w:lang w:val="en-US" w:eastAsia="zh-CN"/>
        </w:rPr>
        <w:t>张白梅</w:t>
      </w:r>
      <w:r>
        <w:rPr>
          <w:rFonts w:hint="eastAsia" w:ascii="仿宋" w:hAnsi="仿宋" w:eastAsia="仿宋"/>
          <w:sz w:val="28"/>
          <w:szCs w:val="28"/>
          <w:highlight w:val="none"/>
          <w:u w:val="none"/>
        </w:rPr>
        <w:t>　　　</w:t>
      </w:r>
      <w:r>
        <w:rPr>
          <w:rFonts w:hint="eastAsia" w:ascii="仿宋" w:hAnsi="仿宋" w:eastAsia="仿宋"/>
          <w:sz w:val="28"/>
          <w:szCs w:val="28"/>
          <w:highlight w:val="none"/>
          <w:u w:val="none"/>
          <w:lang w:val="en-US" w:eastAsia="zh-CN"/>
        </w:rPr>
        <w:t xml:space="preserve"> </w:t>
      </w:r>
      <w:r>
        <w:rPr>
          <w:rFonts w:hint="eastAsia" w:ascii="仿宋" w:hAnsi="仿宋" w:eastAsia="仿宋"/>
          <w:sz w:val="28"/>
          <w:szCs w:val="28"/>
          <w:highlight w:val="none"/>
          <w:u w:val="none"/>
        </w:rPr>
        <w:t>　　</w:t>
      </w:r>
    </w:p>
    <w:p>
      <w:pPr>
        <w:keepNext w:val="0"/>
        <w:keepLines w:val="0"/>
        <w:pageBreakBefore w:val="0"/>
        <w:widowControl w:val="0"/>
        <w:kinsoku/>
        <w:wordWrap/>
        <w:overflowPunct/>
        <w:topLinePunct w:val="0"/>
        <w:autoSpaceDE/>
        <w:autoSpaceDN/>
        <w:bidi w:val="0"/>
        <w:adjustRightInd/>
        <w:snapToGrid/>
        <w:spacing w:line="600" w:lineRule="exact"/>
        <w:ind w:firstLine="565" w:firstLineChars="202"/>
        <w:textAlignment w:val="auto"/>
        <w:rPr>
          <w:rFonts w:ascii="仿宋" w:hAnsi="仿宋" w:eastAsia="仿宋"/>
          <w:sz w:val="28"/>
          <w:szCs w:val="28"/>
          <w:highlight w:val="none"/>
          <w:u w:val="single"/>
        </w:rPr>
      </w:pPr>
      <w:r>
        <w:rPr>
          <w:rFonts w:hint="eastAsia" w:ascii="仿宋" w:hAnsi="仿宋" w:eastAsia="仿宋"/>
          <w:sz w:val="28"/>
          <w:szCs w:val="28"/>
          <w:highlight w:val="none"/>
        </w:rPr>
        <w:t>联系方式：</w:t>
      </w:r>
      <w:r>
        <w:rPr>
          <w:rFonts w:hint="eastAsia" w:ascii="仿宋" w:hAnsi="仿宋" w:eastAsia="仿宋"/>
          <w:sz w:val="28"/>
          <w:szCs w:val="28"/>
          <w:highlight w:val="none"/>
          <w:u w:val="none"/>
        </w:rPr>
        <w:t>0556-599</w:t>
      </w:r>
      <w:r>
        <w:rPr>
          <w:rFonts w:hint="eastAsia" w:ascii="仿宋" w:hAnsi="仿宋" w:eastAsia="仿宋"/>
          <w:sz w:val="28"/>
          <w:szCs w:val="28"/>
          <w:highlight w:val="none"/>
          <w:u w:val="none"/>
          <w:lang w:val="en-US" w:eastAsia="zh-CN"/>
        </w:rPr>
        <w:t>9972</w:t>
      </w:r>
      <w:r>
        <w:rPr>
          <w:rFonts w:hint="eastAsia" w:ascii="仿宋" w:hAnsi="仿宋" w:eastAsia="仿宋"/>
          <w:sz w:val="28"/>
          <w:szCs w:val="28"/>
          <w:highlight w:val="none"/>
          <w:u w:val="none"/>
        </w:rPr>
        <w:t>　</w:t>
      </w:r>
    </w:p>
    <w:p>
      <w:pPr>
        <w:keepNext w:val="0"/>
        <w:keepLines w:val="0"/>
        <w:pageBreakBefore w:val="0"/>
        <w:widowControl w:val="0"/>
        <w:kinsoku/>
        <w:wordWrap/>
        <w:overflowPunct/>
        <w:topLinePunct w:val="0"/>
        <w:autoSpaceDE/>
        <w:autoSpaceDN/>
        <w:bidi w:val="0"/>
        <w:adjustRightInd/>
        <w:snapToGrid/>
        <w:spacing w:line="600" w:lineRule="exact"/>
        <w:ind w:firstLine="565" w:firstLineChars="202"/>
        <w:textAlignment w:val="auto"/>
        <w:rPr>
          <w:rFonts w:ascii="仿宋" w:hAnsi="仿宋" w:eastAsia="仿宋" w:cs="宋体"/>
          <w:bCs/>
          <w:sz w:val="28"/>
          <w:szCs w:val="28"/>
          <w:highlight w:val="none"/>
        </w:rPr>
      </w:pPr>
      <w:bookmarkStart w:id="45" w:name="_Toc35393808"/>
      <w:bookmarkStart w:id="46" w:name="_Toc28359021"/>
      <w:bookmarkStart w:id="47" w:name="_Toc35393639"/>
      <w:bookmarkStart w:id="48" w:name="_Toc28359098"/>
      <w:r>
        <w:rPr>
          <w:rFonts w:hint="eastAsia" w:ascii="仿宋" w:hAnsi="仿宋" w:eastAsia="仿宋" w:cs="宋体"/>
          <w:bCs/>
          <w:sz w:val="28"/>
          <w:szCs w:val="28"/>
          <w:highlight w:val="none"/>
        </w:rPr>
        <w:t>3.项目联系</w:t>
      </w:r>
      <w:r>
        <w:rPr>
          <w:rFonts w:ascii="仿宋" w:hAnsi="仿宋" w:eastAsia="仿宋" w:cs="宋体"/>
          <w:bCs/>
          <w:sz w:val="28"/>
          <w:szCs w:val="28"/>
          <w:highlight w:val="none"/>
        </w:rPr>
        <w:t>方式</w:t>
      </w:r>
      <w:bookmarkEnd w:id="45"/>
      <w:bookmarkEnd w:id="46"/>
      <w:bookmarkEnd w:id="47"/>
      <w:bookmarkEnd w:id="48"/>
    </w:p>
    <w:p>
      <w:pPr>
        <w:keepNext w:val="0"/>
        <w:keepLines w:val="0"/>
        <w:pageBreakBefore w:val="0"/>
        <w:widowControl w:val="0"/>
        <w:kinsoku/>
        <w:wordWrap/>
        <w:overflowPunct/>
        <w:topLinePunct w:val="0"/>
        <w:autoSpaceDE/>
        <w:autoSpaceDN/>
        <w:bidi w:val="0"/>
        <w:adjustRightInd/>
        <w:snapToGrid/>
        <w:spacing w:line="600" w:lineRule="exact"/>
        <w:ind w:firstLine="565" w:firstLineChars="202"/>
        <w:textAlignment w:val="auto"/>
        <w:rPr>
          <w:rFonts w:hint="default" w:ascii="仿宋" w:hAnsi="仿宋" w:eastAsia="仿宋" w:cstheme="minorBidi"/>
          <w:sz w:val="28"/>
          <w:szCs w:val="28"/>
          <w:highlight w:val="none"/>
          <w:lang w:val="en-US" w:eastAsia="zh-CN"/>
        </w:rPr>
      </w:pPr>
      <w:r>
        <w:rPr>
          <w:rFonts w:hint="eastAsia" w:ascii="仿宋" w:hAnsi="仿宋" w:eastAsia="仿宋" w:cstheme="minorBidi"/>
          <w:sz w:val="28"/>
          <w:szCs w:val="28"/>
          <w:highlight w:val="none"/>
        </w:rPr>
        <w:t>项目联系人：</w:t>
      </w:r>
      <w:r>
        <w:rPr>
          <w:rFonts w:hint="eastAsia" w:ascii="仿宋" w:hAnsi="仿宋" w:eastAsia="仿宋" w:cs="仿宋"/>
          <w:color w:val="auto"/>
          <w:kern w:val="0"/>
          <w:sz w:val="28"/>
          <w:szCs w:val="28"/>
          <w:highlight w:val="none"/>
          <w:lang w:val="en-US" w:eastAsia="zh-CN"/>
        </w:rPr>
        <w:t>朱老师</w:t>
      </w:r>
    </w:p>
    <w:p>
      <w:pPr>
        <w:keepNext w:val="0"/>
        <w:keepLines w:val="0"/>
        <w:pageBreakBefore w:val="0"/>
        <w:widowControl w:val="0"/>
        <w:kinsoku/>
        <w:wordWrap/>
        <w:overflowPunct/>
        <w:topLinePunct w:val="0"/>
        <w:autoSpaceDE/>
        <w:autoSpaceDN/>
        <w:bidi w:val="0"/>
        <w:adjustRightInd/>
        <w:snapToGrid/>
        <w:spacing w:line="600" w:lineRule="exact"/>
        <w:ind w:firstLine="565" w:firstLineChars="202"/>
        <w:textAlignment w:val="auto"/>
        <w:rPr>
          <w:rFonts w:hint="eastAsia" w:ascii="仿宋" w:hAnsi="仿宋" w:eastAsia="仿宋"/>
          <w:sz w:val="28"/>
          <w:szCs w:val="28"/>
          <w:highlight w:val="none"/>
          <w:u w:val="none"/>
          <w:lang w:val="en-US" w:eastAsia="zh-CN"/>
        </w:rPr>
      </w:pPr>
      <w:r>
        <w:rPr>
          <w:rFonts w:hint="eastAsia" w:ascii="仿宋" w:hAnsi="仿宋" w:eastAsia="仿宋"/>
          <w:sz w:val="28"/>
          <w:szCs w:val="28"/>
          <w:highlight w:val="none"/>
        </w:rPr>
        <w:t>电　　 话：</w:t>
      </w:r>
      <w:r>
        <w:rPr>
          <w:rFonts w:hint="eastAsia" w:ascii="仿宋" w:hAnsi="仿宋" w:eastAsia="仿宋" w:cs="仿宋"/>
          <w:color w:val="auto"/>
          <w:kern w:val="0"/>
          <w:sz w:val="28"/>
          <w:szCs w:val="28"/>
          <w:highlight w:val="none"/>
        </w:rPr>
        <w:t>0556-5283045</w:t>
      </w:r>
    </w:p>
    <w:p>
      <w:pPr>
        <w:ind w:firstLine="565" w:firstLineChars="202"/>
        <w:rPr>
          <w:rFonts w:ascii="仿宋" w:hAnsi="仿宋" w:eastAsia="仿宋"/>
          <w:sz w:val="28"/>
          <w:szCs w:val="28"/>
          <w:highlight w:val="none"/>
          <w:u w:val="none"/>
        </w:rPr>
      </w:pPr>
    </w:p>
    <w:p>
      <w:pPr>
        <w:ind w:firstLine="424" w:firstLineChars="202"/>
        <w:rPr>
          <w:szCs w:val="21"/>
          <w:highlight w:val="none"/>
        </w:rPr>
      </w:pPr>
      <w:r>
        <w:rPr>
          <w:szCs w:val="21"/>
          <w:highlight w:val="none"/>
        </w:rPr>
        <w:br w:type="page"/>
      </w:r>
    </w:p>
    <w:p>
      <w:pPr>
        <w:pStyle w:val="3"/>
        <w:spacing w:before="62" w:beforeLines="20" w:after="62" w:afterLines="20" w:line="480" w:lineRule="exact"/>
        <w:ind w:firstLine="0" w:firstLineChars="0"/>
        <w:jc w:val="center"/>
        <w:rPr>
          <w:rFonts w:ascii="Arial" w:hAnsi="Arial"/>
          <w:kern w:val="2"/>
          <w:sz w:val="32"/>
          <w:szCs w:val="32"/>
          <w:highlight w:val="none"/>
        </w:rPr>
      </w:pPr>
      <w:bookmarkStart w:id="49" w:name="_Toc13471"/>
      <w:bookmarkStart w:id="50" w:name="_Toc26069"/>
      <w:bookmarkStart w:id="51" w:name="_Toc54941329"/>
      <w:r>
        <w:rPr>
          <w:rFonts w:hint="eastAsia" w:ascii="Arial" w:hAnsi="Arial"/>
          <w:kern w:val="2"/>
          <w:sz w:val="32"/>
          <w:szCs w:val="32"/>
          <w:highlight w:val="none"/>
        </w:rPr>
        <w:t>第二章</w:t>
      </w:r>
      <w:r>
        <w:rPr>
          <w:rFonts w:ascii="Arial" w:hAnsi="Arial"/>
          <w:kern w:val="2"/>
          <w:sz w:val="32"/>
          <w:szCs w:val="32"/>
          <w:highlight w:val="none"/>
        </w:rPr>
        <w:t xml:space="preserve">   </w:t>
      </w:r>
      <w:r>
        <w:rPr>
          <w:rFonts w:hint="eastAsia" w:ascii="Arial" w:hAnsi="Arial"/>
          <w:kern w:val="2"/>
          <w:sz w:val="32"/>
          <w:szCs w:val="32"/>
          <w:highlight w:val="none"/>
        </w:rPr>
        <w:t>磋商须知</w:t>
      </w:r>
      <w:bookmarkEnd w:id="3"/>
      <w:bookmarkEnd w:id="49"/>
      <w:bookmarkEnd w:id="50"/>
      <w:bookmarkEnd w:id="51"/>
    </w:p>
    <w:p>
      <w:pPr>
        <w:pStyle w:val="4"/>
        <w:rPr>
          <w:rFonts w:cs="Tahoma"/>
          <w:bCs/>
          <w:kern w:val="0"/>
          <w:sz w:val="32"/>
          <w:szCs w:val="32"/>
          <w:highlight w:val="none"/>
        </w:rPr>
      </w:pPr>
      <w:bookmarkStart w:id="52" w:name="_Toc439316871"/>
      <w:bookmarkStart w:id="53" w:name="_Toc54941330"/>
      <w:bookmarkStart w:id="54" w:name="_Toc17862"/>
      <w:r>
        <w:rPr>
          <w:rFonts w:hint="eastAsia" w:cs="Tahoma"/>
          <w:bCs/>
          <w:kern w:val="0"/>
          <w:sz w:val="32"/>
          <w:szCs w:val="32"/>
          <w:highlight w:val="none"/>
        </w:rPr>
        <w:t>第一节</w:t>
      </w:r>
      <w:r>
        <w:rPr>
          <w:rFonts w:cs="Tahoma"/>
          <w:bCs/>
          <w:kern w:val="0"/>
          <w:sz w:val="32"/>
          <w:szCs w:val="32"/>
          <w:highlight w:val="none"/>
        </w:rPr>
        <w:t xml:space="preserve"> </w:t>
      </w:r>
      <w:r>
        <w:rPr>
          <w:rFonts w:hint="eastAsia" w:cs="Tahoma"/>
          <w:bCs/>
          <w:kern w:val="0"/>
          <w:sz w:val="32"/>
          <w:szCs w:val="32"/>
          <w:highlight w:val="none"/>
        </w:rPr>
        <w:t>磋商须知前附表</w:t>
      </w:r>
      <w:bookmarkEnd w:id="52"/>
      <w:bookmarkEnd w:id="53"/>
      <w:bookmarkEnd w:id="54"/>
    </w:p>
    <w:tbl>
      <w:tblPr>
        <w:tblStyle w:val="63"/>
        <w:tblW w:w="926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5"/>
        <w:gridCol w:w="1865"/>
        <w:gridCol w:w="67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ind w:right="-358"/>
              <w:rPr>
                <w:rFonts w:ascii="宋体"/>
                <w:szCs w:val="21"/>
                <w:highlight w:val="none"/>
              </w:rPr>
            </w:pPr>
            <w:r>
              <w:rPr>
                <w:rFonts w:hint="eastAsia" w:ascii="宋体" w:hAnsi="宋体"/>
                <w:szCs w:val="21"/>
                <w:highlight w:val="none"/>
              </w:rPr>
              <w:t>序号</w:t>
            </w:r>
          </w:p>
        </w:tc>
        <w:tc>
          <w:tcPr>
            <w:tcW w:w="186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szCs w:val="21"/>
                <w:highlight w:val="none"/>
              </w:rPr>
            </w:pPr>
            <w:r>
              <w:rPr>
                <w:rFonts w:hint="eastAsia" w:ascii="宋体" w:hAnsi="宋体"/>
                <w:szCs w:val="21"/>
                <w:highlight w:val="none"/>
              </w:rPr>
              <w:t>内容</w:t>
            </w:r>
          </w:p>
        </w:tc>
        <w:tc>
          <w:tcPr>
            <w:tcW w:w="6740" w:type="dxa"/>
            <w:tcBorders>
              <w:top w:val="single" w:color="auto" w:sz="4" w:space="0"/>
              <w:left w:val="single" w:color="auto" w:sz="4" w:space="0"/>
              <w:bottom w:val="single" w:color="auto" w:sz="4" w:space="0"/>
            </w:tcBorders>
            <w:vAlign w:val="center"/>
          </w:tcPr>
          <w:p>
            <w:pPr>
              <w:tabs>
                <w:tab w:val="left" w:pos="1180"/>
              </w:tabs>
              <w:spacing w:line="480" w:lineRule="exact"/>
              <w:jc w:val="center"/>
              <w:rPr>
                <w:rFonts w:ascii="宋体"/>
                <w:szCs w:val="21"/>
                <w:highlight w:val="none"/>
              </w:rPr>
            </w:pPr>
            <w:r>
              <w:rPr>
                <w:rFonts w:hint="eastAsia" w:ascii="宋体" w:hAnsi="宋体"/>
                <w:szCs w:val="21"/>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ascii="宋体" w:hAnsi="宋体"/>
                <w:szCs w:val="21"/>
                <w:highlight w:val="none"/>
              </w:rPr>
              <w:t>1</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szCs w:val="21"/>
                <w:highlight w:val="none"/>
              </w:rPr>
              <w:t>项目编号</w:t>
            </w:r>
          </w:p>
        </w:tc>
        <w:tc>
          <w:tcPr>
            <w:tcW w:w="6740" w:type="dxa"/>
            <w:tcBorders>
              <w:top w:val="single" w:color="auto" w:sz="4" w:space="0"/>
              <w:left w:val="single" w:color="auto" w:sz="4" w:space="0"/>
              <w:bottom w:val="single" w:color="auto" w:sz="4" w:space="0"/>
            </w:tcBorders>
            <w:vAlign w:val="center"/>
          </w:tcPr>
          <w:p>
            <w:pPr>
              <w:widowControl/>
              <w:snapToGrid w:val="0"/>
              <w:spacing w:line="480" w:lineRule="exact"/>
              <w:rPr>
                <w:rFonts w:hint="default" w:eastAsia="宋体"/>
                <w:szCs w:val="21"/>
                <w:highlight w:val="none"/>
                <w:lang w:val="en-US" w:eastAsia="zh-CN"/>
              </w:rPr>
            </w:pPr>
            <w:r>
              <w:rPr>
                <w:rFonts w:hint="eastAsia"/>
                <w:szCs w:val="21"/>
                <w:highlight w:val="none"/>
                <w:lang w:val="en-US" w:eastAsia="zh-CN"/>
              </w:rPr>
              <w:t>CG-AQ-2023-0294  FS34080120230156号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ascii="宋体" w:hAnsi="宋体"/>
                <w:szCs w:val="21"/>
                <w:highlight w:val="none"/>
              </w:rPr>
              <w:t>2</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szCs w:val="21"/>
                <w:highlight w:val="none"/>
              </w:rPr>
              <w:t>项目名称</w:t>
            </w:r>
          </w:p>
        </w:tc>
        <w:tc>
          <w:tcPr>
            <w:tcW w:w="6740" w:type="dxa"/>
            <w:tcBorders>
              <w:top w:val="single" w:color="auto" w:sz="4" w:space="0"/>
              <w:left w:val="single" w:color="auto" w:sz="4" w:space="0"/>
              <w:bottom w:val="single" w:color="auto" w:sz="4" w:space="0"/>
            </w:tcBorders>
            <w:vAlign w:val="center"/>
          </w:tcPr>
          <w:p>
            <w:pPr>
              <w:widowControl/>
              <w:snapToGrid w:val="0"/>
              <w:spacing w:line="480" w:lineRule="exact"/>
              <w:rPr>
                <w:rFonts w:hint="eastAsia" w:eastAsia="宋体"/>
                <w:szCs w:val="21"/>
                <w:highlight w:val="none"/>
                <w:lang w:eastAsia="zh-CN"/>
              </w:rPr>
            </w:pPr>
            <w:r>
              <w:rPr>
                <w:rFonts w:hint="eastAsia"/>
                <w:szCs w:val="21"/>
                <w:highlight w:val="none"/>
                <w:lang w:eastAsia="zh-CN"/>
              </w:rPr>
              <w:t>安庆职业技术学院篮球场和排球场改造项目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ascii="宋体" w:hAnsi="宋体"/>
                <w:szCs w:val="21"/>
                <w:highlight w:val="none"/>
              </w:rPr>
              <w:t>3</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szCs w:val="21"/>
                <w:highlight w:val="none"/>
              </w:rPr>
              <w:t>采购人</w:t>
            </w:r>
          </w:p>
        </w:tc>
        <w:tc>
          <w:tcPr>
            <w:tcW w:w="6740" w:type="dxa"/>
            <w:tcBorders>
              <w:top w:val="single" w:color="auto" w:sz="4" w:space="0"/>
              <w:left w:val="single" w:color="auto" w:sz="4" w:space="0"/>
              <w:bottom w:val="single" w:color="auto" w:sz="4" w:space="0"/>
            </w:tcBorders>
            <w:vAlign w:val="center"/>
          </w:tcPr>
          <w:p>
            <w:pPr>
              <w:widowControl/>
              <w:snapToGrid w:val="0"/>
              <w:spacing w:line="480" w:lineRule="exact"/>
              <w:rPr>
                <w:rFonts w:hint="default" w:eastAsia="宋体"/>
                <w:szCs w:val="21"/>
                <w:highlight w:val="none"/>
                <w:lang w:val="en-US" w:eastAsia="zh-CN"/>
              </w:rPr>
            </w:pPr>
            <w:r>
              <w:rPr>
                <w:rFonts w:hint="eastAsia" w:ascii="宋体" w:cs="宋体"/>
                <w:kern w:val="0"/>
                <w:szCs w:val="21"/>
                <w:highlight w:val="none"/>
                <w:lang w:val="en-US" w:eastAsia="zh-CN"/>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ascii="宋体" w:hAnsi="宋体"/>
                <w:szCs w:val="21"/>
                <w:highlight w:val="none"/>
              </w:rPr>
              <w:t>4</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szCs w:val="21"/>
                <w:highlight w:val="none"/>
              </w:rPr>
              <w:t>采购</w:t>
            </w:r>
            <w:r>
              <w:rPr>
                <w:rFonts w:hint="eastAsia" w:ascii="宋体" w:hAnsi="宋体"/>
                <w:szCs w:val="21"/>
                <w:highlight w:val="none"/>
                <w:lang w:val="en-US" w:eastAsia="zh-CN"/>
              </w:rPr>
              <w:t>代理</w:t>
            </w:r>
            <w:r>
              <w:rPr>
                <w:rFonts w:hint="eastAsia" w:ascii="宋体" w:hAnsi="宋体"/>
                <w:szCs w:val="21"/>
                <w:highlight w:val="none"/>
              </w:rPr>
              <w:t>机构</w:t>
            </w:r>
          </w:p>
        </w:tc>
        <w:tc>
          <w:tcPr>
            <w:tcW w:w="6740" w:type="dxa"/>
            <w:tcBorders>
              <w:top w:val="single" w:color="auto" w:sz="4" w:space="0"/>
              <w:left w:val="single" w:color="auto" w:sz="4" w:space="0"/>
              <w:bottom w:val="single" w:color="auto" w:sz="4" w:space="0"/>
            </w:tcBorders>
            <w:vAlign w:val="center"/>
          </w:tcPr>
          <w:p>
            <w:pPr>
              <w:spacing w:line="480" w:lineRule="exact"/>
              <w:rPr>
                <w:rFonts w:ascii="宋体" w:cs="宋体"/>
                <w:kern w:val="0"/>
                <w:szCs w:val="21"/>
                <w:highlight w:val="none"/>
              </w:rPr>
            </w:pPr>
            <w:r>
              <w:rPr>
                <w:rFonts w:hint="eastAsia" w:ascii="宋体" w:cs="宋体"/>
                <w:kern w:val="0"/>
                <w:szCs w:val="21"/>
                <w:highlight w:val="none"/>
              </w:rPr>
              <w:t>安庆市皖宜项目咨询管理有限公司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hAnsi="宋体"/>
                <w:szCs w:val="21"/>
                <w:highlight w:val="none"/>
              </w:rPr>
            </w:pPr>
            <w:r>
              <w:rPr>
                <w:rFonts w:ascii="宋体" w:hAnsi="宋体"/>
                <w:szCs w:val="21"/>
                <w:highlight w:val="none"/>
              </w:rPr>
              <w:t>5</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highlight w:val="none"/>
              </w:rPr>
            </w:pPr>
            <w:r>
              <w:rPr>
                <w:rFonts w:hint="eastAsia" w:ascii="宋体" w:hAnsi="宋体"/>
                <w:szCs w:val="21"/>
                <w:highlight w:val="none"/>
              </w:rPr>
              <w:t>是否专门面向中小企业采购</w:t>
            </w:r>
          </w:p>
        </w:tc>
        <w:tc>
          <w:tcPr>
            <w:tcW w:w="6740" w:type="dxa"/>
            <w:tcBorders>
              <w:top w:val="single" w:color="auto" w:sz="4" w:space="0"/>
              <w:left w:val="single" w:color="auto" w:sz="4" w:space="0"/>
              <w:bottom w:val="single" w:color="auto" w:sz="4" w:space="0"/>
            </w:tcBorders>
            <w:vAlign w:val="center"/>
          </w:tcPr>
          <w:p>
            <w:pPr>
              <w:spacing w:line="480" w:lineRule="exact"/>
              <w:rPr>
                <w:rFonts w:ascii="宋体" w:hAnsi="宋体" w:cs="宋体"/>
                <w:kern w:val="0"/>
                <w:szCs w:val="21"/>
                <w:highlight w:val="none"/>
              </w:rPr>
            </w:pPr>
            <w:r>
              <w:rPr>
                <w:rFonts w:hint="eastAsia" w:ascii="宋体" w:hAnsi="宋体" w:cs="宋体"/>
                <w:kern w:val="0"/>
                <w:szCs w:val="21"/>
                <w:highlight w:val="none"/>
              </w:rPr>
              <w:sym w:font="Wingdings 2" w:char="0052"/>
            </w:r>
            <w:r>
              <w:rPr>
                <w:rFonts w:hint="eastAsia" w:ascii="宋体" w:hAnsi="宋体" w:cs="宋体"/>
                <w:kern w:val="0"/>
                <w:szCs w:val="21"/>
                <w:highlight w:val="none"/>
              </w:rPr>
              <w:t xml:space="preserve">是 </w:t>
            </w:r>
            <w:r>
              <w:rPr>
                <w:rFonts w:ascii="宋体" w:hAnsi="宋体" w:cs="宋体"/>
                <w:kern w:val="0"/>
                <w:szCs w:val="21"/>
                <w:highlight w:val="none"/>
              </w:rPr>
              <w:t xml:space="preserve">  </w:t>
            </w:r>
            <w:r>
              <w:rPr>
                <w:rFonts w:hint="eastAsia" w:ascii="宋体" w:hAnsi="宋体" w:cs="宋体"/>
                <w:kern w:val="0"/>
                <w:szCs w:val="21"/>
                <w:highlight w:val="none"/>
              </w:rPr>
              <w:sym w:font="Wingdings 2" w:char="F0A3"/>
            </w:r>
            <w:r>
              <w:rPr>
                <w:rFonts w:hint="eastAsia" w:ascii="宋体" w:hAnsi="宋体" w:cs="宋体"/>
                <w:kern w:val="0"/>
                <w:szCs w:val="21"/>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ascii="宋体" w:hAnsi="宋体"/>
                <w:szCs w:val="21"/>
                <w:highlight w:val="none"/>
              </w:rPr>
              <w:t>6</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highlight w:val="none"/>
              </w:rPr>
            </w:pPr>
            <w:r>
              <w:rPr>
                <w:rFonts w:hint="eastAsia"/>
                <w:szCs w:val="21"/>
                <w:highlight w:val="none"/>
              </w:rPr>
              <w:t>采购方式</w:t>
            </w:r>
          </w:p>
        </w:tc>
        <w:tc>
          <w:tcPr>
            <w:tcW w:w="6740" w:type="dxa"/>
            <w:tcBorders>
              <w:top w:val="single" w:color="auto" w:sz="4" w:space="0"/>
              <w:left w:val="single" w:color="auto" w:sz="4" w:space="0"/>
              <w:bottom w:val="single" w:color="auto" w:sz="4" w:space="0"/>
            </w:tcBorders>
            <w:vAlign w:val="center"/>
          </w:tcPr>
          <w:p>
            <w:pPr>
              <w:spacing w:line="480" w:lineRule="exact"/>
              <w:rPr>
                <w:szCs w:val="21"/>
                <w:highlight w:val="none"/>
              </w:rPr>
            </w:pPr>
            <w:r>
              <w:rPr>
                <w:rFonts w:hint="eastAsia"/>
                <w:szCs w:val="21"/>
                <w:highlight w:val="none"/>
              </w:rPr>
              <w:t>竞争性磋商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ascii="宋体" w:hAnsi="宋体"/>
                <w:szCs w:val="21"/>
                <w:highlight w:val="none"/>
              </w:rPr>
              <w:t>7</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highlight w:val="none"/>
              </w:rPr>
            </w:pPr>
            <w:r>
              <w:rPr>
                <w:rFonts w:hint="eastAsia"/>
                <w:szCs w:val="21"/>
                <w:highlight w:val="none"/>
              </w:rPr>
              <w:t>标段划分</w:t>
            </w:r>
          </w:p>
        </w:tc>
        <w:tc>
          <w:tcPr>
            <w:tcW w:w="6740" w:type="dxa"/>
            <w:tcBorders>
              <w:top w:val="single" w:color="auto" w:sz="4" w:space="0"/>
              <w:left w:val="single" w:color="auto" w:sz="4" w:space="0"/>
              <w:bottom w:val="single" w:color="auto" w:sz="4" w:space="0"/>
            </w:tcBorders>
            <w:vAlign w:val="center"/>
          </w:tcPr>
          <w:p>
            <w:pPr>
              <w:spacing w:line="480" w:lineRule="exact"/>
              <w:rPr>
                <w:szCs w:val="21"/>
                <w:highlight w:val="none"/>
              </w:rPr>
            </w:pPr>
            <w:r>
              <w:rPr>
                <w:rFonts w:hint="eastAsia"/>
                <w:szCs w:val="21"/>
                <w:highlight w:val="none"/>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ascii="宋体" w:hAnsi="宋体"/>
                <w:szCs w:val="21"/>
                <w:highlight w:val="none"/>
              </w:rPr>
              <w:t>8</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highlight w:val="none"/>
              </w:rPr>
            </w:pPr>
            <w:r>
              <w:rPr>
                <w:rFonts w:hint="eastAsia"/>
                <w:szCs w:val="21"/>
                <w:highlight w:val="none"/>
              </w:rPr>
              <w:t>资金来源</w:t>
            </w:r>
          </w:p>
        </w:tc>
        <w:tc>
          <w:tcPr>
            <w:tcW w:w="6740" w:type="dxa"/>
            <w:tcBorders>
              <w:top w:val="single" w:color="auto" w:sz="4" w:space="0"/>
              <w:left w:val="single" w:color="auto" w:sz="4" w:space="0"/>
              <w:bottom w:val="single" w:color="auto" w:sz="4" w:space="0"/>
            </w:tcBorders>
            <w:vAlign w:val="center"/>
          </w:tcPr>
          <w:p>
            <w:pPr>
              <w:spacing w:line="480" w:lineRule="exact"/>
              <w:rPr>
                <w:rFonts w:hint="default" w:eastAsia="宋体"/>
                <w:szCs w:val="21"/>
                <w:highlight w:val="none"/>
                <w:lang w:val="en-US" w:eastAsia="zh-CN"/>
              </w:rPr>
            </w:pPr>
            <w:r>
              <w:rPr>
                <w:rFonts w:hint="eastAsia"/>
                <w:szCs w:val="21"/>
                <w:highlight w:val="none"/>
                <w:lang w:val="en-US" w:eastAsia="zh-CN"/>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5" w:type="dxa"/>
            <w:tcBorders>
              <w:top w:val="single" w:color="auto" w:sz="4" w:space="0"/>
              <w:right w:val="single" w:color="auto" w:sz="4" w:space="0"/>
            </w:tcBorders>
            <w:vAlign w:val="center"/>
          </w:tcPr>
          <w:p>
            <w:pPr>
              <w:spacing w:line="480" w:lineRule="exact"/>
              <w:jc w:val="center"/>
              <w:rPr>
                <w:rFonts w:ascii="宋体"/>
                <w:szCs w:val="21"/>
                <w:highlight w:val="none"/>
              </w:rPr>
            </w:pPr>
            <w:r>
              <w:rPr>
                <w:rFonts w:ascii="宋体" w:hAnsi="宋体"/>
                <w:szCs w:val="21"/>
                <w:highlight w:val="none"/>
              </w:rPr>
              <w:t>9</w:t>
            </w:r>
          </w:p>
        </w:tc>
        <w:tc>
          <w:tcPr>
            <w:tcW w:w="1865" w:type="dxa"/>
            <w:tcBorders>
              <w:top w:val="single" w:color="auto" w:sz="4" w:space="0"/>
              <w:left w:val="single" w:color="auto" w:sz="4" w:space="0"/>
              <w:right w:val="single" w:color="auto" w:sz="4" w:space="0"/>
            </w:tcBorders>
            <w:vAlign w:val="center"/>
          </w:tcPr>
          <w:p>
            <w:pPr>
              <w:spacing w:line="480" w:lineRule="exact"/>
              <w:jc w:val="center"/>
              <w:rPr>
                <w:rFonts w:hint="eastAsia"/>
                <w:szCs w:val="21"/>
                <w:highlight w:val="none"/>
                <w:lang w:val="en-US" w:eastAsia="zh-CN"/>
              </w:rPr>
            </w:pPr>
            <w:r>
              <w:rPr>
                <w:rFonts w:hint="eastAsia"/>
                <w:szCs w:val="21"/>
                <w:highlight w:val="none"/>
                <w:lang w:val="en-US" w:eastAsia="zh-CN"/>
              </w:rPr>
              <w:t>最高磋商限价</w:t>
            </w:r>
          </w:p>
        </w:tc>
        <w:tc>
          <w:tcPr>
            <w:tcW w:w="6740" w:type="dxa"/>
            <w:tcBorders>
              <w:top w:val="single" w:color="auto" w:sz="4" w:space="0"/>
              <w:left w:val="single" w:color="auto" w:sz="4" w:space="0"/>
              <w:bottom w:val="single" w:color="auto" w:sz="4" w:space="0"/>
            </w:tcBorders>
            <w:vAlign w:val="center"/>
          </w:tcPr>
          <w:p>
            <w:pPr>
              <w:spacing w:line="480" w:lineRule="exact"/>
              <w:jc w:val="left"/>
              <w:rPr>
                <w:rFonts w:hint="default"/>
                <w:szCs w:val="21"/>
                <w:highlight w:val="none"/>
                <w:lang w:val="en-US" w:eastAsia="zh-CN"/>
              </w:rPr>
            </w:pPr>
            <w:r>
              <w:rPr>
                <w:rFonts w:hint="eastAsia"/>
                <w:szCs w:val="21"/>
                <w:highlight w:val="none"/>
                <w:lang w:val="en-US" w:eastAsia="zh-CN"/>
              </w:rPr>
              <w:t>669175.48元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ascii="宋体" w:hAnsi="宋体"/>
                <w:szCs w:val="21"/>
                <w:highlight w:val="none"/>
              </w:rPr>
              <w:t>10</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highlight w:val="none"/>
              </w:rPr>
            </w:pPr>
            <w:r>
              <w:rPr>
                <w:rFonts w:hint="eastAsia"/>
                <w:szCs w:val="21"/>
                <w:highlight w:val="none"/>
              </w:rPr>
              <w:t>项目地点</w:t>
            </w:r>
          </w:p>
        </w:tc>
        <w:tc>
          <w:tcPr>
            <w:tcW w:w="6740" w:type="dxa"/>
            <w:tcBorders>
              <w:top w:val="single" w:color="auto" w:sz="4" w:space="0"/>
              <w:left w:val="single" w:color="auto" w:sz="4" w:space="0"/>
              <w:bottom w:val="single" w:color="auto" w:sz="4" w:space="0"/>
            </w:tcBorders>
            <w:vAlign w:val="center"/>
          </w:tcPr>
          <w:p>
            <w:pPr>
              <w:spacing w:line="480" w:lineRule="exact"/>
              <w:jc w:val="left"/>
              <w:rPr>
                <w:rFonts w:hint="default" w:eastAsia="宋体"/>
                <w:szCs w:val="21"/>
                <w:highlight w:val="none"/>
                <w:lang w:val="en-US" w:eastAsia="zh-CN"/>
              </w:rPr>
            </w:pPr>
            <w:r>
              <w:rPr>
                <w:rFonts w:hint="eastAsia"/>
                <w:szCs w:val="21"/>
                <w:highlight w:val="none"/>
                <w:lang w:val="en-US" w:eastAsia="zh-CN"/>
              </w:rPr>
              <w:t>安庆市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ascii="宋体" w:hAnsi="宋体"/>
                <w:szCs w:val="21"/>
                <w:highlight w:val="none"/>
              </w:rPr>
              <w:t>11</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eastAsia="宋体"/>
                <w:szCs w:val="21"/>
                <w:highlight w:val="none"/>
                <w:lang w:eastAsia="zh-CN"/>
              </w:rPr>
            </w:pPr>
            <w:r>
              <w:rPr>
                <w:rFonts w:hint="eastAsia"/>
                <w:szCs w:val="21"/>
                <w:highlight w:val="none"/>
                <w:lang w:eastAsia="zh-CN"/>
              </w:rPr>
              <w:t>工期</w:t>
            </w:r>
          </w:p>
        </w:tc>
        <w:tc>
          <w:tcPr>
            <w:tcW w:w="6740" w:type="dxa"/>
            <w:tcBorders>
              <w:top w:val="single" w:color="auto" w:sz="4" w:space="0"/>
              <w:left w:val="single" w:color="auto" w:sz="4" w:space="0"/>
              <w:bottom w:val="single" w:color="auto" w:sz="4" w:space="0"/>
            </w:tcBorders>
            <w:vAlign w:val="center"/>
          </w:tcPr>
          <w:p>
            <w:pPr>
              <w:spacing w:line="480" w:lineRule="exact"/>
              <w:rPr>
                <w:rFonts w:hint="default" w:eastAsia="宋体"/>
                <w:szCs w:val="21"/>
                <w:highlight w:val="none"/>
                <w:lang w:val="en-US" w:eastAsia="zh-CN"/>
              </w:rPr>
            </w:pPr>
            <w:r>
              <w:rPr>
                <w:rFonts w:hint="eastAsia"/>
                <w:szCs w:val="21"/>
                <w:highlight w:val="none"/>
                <w:lang w:val="en-US" w:eastAsia="zh-CN"/>
              </w:rPr>
              <w:t>50日历天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ascii="宋体" w:hAnsi="宋体"/>
                <w:szCs w:val="21"/>
                <w:highlight w:val="none"/>
              </w:rPr>
              <w:t>12</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szCs w:val="21"/>
                <w:highlight w:val="none"/>
              </w:rPr>
              <w:t>资格条件</w:t>
            </w:r>
          </w:p>
        </w:tc>
        <w:tc>
          <w:tcPr>
            <w:tcW w:w="6740" w:type="dxa"/>
            <w:tcBorders>
              <w:top w:val="single" w:color="auto" w:sz="4" w:space="0"/>
              <w:left w:val="single" w:color="auto" w:sz="4" w:space="0"/>
              <w:bottom w:val="single" w:color="auto" w:sz="4" w:space="0"/>
            </w:tcBorders>
            <w:vAlign w:val="center"/>
          </w:tcPr>
          <w:p>
            <w:pPr>
              <w:spacing w:line="420" w:lineRule="exact"/>
              <w:rPr>
                <w:rFonts w:hint="default" w:ascii="宋体" w:eastAsia="宋体"/>
                <w:szCs w:val="21"/>
                <w:highlight w:val="none"/>
                <w:lang w:val="en-US" w:eastAsia="zh-CN"/>
              </w:rPr>
            </w:pPr>
            <w:r>
              <w:rPr>
                <w:rFonts w:hint="eastAsia" w:ascii="宋体"/>
                <w:szCs w:val="21"/>
                <w:highlight w:val="none"/>
                <w:lang w:val="en-US" w:eastAsia="zh-CN"/>
              </w:rPr>
              <w:t>详见竞争性磋商公告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ascii="宋体" w:hAnsi="宋体"/>
                <w:szCs w:val="21"/>
                <w:highlight w:val="none"/>
              </w:rPr>
              <w:t>13</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szCs w:val="21"/>
                <w:highlight w:val="none"/>
              </w:rPr>
              <w:t>资格审查方式</w:t>
            </w:r>
          </w:p>
        </w:tc>
        <w:tc>
          <w:tcPr>
            <w:tcW w:w="6740" w:type="dxa"/>
            <w:tcBorders>
              <w:top w:val="single" w:color="auto" w:sz="4" w:space="0"/>
              <w:left w:val="single" w:color="auto" w:sz="4" w:space="0"/>
              <w:bottom w:val="single" w:color="auto" w:sz="4" w:space="0"/>
            </w:tcBorders>
            <w:vAlign w:val="center"/>
          </w:tcPr>
          <w:p>
            <w:pPr>
              <w:spacing w:line="480" w:lineRule="exact"/>
              <w:rPr>
                <w:rFonts w:ascii="宋体"/>
                <w:szCs w:val="21"/>
                <w:highlight w:val="none"/>
              </w:rPr>
            </w:pPr>
            <w:r>
              <w:rPr>
                <w:rFonts w:hint="eastAsia" w:ascii="宋体" w:hAnsi="宋体"/>
                <w:szCs w:val="21"/>
                <w:highlight w:val="none"/>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ascii="宋体" w:hAnsi="宋体"/>
                <w:szCs w:val="21"/>
                <w:highlight w:val="none"/>
              </w:rPr>
              <w:t>14</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szCs w:val="21"/>
                <w:highlight w:val="none"/>
              </w:rPr>
              <w:t>磋商有效期</w:t>
            </w:r>
          </w:p>
        </w:tc>
        <w:tc>
          <w:tcPr>
            <w:tcW w:w="6740" w:type="dxa"/>
            <w:tcBorders>
              <w:top w:val="single" w:color="auto" w:sz="4" w:space="0"/>
              <w:left w:val="single" w:color="auto" w:sz="4" w:space="0"/>
              <w:bottom w:val="single" w:color="auto" w:sz="4" w:space="0"/>
            </w:tcBorders>
            <w:vAlign w:val="center"/>
          </w:tcPr>
          <w:p>
            <w:pPr>
              <w:spacing w:line="480" w:lineRule="exact"/>
              <w:ind w:left="-2" w:leftChars="-1" w:firstLine="2"/>
              <w:rPr>
                <w:rFonts w:ascii="宋体"/>
                <w:szCs w:val="21"/>
                <w:highlight w:val="none"/>
              </w:rPr>
            </w:pPr>
            <w:r>
              <w:rPr>
                <w:rFonts w:hint="eastAsia" w:ascii="宋体" w:hAnsi="宋体"/>
                <w:szCs w:val="21"/>
                <w:highlight w:val="none"/>
                <w:u w:val="single"/>
              </w:rPr>
              <w:t>9</w:t>
            </w:r>
            <w:r>
              <w:rPr>
                <w:rFonts w:ascii="宋体" w:hAnsi="宋体"/>
                <w:szCs w:val="21"/>
                <w:highlight w:val="none"/>
                <w:u w:val="single"/>
              </w:rPr>
              <w:t>0日历天</w:t>
            </w:r>
            <w:r>
              <w:rPr>
                <w:rFonts w:hint="eastAsia" w:ascii="宋体" w:hAnsi="宋体"/>
                <w:szCs w:val="21"/>
                <w:highlight w:val="none"/>
                <w:u w:val="single"/>
              </w:rPr>
              <w:t>（从响应文件提交截止时间算起）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15</w:t>
            </w:r>
          </w:p>
        </w:tc>
        <w:tc>
          <w:tcPr>
            <w:tcW w:w="1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jc w:val="center"/>
              <w:rPr>
                <w:rFonts w:hint="eastAsia" w:ascii="宋体" w:hAnsi="宋体"/>
                <w:szCs w:val="21"/>
                <w:highlight w:val="none"/>
              </w:rPr>
            </w:pPr>
            <w:r>
              <w:rPr>
                <w:rFonts w:hint="eastAsia" w:ascii="宋体" w:hAnsi="宋体" w:eastAsia="宋体" w:cs="宋体"/>
                <w:color w:val="auto"/>
                <w:highlight w:val="none"/>
              </w:rPr>
              <w:t>质量标准要求</w:t>
            </w:r>
          </w:p>
        </w:tc>
        <w:tc>
          <w:tcPr>
            <w:tcW w:w="6740" w:type="dxa"/>
            <w:tcBorders>
              <w:top w:val="single" w:color="auto" w:sz="4" w:space="0"/>
              <w:left w:val="single" w:color="auto" w:sz="4" w:space="0"/>
              <w:bottom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rPr>
                <w:rFonts w:hint="eastAsia" w:ascii="宋体" w:hAnsi="宋体"/>
                <w:szCs w:val="21"/>
                <w:highlight w:val="none"/>
                <w:u w:val="single"/>
              </w:rPr>
            </w:pPr>
            <w:r>
              <w:rPr>
                <w:rFonts w:hint="eastAsia" w:ascii="宋体" w:hAnsi="宋体" w:eastAsia="宋体" w:cs="宋体"/>
                <w:color w:val="auto"/>
                <w:highlight w:val="none"/>
              </w:rPr>
              <w:t>达到国家相关施工验收规范合格标准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eastAsia" w:ascii="宋体" w:eastAsia="宋体"/>
                <w:szCs w:val="21"/>
                <w:highlight w:val="none"/>
                <w:lang w:eastAsia="zh-CN"/>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6</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szCs w:val="21"/>
                <w:highlight w:val="none"/>
              </w:rPr>
              <w:t>磋商保证金</w:t>
            </w:r>
          </w:p>
        </w:tc>
        <w:tc>
          <w:tcPr>
            <w:tcW w:w="6740" w:type="dxa"/>
            <w:tcBorders>
              <w:top w:val="single" w:color="auto" w:sz="4" w:space="0"/>
              <w:left w:val="single" w:color="auto" w:sz="4" w:space="0"/>
              <w:bottom w:val="single" w:color="auto" w:sz="4" w:space="0"/>
            </w:tcBorders>
            <w:vAlign w:val="center"/>
          </w:tcPr>
          <w:p>
            <w:pPr>
              <w:spacing w:line="420" w:lineRule="exact"/>
              <w:rPr>
                <w:rFonts w:ascii="宋体"/>
                <w:szCs w:val="21"/>
                <w:highlight w:val="none"/>
              </w:rPr>
            </w:pPr>
            <w:r>
              <w:rPr>
                <w:rFonts w:hint="eastAsia" w:ascii="宋体"/>
                <w:szCs w:val="21"/>
                <w:highlight w:val="none"/>
              </w:rPr>
              <w:t>本项目免收。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000000"/>
                <w:szCs w:val="21"/>
                <w:highlight w:val="none"/>
                <w:lang w:eastAsia="zh-CN"/>
              </w:rPr>
            </w:pPr>
            <w:r>
              <w:rPr>
                <w:rFonts w:ascii="宋体" w:hAnsi="宋体"/>
                <w:szCs w:val="21"/>
                <w:highlight w:val="none"/>
              </w:rPr>
              <w:t>1</w:t>
            </w:r>
            <w:r>
              <w:rPr>
                <w:rFonts w:hint="eastAsia" w:ascii="宋体" w:hAnsi="宋体"/>
                <w:szCs w:val="21"/>
                <w:highlight w:val="none"/>
                <w:lang w:val="en-US" w:eastAsia="zh-CN"/>
              </w:rPr>
              <w:t>7</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磋商响应文件要求</w:t>
            </w:r>
          </w:p>
        </w:tc>
        <w:tc>
          <w:tcPr>
            <w:tcW w:w="6740" w:type="dxa"/>
            <w:tcBorders>
              <w:top w:val="single" w:color="auto" w:sz="4" w:space="0"/>
              <w:left w:val="single" w:color="auto" w:sz="4" w:space="0"/>
              <w:bottom w:val="single" w:color="auto" w:sz="4" w:space="0"/>
            </w:tcBorders>
            <w:vAlign w:val="center"/>
          </w:tcPr>
          <w:p>
            <w:pPr>
              <w:spacing w:line="440" w:lineRule="exact"/>
              <w:rPr>
                <w:rFonts w:ascii="宋体" w:hAnsi="宋体" w:cs="宋体"/>
                <w:color w:val="000000"/>
                <w:kern w:val="0"/>
                <w:szCs w:val="21"/>
                <w:highlight w:val="none"/>
              </w:rPr>
            </w:pPr>
            <w:r>
              <w:rPr>
                <w:rFonts w:hint="eastAsia" w:ascii="宋体" w:hAnsi="宋体" w:cs="宋体"/>
                <w:b/>
                <w:bCs/>
                <w:color w:val="000000"/>
                <w:szCs w:val="21"/>
                <w:highlight w:val="none"/>
              </w:rPr>
              <w:t>加密电子磋商响应文件（.AQTF格式）</w:t>
            </w:r>
            <w:r>
              <w:rPr>
                <w:rFonts w:hint="eastAsia" w:ascii="宋体" w:hAnsi="宋体" w:cs="宋体"/>
                <w:b/>
                <w:bCs/>
                <w:color w:val="000000"/>
                <w:kern w:val="0"/>
                <w:szCs w:val="21"/>
                <w:highlight w:val="none"/>
              </w:rPr>
              <w:t>须在提交响应文件截止时间前登陆</w:t>
            </w:r>
            <w:r>
              <w:rPr>
                <w:rFonts w:hint="eastAsia" w:ascii="宋体" w:hAnsi="宋体" w:cs="宋体"/>
                <w:b/>
                <w:bCs/>
                <w:color w:val="000000"/>
                <w:szCs w:val="21"/>
                <w:highlight w:val="none"/>
              </w:rPr>
              <w:t>安庆市公共资源交易服务网</w:t>
            </w:r>
            <w:r>
              <w:rPr>
                <w:rFonts w:hint="eastAsia" w:ascii="宋体" w:hAnsi="宋体" w:cs="宋体"/>
                <w:b/>
                <w:color w:val="000000"/>
                <w:kern w:val="0"/>
                <w:szCs w:val="21"/>
                <w:highlight w:val="none"/>
              </w:rPr>
              <w:t>上传</w:t>
            </w:r>
            <w:r>
              <w:rPr>
                <w:rFonts w:hint="eastAsia" w:ascii="宋体" w:hAnsi="宋体" w:cs="宋体"/>
                <w:color w:val="000000"/>
                <w:kern w:val="0"/>
                <w:szCs w:val="21"/>
                <w:highlight w:val="none"/>
              </w:rPr>
              <w:t>。</w:t>
            </w:r>
            <w:r>
              <w:rPr>
                <w:rFonts w:hint="eastAsia" w:ascii="宋体" w:hAnsi="宋体" w:cs="宋体"/>
                <w:b/>
                <w:bCs/>
                <w:color w:val="000000"/>
                <w:szCs w:val="21"/>
                <w:highlight w:val="none"/>
              </w:rPr>
              <w:t>制作方法见本附表第</w:t>
            </w:r>
            <w:r>
              <w:rPr>
                <w:rFonts w:hint="eastAsia" w:ascii="宋体" w:hAnsi="宋体" w:cs="宋体"/>
                <w:b/>
                <w:bCs/>
                <w:color w:val="auto"/>
                <w:szCs w:val="21"/>
                <w:highlight w:val="none"/>
                <w:lang w:val="en-US" w:eastAsia="zh-CN"/>
              </w:rPr>
              <w:t>37</w:t>
            </w:r>
            <w:r>
              <w:rPr>
                <w:rFonts w:hint="eastAsia" w:ascii="宋体" w:hAnsi="宋体" w:cs="宋体"/>
                <w:b/>
                <w:bCs/>
                <w:color w:val="000000"/>
                <w:szCs w:val="21"/>
                <w:highlight w:val="none"/>
              </w:rPr>
              <w:t>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eastAsia" w:ascii="宋体" w:eastAsia="宋体"/>
                <w:szCs w:val="21"/>
                <w:highlight w:val="none"/>
                <w:lang w:eastAsia="zh-CN"/>
              </w:rPr>
            </w:pPr>
            <w:r>
              <w:rPr>
                <w:rFonts w:hint="eastAsia" w:ascii="宋体" w:hAnsi="宋体"/>
                <w:szCs w:val="21"/>
                <w:highlight w:val="none"/>
              </w:rPr>
              <w:t>1</w:t>
            </w:r>
            <w:r>
              <w:rPr>
                <w:rFonts w:hint="eastAsia" w:ascii="宋体" w:hAnsi="宋体"/>
                <w:szCs w:val="21"/>
                <w:highlight w:val="none"/>
                <w:lang w:val="en-US" w:eastAsia="zh-CN"/>
              </w:rPr>
              <w:t>8</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szCs w:val="21"/>
                <w:highlight w:val="none"/>
              </w:rPr>
              <w:t>提交响应文件</w:t>
            </w:r>
          </w:p>
        </w:tc>
        <w:tc>
          <w:tcPr>
            <w:tcW w:w="6740" w:type="dxa"/>
            <w:tcBorders>
              <w:top w:val="single" w:color="auto" w:sz="4" w:space="0"/>
              <w:left w:val="single" w:color="auto" w:sz="4" w:space="0"/>
              <w:bottom w:val="single" w:color="auto" w:sz="4" w:space="0"/>
            </w:tcBorders>
            <w:vAlign w:val="center"/>
          </w:tcPr>
          <w:p>
            <w:pPr>
              <w:pStyle w:val="20"/>
              <w:widowControl/>
              <w:spacing w:line="420" w:lineRule="exact"/>
              <w:jc w:val="both"/>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1、提交响应文件截止时间：</w:t>
            </w:r>
            <w:r>
              <w:rPr>
                <w:rFonts w:hint="eastAsia" w:ascii="宋体" w:hAnsi="宋体" w:cs="宋体"/>
                <w:color w:val="000000"/>
                <w:sz w:val="21"/>
                <w:szCs w:val="21"/>
                <w:highlight w:val="none"/>
                <w:lang w:eastAsia="zh-CN"/>
              </w:rPr>
              <w:t>202</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lang w:eastAsia="zh-CN"/>
              </w:rPr>
              <w:t>年</w:t>
            </w:r>
            <w:r>
              <w:rPr>
                <w:rFonts w:hint="eastAsia" w:ascii="宋体" w:hAnsi="宋体" w:cs="宋体"/>
                <w:color w:val="000000"/>
                <w:sz w:val="21"/>
                <w:szCs w:val="21"/>
                <w:highlight w:val="none"/>
                <w:lang w:val="en-US" w:eastAsia="zh-CN"/>
              </w:rPr>
              <w:t xml:space="preserve"> 5</w:t>
            </w:r>
            <w:r>
              <w:rPr>
                <w:rFonts w:hint="eastAsia" w:ascii="宋体" w:hAnsi="宋体" w:cs="宋体"/>
                <w:color w:val="000000"/>
                <w:sz w:val="21"/>
                <w:szCs w:val="21"/>
                <w:highlight w:val="none"/>
                <w:lang w:eastAsia="zh-CN"/>
              </w:rPr>
              <w:t xml:space="preserve">月 </w:t>
            </w:r>
            <w:r>
              <w:rPr>
                <w:rFonts w:hint="eastAsia" w:ascii="宋体" w:hAnsi="宋体" w:cs="宋体"/>
                <w:color w:val="000000"/>
                <w:sz w:val="21"/>
                <w:szCs w:val="21"/>
                <w:highlight w:val="none"/>
                <w:lang w:val="en-US" w:eastAsia="zh-CN"/>
              </w:rPr>
              <w:t>11</w:t>
            </w:r>
            <w:r>
              <w:rPr>
                <w:rFonts w:hint="eastAsia" w:ascii="宋体" w:hAnsi="宋体" w:cs="宋体"/>
                <w:color w:val="000000"/>
                <w:sz w:val="21"/>
                <w:szCs w:val="21"/>
                <w:highlight w:val="none"/>
                <w:lang w:eastAsia="zh-CN"/>
              </w:rPr>
              <w:t xml:space="preserve"> 日 </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lang w:eastAsia="zh-CN"/>
              </w:rPr>
              <w:t xml:space="preserve">点 </w:t>
            </w:r>
            <w:r>
              <w:rPr>
                <w:rFonts w:hint="eastAsia" w:ascii="宋体" w:hAnsi="宋体" w:cs="宋体"/>
                <w:color w:val="000000"/>
                <w:sz w:val="21"/>
                <w:szCs w:val="21"/>
                <w:highlight w:val="none"/>
                <w:lang w:val="en-US" w:eastAsia="zh-CN"/>
              </w:rPr>
              <w:t>30</w:t>
            </w:r>
            <w:r>
              <w:rPr>
                <w:rFonts w:hint="eastAsia" w:ascii="宋体" w:hAnsi="宋体" w:cs="宋体"/>
                <w:color w:val="000000"/>
                <w:sz w:val="21"/>
                <w:szCs w:val="21"/>
                <w:highlight w:val="none"/>
                <w:lang w:eastAsia="zh-CN"/>
              </w:rPr>
              <w:t xml:space="preserve"> 分</w:t>
            </w:r>
          </w:p>
          <w:p>
            <w:pPr>
              <w:pStyle w:val="20"/>
              <w:widowControl/>
              <w:spacing w:line="480" w:lineRule="exact"/>
              <w:jc w:val="both"/>
              <w:rPr>
                <w:rFonts w:ascii="宋体"/>
                <w:szCs w:val="21"/>
                <w:highlight w:val="none"/>
              </w:rPr>
            </w:pPr>
            <w:r>
              <w:rPr>
                <w:rFonts w:hint="eastAsia" w:ascii="宋体" w:hAnsi="宋体" w:cs="宋体"/>
                <w:color w:val="000000"/>
                <w:sz w:val="21"/>
                <w:szCs w:val="21"/>
                <w:highlight w:val="none"/>
              </w:rPr>
              <w:t>2、供应商须在提交响应文件截止时间前，在安庆市公共资源电子交易平台提交加密后的电子磋商响应文件。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szCs w:val="21"/>
                <w:highlight w:val="none"/>
                <w:lang w:eastAsia="zh-CN"/>
              </w:rPr>
            </w:pPr>
            <w:r>
              <w:rPr>
                <w:rFonts w:ascii="宋体" w:hAnsi="宋体"/>
                <w:szCs w:val="21"/>
                <w:highlight w:val="none"/>
              </w:rPr>
              <w:t>1</w:t>
            </w:r>
            <w:r>
              <w:rPr>
                <w:rFonts w:hint="eastAsia" w:ascii="宋体" w:hAnsi="宋体"/>
                <w:szCs w:val="21"/>
                <w:highlight w:val="none"/>
                <w:lang w:val="en-US" w:eastAsia="zh-CN"/>
              </w:rPr>
              <w:t>9</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highlight w:val="none"/>
              </w:rPr>
            </w:pPr>
            <w:r>
              <w:rPr>
                <w:rFonts w:hint="eastAsia" w:ascii="宋体" w:hAnsi="宋体"/>
                <w:szCs w:val="21"/>
                <w:highlight w:val="none"/>
              </w:rPr>
              <w:t>媒介发布</w:t>
            </w:r>
          </w:p>
        </w:tc>
        <w:tc>
          <w:tcPr>
            <w:tcW w:w="6740" w:type="dxa"/>
            <w:tcBorders>
              <w:top w:val="single" w:color="auto" w:sz="4" w:space="0"/>
              <w:left w:val="single" w:color="auto" w:sz="4" w:space="0"/>
              <w:bottom w:val="single" w:color="auto" w:sz="4" w:space="0"/>
            </w:tcBorders>
            <w:vAlign w:val="center"/>
          </w:tcPr>
          <w:p>
            <w:pPr>
              <w:keepNext w:val="0"/>
              <w:keepLines w:val="0"/>
              <w:suppressLineNumbers w:val="0"/>
              <w:autoSpaceDE w:val="0"/>
              <w:autoSpaceDN w:val="0"/>
              <w:adjustRightInd w:val="0"/>
              <w:spacing w:before="0" w:beforeAutospacing="0" w:after="0" w:afterAutospacing="0" w:line="38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本次</w:t>
            </w:r>
            <w:r>
              <w:rPr>
                <w:rFonts w:hint="eastAsia" w:ascii="宋体" w:hAnsi="宋体" w:cs="宋体"/>
                <w:color w:val="auto"/>
                <w:szCs w:val="21"/>
                <w:highlight w:val="none"/>
                <w:lang w:eastAsia="zh-CN"/>
              </w:rPr>
              <w:t>竞争性</w:t>
            </w:r>
            <w:r>
              <w:rPr>
                <w:rFonts w:hint="eastAsia" w:ascii="宋体" w:hAnsi="宋体" w:cs="宋体"/>
                <w:color w:val="auto"/>
                <w:szCs w:val="21"/>
                <w:highlight w:val="none"/>
                <w:lang w:val="en-US" w:eastAsia="zh-CN"/>
              </w:rPr>
              <w:t>磋商</w:t>
            </w:r>
            <w:r>
              <w:rPr>
                <w:rFonts w:hint="eastAsia" w:ascii="宋体" w:hAnsi="宋体" w:cs="宋体"/>
                <w:color w:val="auto"/>
                <w:szCs w:val="21"/>
                <w:highlight w:val="none"/>
                <w:lang w:eastAsia="zh-CN"/>
              </w:rPr>
              <w:t>公告</w:t>
            </w:r>
            <w:r>
              <w:rPr>
                <w:rFonts w:hint="eastAsia" w:ascii="宋体" w:hAnsi="宋体" w:cs="宋体"/>
                <w:color w:val="auto"/>
                <w:szCs w:val="21"/>
                <w:highlight w:val="none"/>
              </w:rPr>
              <w:t>同时在</w:t>
            </w:r>
          </w:p>
          <w:p>
            <w:pPr>
              <w:keepNext w:val="0"/>
              <w:keepLines w:val="0"/>
              <w:suppressLineNumbers w:val="0"/>
              <w:autoSpaceDE w:val="0"/>
              <w:autoSpaceDN w:val="0"/>
              <w:adjustRightInd w:val="0"/>
              <w:spacing w:before="0" w:beforeAutospacing="0" w:after="0" w:afterAutospacing="0" w:line="38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安庆市公共资源交易服务网（</w:t>
            </w:r>
            <w:r>
              <w:rPr>
                <w:rFonts w:hint="default"/>
                <w:color w:val="auto"/>
                <w:highlight w:val="none"/>
              </w:rPr>
              <w:fldChar w:fldCharType="begin"/>
            </w:r>
            <w:r>
              <w:rPr>
                <w:rFonts w:hint="default"/>
                <w:color w:val="auto"/>
                <w:highlight w:val="none"/>
              </w:rPr>
              <w:instrText xml:space="preserve"> HYPERLINK "http://www.aqzbcg.org:1102/）、" </w:instrText>
            </w:r>
            <w:r>
              <w:rPr>
                <w:rFonts w:hint="default"/>
                <w:color w:val="auto"/>
                <w:highlight w:val="none"/>
              </w:rPr>
              <w:fldChar w:fldCharType="separate"/>
            </w:r>
            <w:r>
              <w:rPr>
                <w:rStyle w:val="76"/>
                <w:rFonts w:hint="eastAsia" w:ascii="宋体" w:hAnsi="宋体" w:cs="宋体"/>
                <w:color w:val="auto"/>
                <w:szCs w:val="21"/>
                <w:highlight w:val="none"/>
              </w:rPr>
              <w:t>http://aqggzy.anqing.gov.cn/）、</w:t>
            </w:r>
            <w:r>
              <w:rPr>
                <w:rStyle w:val="76"/>
                <w:rFonts w:hint="eastAsia" w:ascii="宋体" w:hAnsi="宋体" w:cs="宋体"/>
                <w:color w:val="auto"/>
                <w:szCs w:val="21"/>
                <w:highlight w:val="none"/>
              </w:rPr>
              <w:fldChar w:fldCharType="end"/>
            </w:r>
          </w:p>
          <w:p>
            <w:pPr>
              <w:keepNext w:val="0"/>
              <w:keepLines w:val="0"/>
              <w:suppressLineNumbers w:val="0"/>
              <w:autoSpaceDE w:val="0"/>
              <w:autoSpaceDN w:val="0"/>
              <w:adjustRightInd w:val="0"/>
              <w:spacing w:before="0" w:beforeAutospacing="0" w:after="0" w:afterAutospacing="0" w:line="38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安庆市政府信息公开网（</w:t>
            </w:r>
            <w:r>
              <w:rPr>
                <w:rFonts w:hint="default"/>
                <w:color w:val="auto"/>
                <w:highlight w:val="none"/>
              </w:rPr>
              <w:fldChar w:fldCharType="begin"/>
            </w:r>
            <w:r>
              <w:rPr>
                <w:rFonts w:hint="default"/>
                <w:color w:val="auto"/>
                <w:highlight w:val="none"/>
              </w:rPr>
              <w:instrText xml:space="preserve"> HYPERLINK "http://aqxxgk.anqing.gov.cn/）、" </w:instrText>
            </w:r>
            <w:r>
              <w:rPr>
                <w:rFonts w:hint="default"/>
                <w:color w:val="auto"/>
                <w:highlight w:val="none"/>
              </w:rPr>
              <w:fldChar w:fldCharType="separate"/>
            </w:r>
            <w:r>
              <w:rPr>
                <w:rStyle w:val="76"/>
                <w:rFonts w:hint="eastAsia" w:ascii="宋体" w:hAnsi="宋体" w:cs="宋体"/>
                <w:color w:val="auto"/>
                <w:szCs w:val="21"/>
                <w:highlight w:val="none"/>
              </w:rPr>
              <w:t>http://aqxxgk.anqing.gov.cn/）、</w:t>
            </w:r>
            <w:r>
              <w:rPr>
                <w:rStyle w:val="76"/>
                <w:rFonts w:hint="eastAsia" w:ascii="宋体" w:hAnsi="宋体" w:cs="宋体"/>
                <w:color w:val="auto"/>
                <w:szCs w:val="21"/>
                <w:highlight w:val="none"/>
              </w:rPr>
              <w:fldChar w:fldCharType="end"/>
            </w:r>
          </w:p>
          <w:p>
            <w:pPr>
              <w:keepNext w:val="0"/>
              <w:keepLines w:val="0"/>
              <w:suppressLineNumbers w:val="0"/>
              <w:autoSpaceDE w:val="0"/>
              <w:autoSpaceDN w:val="0"/>
              <w:adjustRightInd w:val="0"/>
              <w:spacing w:before="0" w:beforeAutospacing="0" w:after="0" w:afterAutospacing="0" w:line="38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安徽省政府采购网（</w:t>
            </w:r>
            <w:r>
              <w:rPr>
                <w:rFonts w:hint="default"/>
                <w:color w:val="auto"/>
                <w:highlight w:val="none"/>
              </w:rPr>
              <w:fldChar w:fldCharType="begin"/>
            </w:r>
            <w:r>
              <w:rPr>
                <w:rFonts w:hint="default"/>
                <w:color w:val="auto"/>
                <w:highlight w:val="none"/>
              </w:rPr>
              <w:instrText xml:space="preserve"> HYPERLINK "http://www.ahzfcg.gov.cn/）、" </w:instrText>
            </w:r>
            <w:r>
              <w:rPr>
                <w:rFonts w:hint="default"/>
                <w:color w:val="auto"/>
                <w:highlight w:val="none"/>
              </w:rPr>
              <w:fldChar w:fldCharType="separate"/>
            </w:r>
            <w:r>
              <w:rPr>
                <w:rStyle w:val="76"/>
                <w:rFonts w:hint="eastAsia" w:ascii="宋体" w:hAnsi="宋体" w:cs="宋体"/>
                <w:color w:val="auto"/>
                <w:szCs w:val="21"/>
                <w:highlight w:val="none"/>
              </w:rPr>
              <w:t>http://www.ccgp-anhui.gov.cn/）、</w:t>
            </w:r>
            <w:r>
              <w:rPr>
                <w:rStyle w:val="76"/>
                <w:rFonts w:hint="eastAsia" w:ascii="宋体" w:hAnsi="宋体" w:cs="宋体"/>
                <w:color w:val="auto"/>
                <w:szCs w:val="21"/>
                <w:highlight w:val="none"/>
              </w:rPr>
              <w:fldChar w:fldCharType="end"/>
            </w:r>
          </w:p>
          <w:p>
            <w:pPr>
              <w:autoSpaceDE w:val="0"/>
              <w:autoSpaceDN w:val="0"/>
              <w:adjustRightInd w:val="0"/>
              <w:spacing w:line="380" w:lineRule="exact"/>
              <w:jc w:val="left"/>
              <w:rPr>
                <w:rFonts w:hint="default" w:ascii="宋体" w:hAnsi="宋体" w:eastAsia="宋体"/>
                <w:szCs w:val="21"/>
                <w:highlight w:val="none"/>
                <w:lang w:val="en-US" w:eastAsia="zh-CN"/>
              </w:rPr>
            </w:pPr>
            <w:r>
              <w:rPr>
                <w:rFonts w:hint="eastAsia" w:ascii="宋体" w:hAnsi="宋体" w:cs="宋体"/>
                <w:color w:val="auto"/>
                <w:szCs w:val="21"/>
                <w:highlight w:val="none"/>
              </w:rPr>
              <w:t>安徽省招标投标信息网（</w:t>
            </w:r>
            <w:r>
              <w:rPr>
                <w:rFonts w:hint="default"/>
                <w:color w:val="auto"/>
                <w:highlight w:val="none"/>
              </w:rPr>
              <w:fldChar w:fldCharType="begin"/>
            </w:r>
            <w:r>
              <w:rPr>
                <w:rFonts w:hint="default"/>
                <w:color w:val="auto"/>
                <w:highlight w:val="none"/>
              </w:rPr>
              <w:instrText xml:space="preserve"> HYPERLINK "http://www.ahtba.org.cn/" </w:instrText>
            </w:r>
            <w:r>
              <w:rPr>
                <w:rFonts w:hint="default"/>
                <w:color w:val="auto"/>
                <w:highlight w:val="none"/>
              </w:rPr>
              <w:fldChar w:fldCharType="separate"/>
            </w:r>
            <w:r>
              <w:rPr>
                <w:rStyle w:val="76"/>
                <w:rFonts w:hint="eastAsia" w:ascii="宋体" w:hAnsi="宋体" w:cs="宋体"/>
                <w:color w:val="auto"/>
                <w:szCs w:val="21"/>
                <w:highlight w:val="none"/>
              </w:rPr>
              <w:t>http://www.ahtba.org.cn/</w:t>
            </w:r>
            <w:r>
              <w:rPr>
                <w:rStyle w:val="76"/>
                <w:rFonts w:hint="eastAsia" w:ascii="宋体" w:hAnsi="宋体" w:cs="宋体"/>
                <w:color w:val="auto"/>
                <w:szCs w:val="21"/>
                <w:highlight w:val="none"/>
              </w:rPr>
              <w:fldChar w:fldCharType="end"/>
            </w:r>
            <w:r>
              <w:rPr>
                <w:rFonts w:hint="eastAsia" w:ascii="宋体" w:hAnsi="宋体" w:cs="宋体"/>
                <w:color w:val="auto"/>
                <w:szCs w:val="21"/>
                <w:highlight w:val="none"/>
              </w:rPr>
              <w:t>）上发布</w:t>
            </w:r>
            <w:r>
              <w:rPr>
                <w:rFonts w:hint="eastAsia" w:ascii="宋体" w:hAnsi="宋体" w:cs="宋体"/>
                <w:color w:val="auto"/>
                <w:szCs w:val="21"/>
                <w:highlight w:val="none"/>
                <w:lang w:val="en-US" w:eastAsia="zh-CN"/>
              </w:rPr>
              <w:t>和推送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highlight w:val="none"/>
                <w:lang w:val="en-US" w:eastAsia="zh-CN"/>
              </w:rPr>
            </w:pPr>
            <w:r>
              <w:rPr>
                <w:rFonts w:hint="eastAsia" w:ascii="宋体" w:hAnsi="宋体"/>
                <w:szCs w:val="21"/>
                <w:highlight w:val="none"/>
                <w:lang w:val="en-US" w:eastAsia="zh-CN"/>
              </w:rPr>
              <w:t>20</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szCs w:val="21"/>
                <w:highlight w:val="none"/>
              </w:rPr>
              <w:t>磋商时间和地点</w:t>
            </w:r>
          </w:p>
        </w:tc>
        <w:tc>
          <w:tcPr>
            <w:tcW w:w="6740" w:type="dxa"/>
            <w:tcBorders>
              <w:top w:val="single" w:color="auto" w:sz="4" w:space="0"/>
              <w:left w:val="single" w:color="auto" w:sz="4" w:space="0"/>
              <w:bottom w:val="single" w:color="auto" w:sz="4" w:space="0"/>
            </w:tcBorders>
            <w:vAlign w:val="center"/>
          </w:tcPr>
          <w:p>
            <w:pPr>
              <w:spacing w:line="420" w:lineRule="exac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时间:</w:t>
            </w:r>
            <w:r>
              <w:rPr>
                <w:rFonts w:hint="eastAsia" w:ascii="宋体" w:hAnsi="宋体" w:cs="宋体"/>
                <w:color w:val="000000"/>
                <w:sz w:val="21"/>
                <w:szCs w:val="21"/>
                <w:highlight w:val="none"/>
                <w:lang w:eastAsia="zh-CN"/>
              </w:rPr>
              <w:t>202</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lang w:eastAsia="zh-CN"/>
              </w:rPr>
              <w:t>年</w:t>
            </w:r>
            <w:r>
              <w:rPr>
                <w:rFonts w:hint="eastAsia" w:ascii="宋体" w:hAnsi="宋体" w:cs="宋体"/>
                <w:color w:val="000000"/>
                <w:sz w:val="21"/>
                <w:szCs w:val="21"/>
                <w:highlight w:val="none"/>
                <w:lang w:val="en-US" w:eastAsia="zh-CN"/>
              </w:rPr>
              <w:t xml:space="preserve"> 5</w:t>
            </w:r>
            <w:r>
              <w:rPr>
                <w:rFonts w:hint="eastAsia" w:ascii="宋体" w:hAnsi="宋体" w:cs="宋体"/>
                <w:color w:val="000000"/>
                <w:sz w:val="21"/>
                <w:szCs w:val="21"/>
                <w:highlight w:val="none"/>
                <w:lang w:eastAsia="zh-CN"/>
              </w:rPr>
              <w:t xml:space="preserve">月 </w:t>
            </w:r>
            <w:r>
              <w:rPr>
                <w:rFonts w:hint="eastAsia" w:ascii="宋体" w:hAnsi="宋体" w:cs="宋体"/>
                <w:color w:val="000000"/>
                <w:sz w:val="21"/>
                <w:szCs w:val="21"/>
                <w:highlight w:val="none"/>
                <w:lang w:val="en-US" w:eastAsia="zh-CN"/>
              </w:rPr>
              <w:t>11</w:t>
            </w:r>
            <w:r>
              <w:rPr>
                <w:rFonts w:hint="eastAsia" w:ascii="宋体" w:hAnsi="宋体" w:cs="宋体"/>
                <w:color w:val="000000"/>
                <w:sz w:val="21"/>
                <w:szCs w:val="21"/>
                <w:highlight w:val="none"/>
                <w:lang w:eastAsia="zh-CN"/>
              </w:rPr>
              <w:t xml:space="preserve"> 日 </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lang w:eastAsia="zh-CN"/>
              </w:rPr>
              <w:t xml:space="preserve">点 </w:t>
            </w:r>
            <w:r>
              <w:rPr>
                <w:rFonts w:hint="eastAsia" w:ascii="宋体" w:hAnsi="宋体" w:cs="宋体"/>
                <w:color w:val="000000"/>
                <w:sz w:val="21"/>
                <w:szCs w:val="21"/>
                <w:highlight w:val="none"/>
                <w:lang w:val="en-US" w:eastAsia="zh-CN"/>
              </w:rPr>
              <w:t>30</w:t>
            </w:r>
            <w:r>
              <w:rPr>
                <w:rFonts w:hint="eastAsia" w:ascii="宋体" w:hAnsi="宋体" w:cs="宋体"/>
                <w:color w:val="000000"/>
                <w:sz w:val="21"/>
                <w:szCs w:val="21"/>
                <w:highlight w:val="none"/>
                <w:lang w:eastAsia="zh-CN"/>
              </w:rPr>
              <w:t xml:space="preserve"> 分</w:t>
            </w:r>
          </w:p>
          <w:p>
            <w:pPr>
              <w:spacing w:line="480" w:lineRule="exact"/>
              <w:rPr>
                <w:rFonts w:ascii="宋体"/>
                <w:szCs w:val="21"/>
                <w:highlight w:val="none"/>
              </w:rPr>
            </w:pPr>
            <w:r>
              <w:rPr>
                <w:rFonts w:hint="eastAsia" w:ascii="宋体" w:hAnsi="宋体" w:cs="宋体"/>
                <w:color w:val="000000"/>
                <w:szCs w:val="21"/>
                <w:highlight w:val="none"/>
              </w:rPr>
              <w:t>地点: 安庆市公共资源</w:t>
            </w:r>
            <w:r>
              <w:rPr>
                <w:rFonts w:hint="eastAsia" w:ascii="宋体" w:hAnsi="宋体" w:cs="宋体"/>
                <w:color w:val="000000"/>
                <w:szCs w:val="21"/>
                <w:highlight w:val="none"/>
                <w:lang w:val="en-US" w:eastAsia="zh-CN"/>
              </w:rPr>
              <w:t>电子</w:t>
            </w:r>
            <w:r>
              <w:rPr>
                <w:rFonts w:hint="eastAsia" w:ascii="宋体" w:hAnsi="宋体" w:cs="宋体"/>
                <w:color w:val="000000"/>
                <w:szCs w:val="21"/>
                <w:highlight w:val="none"/>
              </w:rPr>
              <w:t>交易平台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eastAsia" w:ascii="宋体" w:eastAsia="宋体"/>
                <w:szCs w:val="21"/>
                <w:highlight w:val="none"/>
                <w:lang w:eastAsia="zh-CN"/>
              </w:rPr>
            </w:pPr>
            <w:r>
              <w:rPr>
                <w:rFonts w:hint="eastAsia" w:ascii="宋体" w:hAnsi="宋体"/>
                <w:szCs w:val="21"/>
                <w:highlight w:val="none"/>
              </w:rPr>
              <w:t>2</w:t>
            </w:r>
            <w:r>
              <w:rPr>
                <w:rFonts w:hint="eastAsia" w:ascii="宋体" w:hAnsi="宋体"/>
                <w:szCs w:val="21"/>
                <w:highlight w:val="none"/>
                <w:lang w:val="en-US" w:eastAsia="zh-CN"/>
              </w:rPr>
              <w:t>1</w:t>
            </w:r>
          </w:p>
        </w:tc>
        <w:tc>
          <w:tcPr>
            <w:tcW w:w="186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szCs w:val="21"/>
                <w:highlight w:val="none"/>
              </w:rPr>
            </w:pPr>
            <w:r>
              <w:rPr>
                <w:rFonts w:hint="eastAsia" w:ascii="宋体" w:hAnsi="宋体"/>
                <w:szCs w:val="21"/>
                <w:highlight w:val="none"/>
              </w:rPr>
              <w:t>评审方法</w:t>
            </w:r>
          </w:p>
        </w:tc>
        <w:tc>
          <w:tcPr>
            <w:tcW w:w="6740" w:type="dxa"/>
            <w:tcBorders>
              <w:top w:val="single" w:color="auto" w:sz="4" w:space="0"/>
              <w:left w:val="single" w:color="auto" w:sz="4" w:space="0"/>
              <w:bottom w:val="single" w:color="auto" w:sz="4" w:space="0"/>
            </w:tcBorders>
            <w:vAlign w:val="center"/>
          </w:tcPr>
          <w:p>
            <w:pPr>
              <w:spacing w:line="480" w:lineRule="exact"/>
              <w:rPr>
                <w:rFonts w:ascii="宋体"/>
                <w:szCs w:val="21"/>
                <w:highlight w:val="none"/>
              </w:rPr>
            </w:pPr>
            <w:r>
              <w:rPr>
                <w:rFonts w:hint="eastAsia" w:ascii="宋体" w:hAnsi="宋体"/>
                <w:szCs w:val="21"/>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22</w:t>
            </w:r>
          </w:p>
        </w:tc>
        <w:tc>
          <w:tcPr>
            <w:tcW w:w="1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leftChars="0" w:right="0" w:rightChars="0"/>
              <w:rPr>
                <w:rFonts w:hint="eastAsia" w:ascii="宋体" w:hAnsi="宋体"/>
                <w:szCs w:val="21"/>
                <w:highlight w:val="none"/>
              </w:rPr>
            </w:pPr>
            <w:r>
              <w:rPr>
                <w:rFonts w:hint="eastAsia" w:ascii="宋体" w:hAnsi="宋体" w:cs="宋体"/>
                <w:color w:val="auto"/>
                <w:szCs w:val="21"/>
                <w:highlight w:val="none"/>
              </w:rPr>
              <w:t>本项目采购标的所属行业</w:t>
            </w:r>
          </w:p>
        </w:tc>
        <w:tc>
          <w:tcPr>
            <w:tcW w:w="6740"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20" w:lineRule="exact"/>
              <w:ind w:left="0" w:leftChars="0" w:right="0" w:rightChars="0"/>
              <w:rPr>
                <w:rFonts w:hint="eastAsia" w:ascii="宋体" w:hAnsi="宋体"/>
                <w:szCs w:val="21"/>
                <w:highlight w:val="none"/>
              </w:rPr>
            </w:pPr>
            <w:r>
              <w:rPr>
                <w:rFonts w:hint="eastAsia" w:ascii="宋体" w:hAnsi="宋体" w:cs="宋体"/>
                <w:b/>
                <w:color w:val="auto"/>
                <w:highlight w:val="none"/>
                <w:lang w:val="en-US" w:eastAsia="zh-CN"/>
              </w:rPr>
              <w:t>建筑业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eastAsia" w:ascii="宋体" w:hAnsi="宋体" w:eastAsia="宋体"/>
                <w:szCs w:val="21"/>
                <w:highlight w:val="none"/>
                <w:lang w:eastAsia="zh-CN"/>
              </w:rPr>
            </w:pPr>
            <w:r>
              <w:rPr>
                <w:rFonts w:ascii="宋体" w:hAnsi="宋体"/>
                <w:szCs w:val="21"/>
                <w:highlight w:val="none"/>
              </w:rPr>
              <w:t>2</w:t>
            </w:r>
            <w:r>
              <w:rPr>
                <w:rFonts w:hint="eastAsia" w:ascii="宋体" w:hAnsi="宋体"/>
                <w:szCs w:val="21"/>
                <w:highlight w:val="none"/>
                <w:lang w:val="en-US" w:eastAsia="zh-CN"/>
              </w:rPr>
              <w:t>3</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highlight w:val="none"/>
              </w:rPr>
            </w:pPr>
            <w:r>
              <w:rPr>
                <w:rFonts w:hint="eastAsia" w:ascii="宋体" w:hAnsi="宋体"/>
                <w:szCs w:val="21"/>
                <w:highlight w:val="none"/>
              </w:rPr>
              <w:t>响应报价扣除</w:t>
            </w:r>
            <w:r>
              <w:rPr>
                <w:rFonts w:hint="eastAsia" w:ascii="宋体" w:hAnsi="宋体"/>
                <w:i/>
                <w:iCs/>
                <w:szCs w:val="21"/>
                <w:highlight w:val="none"/>
              </w:rPr>
              <w:t>（</w:t>
            </w:r>
            <w:r>
              <w:rPr>
                <w:rFonts w:hint="eastAsia" w:ascii="宋体" w:hAnsi="宋体"/>
                <w:i/>
                <w:iCs/>
                <w:szCs w:val="21"/>
                <w:highlight w:val="none"/>
                <w:lang w:val="en-US" w:eastAsia="zh-CN"/>
              </w:rPr>
              <w:t>本项目不适用</w:t>
            </w:r>
            <w:r>
              <w:rPr>
                <w:rFonts w:hint="eastAsia" w:ascii="宋体" w:hAnsi="宋体"/>
                <w:i/>
                <w:iCs/>
                <w:szCs w:val="21"/>
                <w:highlight w:val="none"/>
              </w:rPr>
              <w:t>）</w:t>
            </w:r>
          </w:p>
        </w:tc>
        <w:tc>
          <w:tcPr>
            <w:tcW w:w="6740"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szCs w:val="21"/>
                <w:highlight w:val="none"/>
              </w:rPr>
            </w:pPr>
            <w:r>
              <w:rPr>
                <w:rFonts w:hint="eastAsia" w:ascii="宋体" w:hAnsi="宋体"/>
                <w:szCs w:val="21"/>
                <w:highlight w:val="none"/>
              </w:rPr>
              <w:t>（1）小型和微型企业价格扣除：</w:t>
            </w:r>
            <w:r>
              <w:rPr>
                <w:rFonts w:hint="eastAsia" w:ascii="宋体" w:hAnsi="宋体"/>
                <w:szCs w:val="21"/>
                <w:highlight w:val="none"/>
                <w:lang w:val="en-US" w:eastAsia="zh-CN"/>
              </w:rPr>
              <w:t>10</w:t>
            </w:r>
            <w:r>
              <w:rPr>
                <w:rFonts w:ascii="宋体" w:hAnsi="宋体"/>
                <w:szCs w:val="21"/>
                <w:highlight w:val="none"/>
              </w:rPr>
              <w:t xml:space="preserve"> </w:t>
            </w:r>
            <w:r>
              <w:rPr>
                <w:rFonts w:hint="eastAsia" w:ascii="宋体" w:hAnsi="宋体"/>
                <w:szCs w:val="21"/>
                <w:highlight w:val="none"/>
              </w:rPr>
              <w:t xml:space="preserve">%。 </w:t>
            </w:r>
          </w:p>
          <w:p>
            <w:pPr>
              <w:spacing w:line="420" w:lineRule="exact"/>
              <w:jc w:val="left"/>
              <w:rPr>
                <w:rFonts w:ascii="宋体" w:hAnsi="宋体"/>
                <w:szCs w:val="21"/>
                <w:highlight w:val="none"/>
              </w:rPr>
            </w:pPr>
            <w:r>
              <w:rPr>
                <w:rFonts w:hint="eastAsia" w:ascii="宋体" w:hAnsi="宋体"/>
                <w:szCs w:val="21"/>
                <w:highlight w:val="none"/>
              </w:rPr>
              <w:t>（2）监狱企业价格扣除:同小型和微型企业。</w:t>
            </w:r>
          </w:p>
          <w:p>
            <w:pPr>
              <w:spacing w:line="420" w:lineRule="exact"/>
              <w:jc w:val="left"/>
              <w:rPr>
                <w:rFonts w:ascii="宋体" w:hAns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）残疾人福利性单位价格扣除：同小型和微型企业。</w:t>
            </w:r>
          </w:p>
          <w:p>
            <w:pPr>
              <w:spacing w:line="420" w:lineRule="exact"/>
              <w:jc w:val="left"/>
              <w:rPr>
                <w:rFonts w:ascii="宋体" w:hAnsi="宋体"/>
                <w:szCs w:val="21"/>
                <w:highlight w:val="none"/>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）符合条件的联合体价格扣除:</w:t>
            </w:r>
            <w:r>
              <w:rPr>
                <w:rFonts w:ascii="宋体" w:hAnsi="宋体"/>
                <w:szCs w:val="21"/>
                <w:highlight w:val="none"/>
              </w:rPr>
              <w:t>/</w:t>
            </w:r>
            <w:r>
              <w:rPr>
                <w:rFonts w:hint="eastAsia" w:ascii="宋体" w:hAnsi="宋体"/>
                <w:szCs w:val="21"/>
                <w:highlight w:val="none"/>
              </w:rPr>
              <w:t>。</w:t>
            </w:r>
          </w:p>
          <w:p>
            <w:pPr>
              <w:spacing w:line="480" w:lineRule="exact"/>
              <w:rPr>
                <w:rFonts w:ascii="宋体" w:hAnsi="宋体"/>
                <w:szCs w:val="21"/>
                <w:highlight w:val="none"/>
              </w:rPr>
            </w:pP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）符合条件的向小微企业分包的大中型企业价格扣除:</w:t>
            </w:r>
            <w:r>
              <w:rPr>
                <w:rFonts w:ascii="宋体" w:hAnsi="宋体"/>
                <w:szCs w:val="21"/>
                <w:highlight w:val="none"/>
              </w:rPr>
              <w:t>/</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hAnsi="宋体"/>
                <w:szCs w:val="21"/>
                <w:highlight w:val="none"/>
              </w:rPr>
            </w:pPr>
            <w:r>
              <w:rPr>
                <w:rFonts w:ascii="宋体" w:hAnsi="宋体"/>
                <w:szCs w:val="21"/>
                <w:highlight w:val="none"/>
              </w:rPr>
              <w:t>2</w:t>
            </w:r>
            <w:r>
              <w:rPr>
                <w:rFonts w:hint="eastAsia" w:ascii="宋体" w:hAnsi="宋体"/>
                <w:szCs w:val="21"/>
                <w:highlight w:val="none"/>
                <w:lang w:val="en-US" w:eastAsia="zh-CN"/>
              </w:rPr>
              <w:t>4</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成交通知书发出的形式</w:t>
            </w:r>
          </w:p>
        </w:tc>
        <w:tc>
          <w:tcPr>
            <w:tcW w:w="6740"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default" w:ascii="宋体" w:hAnsi="宋体" w:eastAsia="宋体"/>
                <w:szCs w:val="21"/>
                <w:highlight w:val="none"/>
                <w:lang w:val="en-US" w:eastAsia="zh-CN"/>
              </w:rPr>
            </w:pPr>
            <w:r>
              <w:rPr>
                <w:rFonts w:hint="eastAsia" w:ascii="宋体" w:hAnsi="宋体"/>
                <w:szCs w:val="21"/>
                <w:highlight w:val="none"/>
                <w:lang w:val="en-US" w:eastAsia="zh-CN"/>
              </w:rPr>
              <w:t>数据电文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highlight w:val="none"/>
                <w:lang w:val="en-US" w:eastAsia="zh-CN"/>
              </w:rPr>
            </w:pPr>
            <w:r>
              <w:rPr>
                <w:rFonts w:hint="eastAsia" w:ascii="宋体"/>
                <w:szCs w:val="21"/>
                <w:highlight w:val="none"/>
                <w:lang w:val="en-US" w:eastAsia="zh-CN"/>
              </w:rPr>
              <w:t>25</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szCs w:val="21"/>
                <w:highlight w:val="none"/>
              </w:rPr>
              <w:t>履约保证金</w:t>
            </w:r>
          </w:p>
        </w:tc>
        <w:tc>
          <w:tcPr>
            <w:tcW w:w="6740" w:type="dxa"/>
            <w:tcBorders>
              <w:top w:val="single" w:color="auto" w:sz="4" w:space="0"/>
              <w:left w:val="single" w:color="auto" w:sz="4" w:space="0"/>
              <w:bottom w:val="single" w:color="auto" w:sz="4" w:space="0"/>
            </w:tcBorders>
            <w:vAlign w:val="center"/>
          </w:tcPr>
          <w:p>
            <w:pPr>
              <w:spacing w:line="480" w:lineRule="exact"/>
              <w:rPr>
                <w:rFonts w:hint="eastAsia" w:ascii="宋体" w:hAnsi="宋体"/>
                <w:szCs w:val="21"/>
                <w:highlight w:val="none"/>
              </w:rPr>
            </w:pPr>
            <w:r>
              <w:rPr>
                <w:rFonts w:hint="eastAsia" w:ascii="宋体" w:hAnsi="宋体"/>
                <w:szCs w:val="21"/>
                <w:highlight w:val="none"/>
              </w:rPr>
              <w:t>是否要求</w:t>
            </w:r>
            <w:r>
              <w:rPr>
                <w:rFonts w:hint="eastAsia" w:ascii="宋体" w:hAnsi="宋体"/>
                <w:szCs w:val="21"/>
                <w:highlight w:val="none"/>
                <w:lang w:val="en-US" w:eastAsia="zh-CN"/>
              </w:rPr>
              <w:t>成交</w:t>
            </w:r>
            <w:r>
              <w:rPr>
                <w:rFonts w:hint="eastAsia" w:ascii="宋体" w:hAnsi="宋体"/>
                <w:szCs w:val="21"/>
                <w:highlight w:val="none"/>
              </w:rPr>
              <w:t>人提交履约保证金：</w:t>
            </w:r>
          </w:p>
          <w:p>
            <w:pPr>
              <w:spacing w:line="480" w:lineRule="exact"/>
              <w:rPr>
                <w:rFonts w:hint="eastAsia" w:ascii="宋体" w:hAnsi="宋体"/>
                <w:szCs w:val="21"/>
                <w:highlight w:val="none"/>
              </w:rPr>
            </w:pPr>
            <w:r>
              <w:rPr>
                <w:rFonts w:hint="eastAsia" w:ascii="宋体" w:hAnsi="宋体"/>
                <w:szCs w:val="21"/>
                <w:highlight w:val="none"/>
              </w:rPr>
              <w:t>□不要求 ☑要求</w:t>
            </w:r>
          </w:p>
          <w:p>
            <w:pPr>
              <w:spacing w:line="480" w:lineRule="exact"/>
              <w:rPr>
                <w:rFonts w:hint="eastAsia" w:ascii="宋体" w:hAnsi="宋体"/>
                <w:szCs w:val="21"/>
                <w:highlight w:val="none"/>
              </w:rPr>
            </w:pPr>
            <w:r>
              <w:rPr>
                <w:rFonts w:hint="eastAsia" w:ascii="宋体" w:hAnsi="宋体"/>
                <w:szCs w:val="21"/>
                <w:highlight w:val="none"/>
              </w:rPr>
              <w:t>(1)履约保证金的金额；</w:t>
            </w:r>
            <w:r>
              <w:rPr>
                <w:rFonts w:hint="eastAsia" w:ascii="宋体" w:hAnsi="宋体"/>
                <w:szCs w:val="21"/>
                <w:highlight w:val="none"/>
                <w:lang w:val="en-US" w:eastAsia="zh-CN"/>
              </w:rPr>
              <w:t>成交价的2%</w:t>
            </w:r>
            <w:r>
              <w:rPr>
                <w:rFonts w:hint="eastAsia" w:ascii="宋体" w:hAnsi="宋体"/>
                <w:szCs w:val="21"/>
                <w:highlight w:val="none"/>
              </w:rPr>
              <w:t>；</w:t>
            </w:r>
          </w:p>
          <w:p>
            <w:pPr>
              <w:spacing w:line="480" w:lineRule="exact"/>
              <w:rPr>
                <w:rFonts w:hint="eastAsia" w:ascii="宋体" w:hAnsi="宋体"/>
                <w:szCs w:val="21"/>
                <w:highlight w:val="none"/>
              </w:rPr>
            </w:pPr>
            <w:r>
              <w:rPr>
                <w:rFonts w:hint="eastAsia" w:ascii="宋体" w:hAnsi="宋体"/>
                <w:szCs w:val="21"/>
                <w:highlight w:val="none"/>
              </w:rPr>
              <w:t>(2)履约保证金的形式：可以为银行转账、银行电汇；银行保函、担保机构担保、保证保险。</w:t>
            </w:r>
          </w:p>
          <w:p>
            <w:pPr>
              <w:spacing w:line="480" w:lineRule="exact"/>
              <w:rPr>
                <w:rFonts w:ascii="宋体"/>
                <w:szCs w:val="21"/>
                <w:highlight w:val="none"/>
              </w:rPr>
            </w:pPr>
            <w:r>
              <w:rPr>
                <w:rFonts w:hint="eastAsia" w:ascii="宋体" w:hAnsi="宋体"/>
                <w:szCs w:val="21"/>
                <w:highlight w:val="none"/>
              </w:rPr>
              <w:t>(3)提交时限：</w:t>
            </w:r>
            <w:r>
              <w:rPr>
                <w:rFonts w:hint="eastAsia" w:ascii="宋体" w:hAnsi="宋体"/>
                <w:szCs w:val="21"/>
                <w:highlight w:val="none"/>
                <w:lang w:val="en-US" w:eastAsia="zh-CN"/>
              </w:rPr>
              <w:t>成交</w:t>
            </w:r>
            <w:r>
              <w:rPr>
                <w:rFonts w:hint="eastAsia" w:ascii="宋体" w:hAnsi="宋体"/>
                <w:szCs w:val="21"/>
                <w:highlight w:val="none"/>
              </w:rPr>
              <w:t>人在合同签订前应按</w:t>
            </w:r>
            <w:r>
              <w:rPr>
                <w:rFonts w:hint="eastAsia" w:ascii="宋体" w:hAnsi="宋体"/>
                <w:szCs w:val="21"/>
                <w:highlight w:val="none"/>
                <w:lang w:val="en-US" w:eastAsia="zh-CN"/>
              </w:rPr>
              <w:t>磋商</w:t>
            </w:r>
            <w:r>
              <w:rPr>
                <w:rFonts w:hint="eastAsia" w:ascii="宋体" w:hAnsi="宋体"/>
                <w:szCs w:val="21"/>
                <w:highlight w:val="none"/>
              </w:rPr>
              <w:t>文件要求提交履约担保。若中标人未按规定提交履约担保的，招标人可</w:t>
            </w:r>
            <w:r>
              <w:rPr>
                <w:rFonts w:hint="eastAsia" w:ascii="宋体" w:hAnsi="宋体"/>
                <w:szCs w:val="21"/>
                <w:highlight w:val="none"/>
                <w:lang w:val="en-US" w:eastAsia="zh-CN"/>
              </w:rPr>
              <w:t>取</w:t>
            </w:r>
            <w:r>
              <w:rPr>
                <w:rFonts w:hint="eastAsia" w:ascii="宋体" w:hAnsi="宋体"/>
                <w:szCs w:val="21"/>
                <w:highlight w:val="none"/>
              </w:rPr>
              <w:t>消其</w:t>
            </w:r>
            <w:r>
              <w:rPr>
                <w:rFonts w:hint="eastAsia" w:ascii="宋体" w:hAnsi="宋体"/>
                <w:szCs w:val="21"/>
                <w:highlight w:val="none"/>
                <w:lang w:val="en-US" w:eastAsia="zh-CN"/>
              </w:rPr>
              <w:t>成交</w:t>
            </w:r>
            <w:r>
              <w:rPr>
                <w:rFonts w:hint="eastAsia" w:ascii="宋体" w:hAnsi="宋体"/>
                <w:szCs w:val="21"/>
                <w:highlight w:val="none"/>
              </w:rPr>
              <w:t>资格</w:t>
            </w:r>
            <w:r>
              <w:rPr>
                <w:rFonts w:hint="eastAsia" w:ascii="宋体" w:hAnsi="宋体"/>
                <w:szCs w:val="21"/>
                <w:highlight w:val="none"/>
                <w:lang w:eastAsia="zh-CN"/>
              </w:rPr>
              <w:t>，</w:t>
            </w:r>
            <w:r>
              <w:rPr>
                <w:rFonts w:hint="eastAsia" w:ascii="宋体" w:hAnsi="宋体"/>
                <w:szCs w:val="21"/>
                <w:highlight w:val="none"/>
              </w:rPr>
              <w:t>并保留进一步追偿的权利。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26</w:t>
            </w:r>
          </w:p>
        </w:tc>
        <w:tc>
          <w:tcPr>
            <w:tcW w:w="1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安全文明要求</w:t>
            </w:r>
          </w:p>
        </w:tc>
        <w:tc>
          <w:tcPr>
            <w:tcW w:w="6740" w:type="dxa"/>
            <w:tcBorders>
              <w:top w:val="single" w:color="auto" w:sz="4" w:space="0"/>
              <w:left w:val="single" w:color="auto" w:sz="4" w:space="0"/>
              <w:bottom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执行国家、省、市现行相关规定，确保安全文明施工</w:t>
            </w:r>
            <w:r>
              <w:rPr>
                <w:rFonts w:hint="eastAsia" w:ascii="宋体" w:hAnsi="宋体" w:eastAsia="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27</w:t>
            </w:r>
          </w:p>
        </w:tc>
        <w:tc>
          <w:tcPr>
            <w:tcW w:w="1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总包及分包规定</w:t>
            </w:r>
          </w:p>
        </w:tc>
        <w:tc>
          <w:tcPr>
            <w:tcW w:w="6740"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不得在</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后将工程转包给其它施工单位。如需专业分包，分包项目、内容、分包商、分包合同须报监理单位确认，经</w:t>
            </w:r>
            <w:r>
              <w:rPr>
                <w:rFonts w:hint="eastAsia" w:ascii="宋体" w:hAnsi="宋体" w:cs="宋体"/>
                <w:color w:val="auto"/>
                <w:szCs w:val="21"/>
                <w:highlight w:val="none"/>
                <w:lang w:eastAsia="zh-CN"/>
              </w:rPr>
              <w:t>发包人</w:t>
            </w:r>
            <w:r>
              <w:rPr>
                <w:rFonts w:hint="eastAsia" w:ascii="宋体" w:hAnsi="宋体" w:cs="宋体"/>
                <w:color w:val="auto"/>
                <w:szCs w:val="21"/>
                <w:highlight w:val="none"/>
              </w:rPr>
              <w:t>同意后方可实施。</w:t>
            </w:r>
          </w:p>
          <w:p>
            <w:pPr>
              <w:keepNext w:val="0"/>
              <w:keepLines w:val="0"/>
              <w:suppressLineNumbers w:val="0"/>
              <w:spacing w:before="0" w:beforeAutospacing="0" w:after="0" w:afterAutospacing="0" w:line="420" w:lineRule="exact"/>
              <w:ind w:left="0" w:leftChars="0" w:right="0" w:rightChars="0"/>
              <w:rPr>
                <w:rFonts w:hint="eastAsia" w:ascii="宋体" w:hAnsi="宋体" w:eastAsia="宋体" w:cs="宋体"/>
                <w:color w:val="auto"/>
                <w:kern w:val="2"/>
                <w:sz w:val="21"/>
                <w:highlight w:val="none"/>
                <w:lang w:val="en-US" w:eastAsia="zh-CN" w:bidi="ar-SA"/>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依据《政府采购促进中小企业发展管理办法》（财库[2020]46号）规定享受扶持政策获得政府采购合同的，小微企业不得将合同分包给大中型企业，中型企业不得将合同分包给大型企业</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28</w:t>
            </w:r>
          </w:p>
        </w:tc>
        <w:tc>
          <w:tcPr>
            <w:tcW w:w="1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现场条件</w:t>
            </w:r>
          </w:p>
        </w:tc>
        <w:tc>
          <w:tcPr>
            <w:tcW w:w="6740" w:type="dxa"/>
            <w:tcBorders>
              <w:top w:val="single" w:color="auto" w:sz="4" w:space="0"/>
              <w:left w:val="single" w:color="auto" w:sz="4" w:space="0"/>
              <w:bottom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具备开工条件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29</w:t>
            </w:r>
          </w:p>
        </w:tc>
        <w:tc>
          <w:tcPr>
            <w:tcW w:w="1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农民工工资</w:t>
            </w:r>
            <w:r>
              <w:rPr>
                <w:rFonts w:hint="eastAsia" w:ascii="宋体" w:hAnsi="宋体" w:eastAsia="宋体" w:cs="宋体"/>
                <w:color w:val="auto"/>
                <w:highlight w:val="none"/>
                <w:lang w:eastAsia="zh-CN"/>
              </w:rPr>
              <w:t>要求</w:t>
            </w:r>
          </w:p>
        </w:tc>
        <w:tc>
          <w:tcPr>
            <w:tcW w:w="6740" w:type="dxa"/>
            <w:tcBorders>
              <w:top w:val="single" w:color="auto" w:sz="4" w:space="0"/>
              <w:left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textAlignment w:val="auto"/>
              <w:rPr>
                <w:rFonts w:hint="eastAsia"/>
                <w:lang w:val="en-US" w:eastAsia="zh-CN"/>
              </w:rPr>
            </w:pPr>
            <w:r>
              <w:rPr>
                <w:rFonts w:hint="eastAsia"/>
                <w:lang w:eastAsia="zh-CN"/>
              </w:rPr>
              <w:t>供应商</w:t>
            </w:r>
            <w:r>
              <w:rPr>
                <w:rFonts w:hint="eastAsia"/>
              </w:rPr>
              <w:t>一旦</w:t>
            </w:r>
            <w:r>
              <w:rPr>
                <w:rFonts w:hint="eastAsia"/>
                <w:lang w:eastAsia="zh-CN"/>
              </w:rPr>
              <w:t>成交</w:t>
            </w:r>
            <w:r>
              <w:rPr>
                <w:rFonts w:hint="eastAsia"/>
              </w:rPr>
              <w:t>，必须严格执行《安庆市人民政府办公室关于印发安庆市工程建设领域农民工工资专用账户和工程款分账管理办法的通知》</w:t>
            </w:r>
            <w:r>
              <w:rPr>
                <w:rFonts w:hint="eastAsia"/>
                <w:lang w:eastAsia="zh-CN"/>
              </w:rPr>
              <w:t>（宜政办秘〔2021〕17号）</w:t>
            </w:r>
            <w:r>
              <w:rPr>
                <w:rFonts w:hint="eastAsia"/>
              </w:rPr>
              <w:t>的规定。</w:t>
            </w:r>
            <w:r>
              <w:rPr>
                <w:rFonts w:hint="eastAsia"/>
                <w:lang w:val="en-US" w:eastAsia="zh-CN"/>
              </w:rPr>
              <w:t>按安庆市相关规定使用“安庆市农民工工资支付监管系统”，及时足额拨付工资性工程款进入农民工工资专用账户。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textAlignment w:val="auto"/>
              <w:rPr>
                <w:rFonts w:hint="eastAsia"/>
                <w:lang w:val="en-US" w:eastAsia="zh-CN"/>
              </w:rPr>
            </w:pPr>
            <w:r>
              <w:rPr>
                <w:rFonts w:hint="eastAsia"/>
                <w:lang w:val="en-US" w:eastAsia="zh-CN"/>
              </w:rPr>
              <w:t>施工总承包企业要按照《安徽省工程建设领域农民工工资保证  金实施办法》(皖人社发〔2022〕8号)等文件要求，缴纳农民工工资保证金，支持采用银行保函、担保保函、保证保险等方式缴纳。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30</w:t>
            </w:r>
          </w:p>
        </w:tc>
        <w:tc>
          <w:tcPr>
            <w:tcW w:w="1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人员到岗</w:t>
            </w:r>
          </w:p>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及履约要求</w:t>
            </w:r>
          </w:p>
        </w:tc>
        <w:tc>
          <w:tcPr>
            <w:tcW w:w="6740" w:type="dxa"/>
            <w:tcBorders>
              <w:top w:val="single" w:color="auto" w:sz="4" w:space="0"/>
              <w:left w:val="single" w:color="auto" w:sz="4" w:space="0"/>
              <w:bottom w:val="single" w:color="auto" w:sz="4" w:space="0"/>
            </w:tcBorders>
            <w:vAlign w:val="center"/>
          </w:tcPr>
          <w:p>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00" w:firstLineChars="0"/>
              <w:textAlignment w:val="auto"/>
              <w:rPr>
                <w:rFonts w:hint="eastAsia" w:ascii="宋体" w:hAnsi="宋体" w:eastAsia="宋体" w:cs="宋体"/>
                <w:color w:val="auto"/>
                <w:highlight w:val="none"/>
              </w:rPr>
            </w:pPr>
            <w:r>
              <w:rPr>
                <w:rFonts w:hint="eastAsia" w:ascii="宋体" w:hAnsi="宋体" w:cs="宋体"/>
                <w:color w:val="auto"/>
                <w:highlight w:val="none"/>
                <w:lang w:eastAsia="zh-CN"/>
              </w:rPr>
              <w:t>供应商</w:t>
            </w:r>
            <w:r>
              <w:rPr>
                <w:rFonts w:hint="eastAsia" w:ascii="宋体" w:hAnsi="宋体" w:eastAsia="宋体" w:cs="宋体"/>
                <w:color w:val="auto"/>
                <w:highlight w:val="none"/>
              </w:rPr>
              <w:t>一旦</w:t>
            </w:r>
            <w:r>
              <w:rPr>
                <w:rFonts w:hint="eastAsia" w:ascii="宋体" w:hAnsi="宋体" w:cs="宋体"/>
                <w:color w:val="auto"/>
                <w:highlight w:val="none"/>
                <w:lang w:eastAsia="zh-CN"/>
              </w:rPr>
              <w:t>成交</w:t>
            </w:r>
            <w:r>
              <w:rPr>
                <w:rFonts w:hint="eastAsia" w:ascii="宋体" w:hAnsi="宋体" w:eastAsia="宋体" w:cs="宋体"/>
                <w:color w:val="auto"/>
                <w:highlight w:val="none"/>
              </w:rPr>
              <w:t>，所派本</w:t>
            </w:r>
            <w:r>
              <w:rPr>
                <w:rFonts w:hint="eastAsia" w:ascii="宋体" w:hAnsi="宋体" w:eastAsia="宋体" w:cs="宋体"/>
                <w:color w:val="auto"/>
                <w:highlight w:val="none"/>
                <w:lang w:eastAsia="zh-CN"/>
              </w:rPr>
              <w:t>工程</w:t>
            </w:r>
            <w:r>
              <w:rPr>
                <w:rFonts w:hint="eastAsia" w:ascii="宋体" w:hAnsi="宋体" w:eastAsia="宋体" w:cs="宋体"/>
                <w:color w:val="auto"/>
                <w:highlight w:val="none"/>
              </w:rPr>
              <w:t>的项目经理、项目部关键岗位其他人员等在整个项目施工期内必须按合同约定在岗履职，否则发包人有权终止合同。由此造成的损失，</w:t>
            </w:r>
            <w:r>
              <w:rPr>
                <w:rFonts w:hint="eastAsia" w:ascii="宋体" w:hAnsi="宋体" w:eastAsia="宋体" w:cs="宋体"/>
                <w:color w:val="auto"/>
                <w:highlight w:val="none"/>
                <w:lang w:val="en-US" w:eastAsia="zh-CN"/>
              </w:rPr>
              <w:t>承包人</w:t>
            </w:r>
            <w:r>
              <w:rPr>
                <w:rFonts w:hint="eastAsia" w:ascii="宋体" w:hAnsi="宋体" w:eastAsia="宋体" w:cs="宋体"/>
                <w:color w:val="auto"/>
                <w:highlight w:val="none"/>
              </w:rPr>
              <w:t>自行承担并赔偿可能给</w:t>
            </w:r>
            <w:r>
              <w:rPr>
                <w:rFonts w:hint="eastAsia" w:ascii="宋体" w:hAnsi="宋体" w:eastAsia="宋体" w:cs="宋体"/>
                <w:color w:val="auto"/>
                <w:highlight w:val="none"/>
                <w:lang w:eastAsia="zh-CN"/>
              </w:rPr>
              <w:t>发包人</w:t>
            </w:r>
            <w:r>
              <w:rPr>
                <w:rFonts w:hint="eastAsia" w:ascii="宋体" w:hAnsi="宋体" w:eastAsia="宋体" w:cs="宋体"/>
                <w:color w:val="auto"/>
                <w:highlight w:val="none"/>
              </w:rPr>
              <w:t>造成的损失。</w:t>
            </w:r>
          </w:p>
          <w:p>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00" w:firstLineChars="0"/>
              <w:textAlignment w:val="auto"/>
              <w:rPr>
                <w:rFonts w:hint="eastAsia" w:ascii="宋体" w:hAnsi="宋体" w:eastAsia="宋体" w:cs="宋体"/>
                <w:color w:val="auto"/>
                <w:highlight w:val="none"/>
              </w:rPr>
            </w:pPr>
            <w:r>
              <w:rPr>
                <w:rFonts w:hint="eastAsia" w:ascii="宋体" w:hAnsi="宋体" w:cs="宋体"/>
                <w:color w:val="auto"/>
                <w:highlight w:val="none"/>
                <w:lang w:eastAsia="zh-CN"/>
              </w:rPr>
              <w:t>成交人</w:t>
            </w:r>
            <w:r>
              <w:rPr>
                <w:rFonts w:hint="eastAsia" w:ascii="宋体" w:hAnsi="宋体" w:eastAsia="宋体" w:cs="宋体"/>
                <w:color w:val="auto"/>
                <w:highlight w:val="none"/>
              </w:rPr>
              <w:t>（承包人）不得擅自更换投标时所报项目经理、技术负责人。项目经理、技术负责人的变更应经发包人、监理单位、建设行政主管部门和</w:t>
            </w:r>
            <w:r>
              <w:rPr>
                <w:rFonts w:hint="eastAsia" w:ascii="宋体" w:hAnsi="宋体" w:cs="宋体"/>
                <w:color w:val="auto"/>
                <w:highlight w:val="none"/>
                <w:lang w:val="en-US" w:eastAsia="zh-CN"/>
              </w:rPr>
              <w:t>公共资源交易</w:t>
            </w:r>
            <w:r>
              <w:rPr>
                <w:rFonts w:hint="eastAsia" w:ascii="宋体" w:hAnsi="宋体" w:eastAsia="宋体" w:cs="宋体"/>
                <w:color w:val="auto"/>
                <w:highlight w:val="none"/>
              </w:rPr>
              <w:t>监督部门同意后，方可办理变更，且变更后的项目经理、技术负责人的执业资格、业绩等不应低于原</w:t>
            </w:r>
            <w:r>
              <w:rPr>
                <w:rFonts w:hint="eastAsia" w:ascii="宋体" w:hAnsi="宋体" w:cs="宋体"/>
                <w:color w:val="auto"/>
                <w:highlight w:val="none"/>
                <w:lang w:eastAsia="zh-CN"/>
              </w:rPr>
              <w:t>磋商文件</w:t>
            </w:r>
            <w:r>
              <w:rPr>
                <w:rFonts w:hint="eastAsia" w:ascii="宋体" w:hAnsi="宋体" w:eastAsia="宋体" w:cs="宋体"/>
                <w:color w:val="auto"/>
                <w:highlight w:val="none"/>
              </w:rPr>
              <w:t>要求。</w:t>
            </w:r>
          </w:p>
          <w:p>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00" w:firstLineChars="0"/>
              <w:textAlignment w:val="auto"/>
              <w:rPr>
                <w:rFonts w:hint="eastAsia" w:ascii="宋体" w:hAnsi="宋体" w:eastAsia="宋体" w:cs="宋体"/>
                <w:color w:val="auto"/>
                <w:kern w:val="2"/>
                <w:sz w:val="21"/>
                <w:highlight w:val="none"/>
                <w:lang w:val="en-US" w:eastAsia="zh-CN" w:bidi="ar-SA"/>
              </w:rPr>
            </w:pPr>
            <w:r>
              <w:rPr>
                <w:rFonts w:hint="eastAsia" w:ascii="宋体" w:hAnsi="宋体" w:cs="宋体"/>
                <w:color w:val="auto"/>
                <w:highlight w:val="none"/>
                <w:lang w:val="en-US" w:eastAsia="zh-CN"/>
              </w:rPr>
              <w:t>成交人</w:t>
            </w:r>
            <w:r>
              <w:rPr>
                <w:rFonts w:hint="eastAsia" w:ascii="宋体" w:hAnsi="宋体" w:eastAsia="宋体" w:cs="宋体"/>
                <w:color w:val="auto"/>
                <w:highlight w:val="none"/>
                <w:lang w:val="en-US" w:eastAsia="zh-CN"/>
              </w:rPr>
              <w:t>在开工前组建的施工项目管理机构，要符合住房城乡建设部及安徽省相关标准规定。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31</w:t>
            </w:r>
          </w:p>
        </w:tc>
        <w:tc>
          <w:tcPr>
            <w:tcW w:w="1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rPr>
              <w:t>材料要求</w:t>
            </w:r>
          </w:p>
        </w:tc>
        <w:tc>
          <w:tcPr>
            <w:tcW w:w="6740" w:type="dxa"/>
            <w:tcBorders>
              <w:top w:val="single" w:color="auto" w:sz="4" w:space="0"/>
              <w:left w:val="single" w:color="auto" w:sz="4" w:space="0"/>
              <w:bottom w:val="single" w:color="auto" w:sz="4" w:space="0"/>
            </w:tcBorders>
            <w:vAlign w:val="center"/>
          </w:tcPr>
          <w:p>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03"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除发包人提供的材料、设备外，凡属承包范围内的所有材料、设备均由</w:t>
            </w:r>
            <w:r>
              <w:rPr>
                <w:rFonts w:hint="eastAsia" w:ascii="宋体" w:hAnsi="宋体" w:eastAsia="宋体" w:cs="宋体"/>
                <w:color w:val="auto"/>
                <w:highlight w:val="none"/>
                <w:lang w:val="en-US" w:eastAsia="zh-CN"/>
              </w:rPr>
              <w:t>承包人</w:t>
            </w:r>
            <w:r>
              <w:rPr>
                <w:rFonts w:hint="eastAsia" w:ascii="宋体" w:hAnsi="宋体" w:eastAsia="宋体" w:cs="宋体"/>
                <w:color w:val="auto"/>
                <w:highlight w:val="none"/>
              </w:rPr>
              <w:t>自行采购</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承包人必须选用</w:t>
            </w:r>
            <w:r>
              <w:rPr>
                <w:rFonts w:hint="eastAsia" w:ascii="宋体" w:hAnsi="宋体" w:eastAsia="宋体" w:cs="宋体"/>
                <w:color w:val="auto"/>
                <w:highlight w:val="none"/>
                <w:lang w:eastAsia="zh-CN"/>
              </w:rPr>
              <w:t>合格产品</w:t>
            </w:r>
            <w:r>
              <w:rPr>
                <w:rFonts w:hint="eastAsia" w:ascii="宋体" w:hAnsi="宋体" w:eastAsia="宋体" w:cs="宋体"/>
                <w:color w:val="auto"/>
                <w:highlight w:val="none"/>
              </w:rPr>
              <w:t>并经发包人同意。</w:t>
            </w:r>
          </w:p>
          <w:p>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03"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承包人对本工程的主要材料、设备及供应的厂商，须进行资格和品牌的认定，在采购前应将供应商的有关资料（如质保书、生产许可证等或备案要求）报监理单位审查，并经发包人批准后方可采购。否则，发包人有权不予验收进场，由此造成的损失由承包人自负，工期不予顺延。</w:t>
            </w:r>
          </w:p>
          <w:p>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03"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由承包人实施采购的工程主要设备和材料由承包人实施，品牌、规格等须经发包人认可签字后方可进行采购，承包人采购计划应提前报发包人审定。因承包人资源投入不足，直接影响工程质量和工期，且无视监理工程师的警告而不做改进，从而引起工程的质量、进度和材料设备准备严重滞后时，发包人有权采取相关措施进行补救，相关措施的费用由承包人承担。</w:t>
            </w:r>
          </w:p>
          <w:p>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03"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若承包人不能提供符合设计要求或合同约定的材料，发包人有权要求承包人停止采购，已经采购进场的勒令其退场，由此所造成的一切损失或发生的费用由承包人承担。</w:t>
            </w:r>
          </w:p>
          <w:p>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420" w:lineRule="exact"/>
              <w:ind w:left="0" w:leftChars="0" w:right="0" w:firstLine="403" w:firstLineChars="0"/>
              <w:textAlignment w:val="auto"/>
              <w:rPr>
                <w:rFonts w:hint="eastAsia" w:ascii="宋体" w:hAnsi="宋体" w:eastAsia="宋体" w:cs="宋体"/>
                <w:color w:val="auto"/>
                <w:highlight w:val="none"/>
              </w:rPr>
            </w:pPr>
            <w:r>
              <w:rPr>
                <w:rFonts w:hint="eastAsia" w:ascii="宋体" w:hAnsi="宋体" w:cs="宋体"/>
                <w:color w:val="auto"/>
                <w:highlight w:val="none"/>
                <w:lang w:eastAsia="zh-CN"/>
              </w:rPr>
              <w:t>磋商文件</w:t>
            </w:r>
            <w:r>
              <w:rPr>
                <w:rFonts w:hint="eastAsia" w:ascii="宋体" w:hAnsi="宋体" w:eastAsia="宋体" w:cs="宋体"/>
                <w:color w:val="auto"/>
                <w:highlight w:val="none"/>
              </w:rPr>
              <w:t>中提供的参考商标、品牌或标准是</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人为了方便</w:t>
            </w:r>
            <w:r>
              <w:rPr>
                <w:rFonts w:hint="eastAsia" w:ascii="宋体" w:hAnsi="宋体" w:cs="宋体"/>
                <w:color w:val="auto"/>
                <w:highlight w:val="none"/>
                <w:lang w:eastAsia="zh-CN"/>
              </w:rPr>
              <w:t>供应商</w:t>
            </w:r>
            <w:r>
              <w:rPr>
                <w:rFonts w:hint="eastAsia" w:ascii="宋体" w:hAnsi="宋体" w:eastAsia="宋体" w:cs="宋体"/>
                <w:color w:val="auto"/>
                <w:highlight w:val="none"/>
              </w:rPr>
              <w:t>更明确、更清楚说明拟采购货物的技术规格和标准，并无限制性。</w:t>
            </w:r>
            <w:r>
              <w:rPr>
                <w:rFonts w:hint="eastAsia" w:ascii="宋体" w:hAnsi="宋体" w:eastAsia="宋体" w:cs="宋体"/>
                <w:color w:val="auto"/>
                <w:highlight w:val="none"/>
                <w:lang w:eastAsia="zh-CN"/>
              </w:rPr>
              <w:t>承包人在施工过程</w:t>
            </w:r>
            <w:r>
              <w:rPr>
                <w:rFonts w:hint="eastAsia" w:ascii="宋体" w:hAnsi="宋体" w:eastAsia="宋体" w:cs="宋体"/>
                <w:color w:val="auto"/>
                <w:highlight w:val="none"/>
              </w:rPr>
              <w:t>中若选用替代商标、品牌或标准，应优于或相当于参考商标、品牌或标准。承包人所选用</w:t>
            </w:r>
            <w:r>
              <w:rPr>
                <w:rFonts w:hint="eastAsia" w:ascii="宋体" w:hAnsi="宋体" w:eastAsia="宋体" w:cs="宋体"/>
                <w:color w:val="auto"/>
                <w:highlight w:val="none"/>
                <w:lang w:eastAsia="zh-CN"/>
              </w:rPr>
              <w:t>产品</w:t>
            </w:r>
            <w:r>
              <w:rPr>
                <w:rFonts w:hint="eastAsia" w:ascii="宋体" w:hAnsi="宋体" w:eastAsia="宋体" w:cs="宋体"/>
                <w:color w:val="auto"/>
                <w:highlight w:val="none"/>
              </w:rPr>
              <w:t>须经发包人同意后方可</w:t>
            </w:r>
            <w:r>
              <w:rPr>
                <w:rFonts w:hint="eastAsia" w:ascii="宋体" w:hAnsi="宋体" w:eastAsia="宋体" w:cs="宋体"/>
                <w:color w:val="auto"/>
                <w:highlight w:val="none"/>
                <w:lang w:eastAsia="zh-CN"/>
              </w:rPr>
              <w:t>使</w:t>
            </w:r>
            <w:r>
              <w:rPr>
                <w:rFonts w:hint="eastAsia" w:ascii="宋体" w:hAnsi="宋体" w:eastAsia="宋体" w:cs="宋体"/>
                <w:color w:val="auto"/>
                <w:highlight w:val="none"/>
              </w:rPr>
              <w:t>用。</w:t>
            </w:r>
          </w:p>
          <w:p>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03" w:firstLineChars="0"/>
              <w:textAlignment w:val="auto"/>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val="en-US" w:eastAsia="zh-CN"/>
              </w:rPr>
              <w:t>根据《安庆市人民政府办公室关于在建设工程中加强预拌砂浆应用工作的通知》（宜政办秘【2016】65号）要求，本项目应使用预拌砂浆，</w:t>
            </w:r>
            <w:r>
              <w:rPr>
                <w:rFonts w:hint="eastAsia" w:ascii="宋体" w:hAnsi="宋体" w:cs="宋体"/>
                <w:color w:val="auto"/>
                <w:highlight w:val="none"/>
                <w:lang w:val="en-US" w:eastAsia="zh-CN"/>
              </w:rPr>
              <w:t>供应商</w:t>
            </w:r>
            <w:r>
              <w:rPr>
                <w:rFonts w:hint="eastAsia" w:ascii="宋体" w:hAnsi="宋体" w:eastAsia="宋体" w:cs="宋体"/>
                <w:color w:val="auto"/>
                <w:highlight w:val="none"/>
                <w:lang w:val="en-US" w:eastAsia="zh-CN"/>
              </w:rPr>
              <w:t>应当将使用预拌砂浆的费用列入</w:t>
            </w:r>
            <w:r>
              <w:rPr>
                <w:rFonts w:hint="eastAsia" w:ascii="宋体" w:hAnsi="宋体" w:cs="宋体"/>
                <w:color w:val="auto"/>
                <w:highlight w:val="none"/>
                <w:lang w:val="en-US" w:eastAsia="zh-CN"/>
              </w:rPr>
              <w:t>磋商</w:t>
            </w:r>
            <w:r>
              <w:rPr>
                <w:rFonts w:hint="eastAsia" w:ascii="宋体" w:hAnsi="宋体" w:eastAsia="宋体" w:cs="宋体"/>
                <w:color w:val="auto"/>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highlight w:val="none"/>
                <w:lang w:val="en-US" w:eastAsia="zh-CN"/>
              </w:rPr>
            </w:pPr>
            <w:r>
              <w:rPr>
                <w:rFonts w:hint="eastAsia" w:ascii="宋体"/>
                <w:szCs w:val="21"/>
                <w:highlight w:val="none"/>
                <w:lang w:val="en-US" w:eastAsia="zh-CN"/>
              </w:rPr>
              <w:t>32</w:t>
            </w:r>
          </w:p>
        </w:tc>
        <w:tc>
          <w:tcPr>
            <w:tcW w:w="1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leftChars="0" w:right="0" w:rightChars="0"/>
              <w:jc w:val="center"/>
              <w:rPr>
                <w:rFonts w:ascii="宋体"/>
                <w:szCs w:val="21"/>
                <w:highlight w:val="none"/>
              </w:rPr>
            </w:pPr>
            <w:r>
              <w:rPr>
                <w:rFonts w:hint="eastAsia" w:ascii="宋体" w:hAnsi="宋体" w:eastAsia="宋体" w:cs="宋体"/>
                <w:color w:val="auto"/>
                <w:highlight w:val="none"/>
              </w:rPr>
              <w:t>费用缴纳</w:t>
            </w:r>
          </w:p>
        </w:tc>
        <w:tc>
          <w:tcPr>
            <w:tcW w:w="6740" w:type="dxa"/>
            <w:tcBorders>
              <w:top w:val="single" w:color="auto" w:sz="4" w:space="0"/>
              <w:left w:val="single" w:color="auto" w:sz="4" w:space="0"/>
              <w:bottom w:val="single" w:color="auto" w:sz="4"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①</w:t>
            </w:r>
            <w:r>
              <w:rPr>
                <w:rFonts w:hint="eastAsia" w:ascii="宋体" w:hAnsi="宋体" w:cs="宋体"/>
                <w:color w:val="auto"/>
                <w:highlight w:val="none"/>
                <w:lang w:val="en-US" w:eastAsia="zh-CN"/>
              </w:rPr>
              <w:t>招标代理费</w:t>
            </w:r>
            <w:r>
              <w:rPr>
                <w:rFonts w:hint="eastAsia" w:ascii="宋体" w:hAnsi="宋体" w:eastAsia="宋体" w:cs="宋体"/>
                <w:color w:val="auto"/>
                <w:highlight w:val="none"/>
              </w:rPr>
              <w:t>按</w:t>
            </w:r>
            <w:r>
              <w:rPr>
                <w:rFonts w:hint="eastAsia" w:ascii="宋体" w:hAnsi="宋体" w:eastAsia="宋体" w:cs="宋体"/>
                <w:b/>
                <w:bCs/>
                <w:color w:val="auto"/>
                <w:highlight w:val="none"/>
                <w:lang w:val="en-US" w:eastAsia="zh-CN"/>
              </w:rPr>
              <w:t>竞争性</w:t>
            </w:r>
            <w:r>
              <w:rPr>
                <w:rFonts w:hint="eastAsia" w:ascii="宋体" w:hAnsi="宋体" w:cs="宋体"/>
                <w:b/>
                <w:bCs/>
                <w:color w:val="auto"/>
                <w:highlight w:val="none"/>
                <w:lang w:val="en-US" w:eastAsia="zh-CN"/>
              </w:rPr>
              <w:t>磋商文件</w:t>
            </w:r>
            <w:r>
              <w:rPr>
                <w:rFonts w:hint="eastAsia" w:ascii="宋体" w:hAnsi="宋体" w:eastAsia="宋体" w:cs="宋体"/>
                <w:color w:val="auto"/>
                <w:highlight w:val="none"/>
                <w:lang w:eastAsia="zh-CN"/>
              </w:rPr>
              <w:t>约</w:t>
            </w:r>
            <w:r>
              <w:rPr>
                <w:rFonts w:hint="eastAsia" w:ascii="宋体" w:hAnsi="宋体" w:eastAsia="宋体" w:cs="宋体"/>
                <w:color w:val="auto"/>
                <w:highlight w:val="none"/>
              </w:rPr>
              <w:t>定收取。</w:t>
            </w:r>
            <w:r>
              <w:rPr>
                <w:rFonts w:hint="eastAsia" w:ascii="宋体" w:hAnsi="宋体" w:cs="宋体"/>
                <w:color w:val="auto"/>
                <w:highlight w:val="none"/>
                <w:lang w:val="en-US" w:eastAsia="zh-CN"/>
              </w:rPr>
              <w:t>该费用由成交人支付，</w:t>
            </w:r>
            <w:r>
              <w:rPr>
                <w:rFonts w:hint="eastAsia" w:ascii="宋体" w:hAnsi="宋体" w:cs="宋体"/>
                <w:color w:val="auto"/>
                <w:highlight w:val="none"/>
                <w:lang w:eastAsia="zh-CN"/>
              </w:rPr>
              <w:t>供应商</w:t>
            </w:r>
            <w:r>
              <w:rPr>
                <w:rFonts w:hint="eastAsia" w:ascii="宋体" w:hAnsi="宋体" w:eastAsia="宋体" w:cs="宋体"/>
                <w:color w:val="auto"/>
                <w:highlight w:val="none"/>
              </w:rPr>
              <w:t>在</w:t>
            </w:r>
            <w:r>
              <w:rPr>
                <w:rFonts w:hint="eastAsia" w:ascii="宋体" w:hAnsi="宋体" w:cs="宋体"/>
                <w:color w:val="auto"/>
                <w:highlight w:val="none"/>
                <w:lang w:eastAsia="zh-CN"/>
              </w:rPr>
              <w:t>磋商报价</w:t>
            </w:r>
            <w:r>
              <w:rPr>
                <w:rFonts w:hint="eastAsia" w:ascii="宋体" w:hAnsi="宋体" w:eastAsia="宋体" w:cs="宋体"/>
                <w:color w:val="auto"/>
                <w:highlight w:val="none"/>
              </w:rPr>
              <w:t>时应考虑此项费用，</w:t>
            </w:r>
            <w:r>
              <w:rPr>
                <w:rFonts w:hint="eastAsia" w:ascii="宋体" w:hAnsi="宋体" w:cs="宋体"/>
                <w:color w:val="auto"/>
                <w:highlight w:val="none"/>
                <w:lang w:eastAsia="zh-CN"/>
              </w:rPr>
              <w:t>采购人</w:t>
            </w:r>
            <w:r>
              <w:rPr>
                <w:rFonts w:hint="eastAsia" w:ascii="宋体" w:hAnsi="宋体" w:eastAsia="宋体" w:cs="宋体"/>
                <w:color w:val="auto"/>
                <w:highlight w:val="none"/>
              </w:rPr>
              <w:t>不再另行支付。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textAlignment w:val="auto"/>
              <w:rPr>
                <w:rFonts w:ascii="宋体"/>
                <w:szCs w:val="21"/>
                <w:highlight w:val="none"/>
              </w:rPr>
            </w:pPr>
            <w:r>
              <w:rPr>
                <w:rFonts w:hint="eastAsia" w:ascii="宋体" w:hAnsi="宋体" w:eastAsia="宋体" w:cs="宋体"/>
                <w:color w:val="auto"/>
                <w:highlight w:val="none"/>
              </w:rPr>
              <w:t>②</w:t>
            </w:r>
            <w:r>
              <w:rPr>
                <w:rFonts w:hint="eastAsia" w:ascii="宋体" w:hAnsi="宋体" w:cs="宋体"/>
                <w:color w:val="auto"/>
                <w:highlight w:val="none"/>
                <w:lang w:eastAsia="zh-CN"/>
              </w:rPr>
              <w:t>成交</w:t>
            </w:r>
            <w:r>
              <w:rPr>
                <w:rFonts w:hint="eastAsia" w:ascii="宋体" w:hAnsi="宋体" w:eastAsia="宋体" w:cs="宋体"/>
                <w:color w:val="auto"/>
                <w:highlight w:val="none"/>
              </w:rPr>
              <w:t>候选人未在规定的期限内缴纳</w:t>
            </w:r>
            <w:r>
              <w:rPr>
                <w:rFonts w:hint="eastAsia" w:ascii="宋体" w:hAnsi="宋体" w:cs="宋体"/>
                <w:color w:val="auto"/>
                <w:highlight w:val="none"/>
                <w:lang w:eastAsia="zh-CN"/>
              </w:rPr>
              <w:t>竞争性磋商文件</w:t>
            </w:r>
            <w:r>
              <w:rPr>
                <w:rFonts w:hint="eastAsia" w:ascii="宋体" w:hAnsi="宋体" w:eastAsia="宋体" w:cs="宋体"/>
                <w:color w:val="auto"/>
                <w:highlight w:val="none"/>
                <w:lang w:eastAsia="zh-CN"/>
              </w:rPr>
              <w:t>约定</w:t>
            </w:r>
            <w:r>
              <w:rPr>
                <w:rFonts w:hint="eastAsia" w:ascii="宋体" w:hAnsi="宋体" w:eastAsia="宋体" w:cs="宋体"/>
                <w:color w:val="auto"/>
                <w:highlight w:val="none"/>
              </w:rPr>
              <w:t>的所有费用的，</w:t>
            </w:r>
            <w:r>
              <w:rPr>
                <w:rFonts w:hint="eastAsia" w:ascii="宋体" w:hAnsi="宋体" w:cs="宋体"/>
                <w:color w:val="auto"/>
                <w:highlight w:val="none"/>
                <w:lang w:eastAsia="zh-CN"/>
              </w:rPr>
              <w:t>采购人</w:t>
            </w:r>
            <w:r>
              <w:rPr>
                <w:rFonts w:hint="eastAsia" w:ascii="宋体" w:hAnsi="宋体" w:eastAsia="宋体" w:cs="宋体"/>
                <w:color w:val="auto"/>
                <w:highlight w:val="none"/>
              </w:rPr>
              <w:t>有权取消其</w:t>
            </w:r>
            <w:r>
              <w:rPr>
                <w:rFonts w:hint="eastAsia" w:ascii="宋体" w:hAnsi="宋体" w:cs="宋体"/>
                <w:color w:val="auto"/>
                <w:highlight w:val="none"/>
                <w:lang w:eastAsia="zh-CN"/>
              </w:rPr>
              <w:t>成交</w:t>
            </w:r>
            <w:r>
              <w:rPr>
                <w:rFonts w:hint="eastAsia" w:ascii="宋体" w:hAnsi="宋体" w:eastAsia="宋体" w:cs="宋体"/>
                <w:color w:val="auto"/>
                <w:highlight w:val="none"/>
              </w:rPr>
              <w:t>资格，并根据相关规定处理。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33</w:t>
            </w:r>
          </w:p>
        </w:tc>
        <w:tc>
          <w:tcPr>
            <w:tcW w:w="1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highlight w:val="none"/>
                <w:lang w:eastAsia="zh-CN"/>
              </w:rPr>
              <w:t>“危大工程”和“超危大工程”</w:t>
            </w:r>
          </w:p>
        </w:tc>
        <w:tc>
          <w:tcPr>
            <w:tcW w:w="6740"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leftChars="0" w:right="0" w:rightChars="0"/>
              <w:jc w:val="left"/>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34</w:t>
            </w:r>
          </w:p>
        </w:tc>
        <w:tc>
          <w:tcPr>
            <w:tcW w:w="1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highlight w:val="none"/>
                <w:lang w:val="en-US" w:eastAsia="zh-CN"/>
              </w:rPr>
              <w:t>扬尘污染防治</w:t>
            </w:r>
          </w:p>
        </w:tc>
        <w:tc>
          <w:tcPr>
            <w:tcW w:w="6740" w:type="dxa"/>
            <w:tcBorders>
              <w:top w:val="single" w:color="auto" w:sz="4" w:space="0"/>
              <w:left w:val="single" w:color="auto" w:sz="4" w:space="0"/>
              <w:bottom w:val="single" w:color="auto" w:sz="4"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本项目</w:t>
            </w:r>
            <w:r>
              <w:rPr>
                <w:rFonts w:hint="eastAsia" w:ascii="宋体" w:hAnsi="宋体" w:cs="宋体"/>
                <w:color w:val="auto"/>
                <w:szCs w:val="21"/>
                <w:highlight w:val="none"/>
                <w:lang w:eastAsia="zh-CN"/>
              </w:rPr>
              <w:t>最高磋商限价</w:t>
            </w:r>
            <w:r>
              <w:rPr>
                <w:rFonts w:hint="eastAsia" w:ascii="宋体" w:hAnsi="宋体" w:eastAsia="宋体" w:cs="宋体"/>
                <w:color w:val="auto"/>
                <w:szCs w:val="21"/>
                <w:highlight w:val="none"/>
                <w:lang w:eastAsia="zh-CN"/>
              </w:rPr>
              <w:t>已计扬尘污染防治费，</w:t>
            </w:r>
            <w:r>
              <w:rPr>
                <w:rFonts w:hint="eastAsia" w:ascii="宋体" w:hAnsi="宋体" w:cs="宋体"/>
                <w:color w:val="auto"/>
                <w:szCs w:val="21"/>
                <w:highlight w:val="none"/>
                <w:lang w:eastAsia="zh-CN"/>
              </w:rPr>
              <w:t>成交人</w:t>
            </w:r>
            <w:r>
              <w:rPr>
                <w:rFonts w:hint="eastAsia" w:ascii="宋体" w:hAnsi="宋体" w:eastAsia="宋体" w:cs="宋体"/>
                <w:color w:val="auto"/>
                <w:szCs w:val="21"/>
                <w:highlight w:val="none"/>
                <w:lang w:eastAsia="zh-CN"/>
              </w:rPr>
              <w:t>应按照建筑工程施工扬尘污染防治相关规定做好扬尘污染防治工作，重点做好现场工地围挡、车辆冲洗、道路和堆场硬化、裸土覆盖（绿化）等抑尘降尘措施。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35</w:t>
            </w:r>
          </w:p>
        </w:tc>
        <w:tc>
          <w:tcPr>
            <w:tcW w:w="1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eastAsia="zh-CN"/>
              </w:rPr>
              <w:t>其他</w:t>
            </w:r>
          </w:p>
        </w:tc>
        <w:tc>
          <w:tcPr>
            <w:tcW w:w="6740" w:type="dxa"/>
            <w:tcBorders>
              <w:top w:val="single" w:color="auto" w:sz="4" w:space="0"/>
              <w:left w:val="single" w:color="auto" w:sz="4" w:space="0"/>
              <w:bottom w:val="single" w:color="auto" w:sz="4"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atLeast"/>
              <w:ind w:left="0" w:right="0" w:firstLine="396" w:firstLineChars="200"/>
              <w:textAlignment w:val="auto"/>
              <w:rPr>
                <w:rFonts w:hint="eastAsia" w:ascii="宋体" w:hAnsi="宋体" w:eastAsia="宋体" w:cs="宋体"/>
                <w:color w:val="auto"/>
                <w:highlight w:val="none"/>
              </w:rPr>
            </w:pPr>
            <w:r>
              <w:rPr>
                <w:rFonts w:hint="eastAsia" w:ascii="宋体" w:hAnsi="宋体" w:cs="宋体"/>
                <w:color w:val="auto"/>
                <w:spacing w:val="-6"/>
                <w:sz w:val="21"/>
                <w:highlight w:val="none"/>
                <w:lang w:val="en-US" w:eastAsia="zh-CN"/>
              </w:rPr>
              <w:t>①</w:t>
            </w:r>
            <w:r>
              <w:rPr>
                <w:rFonts w:hint="eastAsia" w:ascii="宋体" w:hAnsi="宋体" w:eastAsia="宋体" w:cs="宋体"/>
                <w:color w:val="auto"/>
                <w:spacing w:val="-6"/>
                <w:sz w:val="21"/>
                <w:highlight w:val="none"/>
              </w:rPr>
              <w:t>开评标过程中，</w:t>
            </w:r>
            <w:r>
              <w:rPr>
                <w:rFonts w:hint="eastAsia" w:ascii="宋体" w:hAnsi="宋体" w:cs="宋体"/>
                <w:color w:val="auto"/>
                <w:spacing w:val="-6"/>
                <w:sz w:val="21"/>
                <w:highlight w:val="none"/>
                <w:lang w:eastAsia="zh-CN"/>
              </w:rPr>
              <w:t>供应商磋商报价</w:t>
            </w:r>
            <w:r>
              <w:rPr>
                <w:rFonts w:hint="eastAsia" w:ascii="宋体" w:hAnsi="宋体" w:eastAsia="宋体" w:cs="宋体"/>
                <w:color w:val="auto"/>
                <w:spacing w:val="-6"/>
                <w:sz w:val="21"/>
                <w:highlight w:val="none"/>
              </w:rPr>
              <w:t>与公布的</w:t>
            </w:r>
            <w:r>
              <w:rPr>
                <w:rFonts w:hint="eastAsia" w:ascii="宋体" w:hAnsi="宋体" w:cs="宋体"/>
                <w:color w:val="auto"/>
                <w:spacing w:val="-6"/>
                <w:sz w:val="21"/>
                <w:highlight w:val="none"/>
                <w:lang w:eastAsia="zh-CN"/>
              </w:rPr>
              <w:t>最高磋商限价</w:t>
            </w:r>
            <w:r>
              <w:rPr>
                <w:rFonts w:hint="eastAsia" w:ascii="宋体" w:hAnsi="宋体" w:eastAsia="宋体" w:cs="宋体"/>
                <w:color w:val="auto"/>
                <w:spacing w:val="-6"/>
                <w:sz w:val="21"/>
                <w:highlight w:val="none"/>
              </w:rPr>
              <w:t>相比降幅过小，或</w:t>
            </w:r>
            <w:r>
              <w:rPr>
                <w:rFonts w:hint="eastAsia" w:ascii="宋体" w:hAnsi="宋体" w:cs="宋体"/>
                <w:color w:val="auto"/>
                <w:spacing w:val="-6"/>
                <w:sz w:val="21"/>
                <w:highlight w:val="none"/>
                <w:lang w:eastAsia="zh-CN"/>
              </w:rPr>
              <w:t>供应商磋商报价</w:t>
            </w:r>
            <w:r>
              <w:rPr>
                <w:rFonts w:hint="eastAsia" w:ascii="宋体" w:hAnsi="宋体" w:eastAsia="宋体" w:cs="宋体"/>
                <w:color w:val="auto"/>
                <w:spacing w:val="-6"/>
                <w:sz w:val="21"/>
                <w:highlight w:val="none"/>
              </w:rPr>
              <w:t>明显缺乏竞争性的，</w:t>
            </w:r>
            <w:r>
              <w:rPr>
                <w:rFonts w:hint="eastAsia" w:ascii="宋体" w:hAnsi="宋体" w:cs="宋体"/>
                <w:color w:val="auto"/>
                <w:spacing w:val="-6"/>
                <w:sz w:val="21"/>
                <w:highlight w:val="none"/>
                <w:lang w:eastAsia="zh-CN"/>
              </w:rPr>
              <w:t>磋商小组</w:t>
            </w:r>
            <w:r>
              <w:rPr>
                <w:rFonts w:hint="eastAsia" w:ascii="宋体" w:hAnsi="宋体" w:eastAsia="宋体" w:cs="宋体"/>
                <w:color w:val="auto"/>
                <w:spacing w:val="-6"/>
                <w:sz w:val="21"/>
                <w:highlight w:val="none"/>
              </w:rPr>
              <w:t>可以否决所有投标。</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420" w:firstLineChars="200"/>
              <w:textAlignment w:val="auto"/>
              <w:rPr>
                <w:rFonts w:hint="eastAsia" w:ascii="宋体" w:hAnsi="宋体" w:eastAsia="宋体" w:cs="宋体"/>
                <w:color w:val="FF0000"/>
                <w:kern w:val="2"/>
                <w:sz w:val="21"/>
                <w:highlight w:val="none"/>
                <w:lang w:val="en-US" w:eastAsia="zh-CN" w:bidi="ar-SA"/>
              </w:rPr>
            </w:pPr>
            <w:r>
              <w:rPr>
                <w:rFonts w:hint="eastAsia" w:ascii="宋体" w:hAnsi="宋体" w:cs="宋体"/>
                <w:color w:val="auto"/>
                <w:highlight w:val="none"/>
                <w:lang w:val="en-US" w:eastAsia="zh-CN"/>
              </w:rPr>
              <w:t>②</w:t>
            </w:r>
            <w:r>
              <w:rPr>
                <w:rFonts w:hint="eastAsia" w:ascii="宋体" w:hAnsi="宋体" w:eastAsia="宋体" w:cs="宋体"/>
                <w:color w:val="auto"/>
                <w:spacing w:val="-6"/>
                <w:sz w:val="21"/>
                <w:highlight w:val="none"/>
                <w:lang w:val="en-US" w:eastAsia="zh-CN"/>
              </w:rPr>
              <w:t>实行暂估价的工程制安项目未达到公开招标标准和规模的，按实调价后结合磋商报价下浮率作为结算价；实行暂估价的货物类项目未达到公开招标标准和规模的，由发包人和承包人在合同中约定具体结算方式。以上各项最终工程结算以发包人或其委托的其他机构审定结果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36</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宋体" w:hAnsi="宋体"/>
                <w:szCs w:val="21"/>
                <w:highlight w:val="none"/>
              </w:rPr>
            </w:pPr>
            <w:r>
              <w:rPr>
                <w:rFonts w:hint="eastAsia" w:ascii="宋体" w:hAnsi="宋体" w:cs="宋体"/>
                <w:color w:val="000000"/>
                <w:szCs w:val="21"/>
                <w:highlight w:val="none"/>
              </w:rPr>
              <w:t>质疑函递交方式、接收部门、联系电话和通讯地址</w:t>
            </w:r>
          </w:p>
        </w:tc>
        <w:tc>
          <w:tcPr>
            <w:tcW w:w="6740" w:type="dxa"/>
            <w:tcBorders>
              <w:top w:val="single" w:color="auto" w:sz="4" w:space="0"/>
              <w:left w:val="single" w:color="auto" w:sz="4" w:space="0"/>
              <w:bottom w:val="single" w:color="auto" w:sz="4" w:space="0"/>
            </w:tcBorders>
            <w:vAlign w:val="center"/>
          </w:tcPr>
          <w:p>
            <w:pPr>
              <w:spacing w:line="420" w:lineRule="exac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递交方式：电子</w:t>
            </w:r>
            <w:r>
              <w:rPr>
                <w:rFonts w:hint="eastAsia" w:ascii="宋体" w:hAnsi="宋体" w:cs="宋体"/>
                <w:color w:val="000000"/>
                <w:szCs w:val="21"/>
                <w:highlight w:val="none"/>
                <w:lang w:val="en-US" w:eastAsia="zh-CN"/>
              </w:rPr>
              <w:t>交易系统</w:t>
            </w:r>
          </w:p>
          <w:p>
            <w:pPr>
              <w:spacing w:line="420" w:lineRule="exact"/>
              <w:rPr>
                <w:rFonts w:ascii="宋体" w:hAnsi="宋体" w:cs="宋体"/>
                <w:color w:val="000000"/>
                <w:szCs w:val="21"/>
                <w:highlight w:val="none"/>
              </w:rPr>
            </w:pPr>
            <w:r>
              <w:rPr>
                <w:rFonts w:hint="eastAsia" w:ascii="宋体" w:hAnsi="宋体" w:cs="宋体"/>
                <w:color w:val="000000"/>
                <w:szCs w:val="21"/>
                <w:highlight w:val="none"/>
              </w:rPr>
              <w:t>接收部门：</w:t>
            </w:r>
            <w:r>
              <w:rPr>
                <w:rFonts w:hint="eastAsia" w:ascii="宋体" w:hAnsi="宋体" w:cs="宋体"/>
                <w:color w:val="000000"/>
                <w:szCs w:val="21"/>
                <w:highlight w:val="none"/>
                <w:lang w:val="en-US" w:eastAsia="zh-CN"/>
              </w:rPr>
              <w:t>交易一</w:t>
            </w:r>
            <w:r>
              <w:rPr>
                <w:rFonts w:hint="eastAsia" w:ascii="宋体" w:hAnsi="宋体" w:cs="宋体"/>
                <w:color w:val="000000"/>
                <w:szCs w:val="21"/>
                <w:highlight w:val="none"/>
              </w:rPr>
              <w:t>部</w:t>
            </w:r>
          </w:p>
          <w:p>
            <w:pPr>
              <w:spacing w:line="420" w:lineRule="exac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联系电话：0556-599</w:t>
            </w:r>
            <w:r>
              <w:rPr>
                <w:rFonts w:hint="eastAsia" w:ascii="宋体" w:hAnsi="宋体" w:cs="宋体"/>
                <w:color w:val="000000"/>
                <w:szCs w:val="21"/>
                <w:highlight w:val="none"/>
                <w:lang w:val="en-US" w:eastAsia="zh-CN"/>
              </w:rPr>
              <w:t>9972</w:t>
            </w:r>
          </w:p>
          <w:p>
            <w:pPr>
              <w:spacing w:line="480" w:lineRule="exact"/>
              <w:rPr>
                <w:rFonts w:ascii="宋体" w:hAnsi="宋体"/>
                <w:szCs w:val="21"/>
                <w:highlight w:val="none"/>
              </w:rPr>
            </w:pPr>
            <w:r>
              <w:rPr>
                <w:rFonts w:hint="eastAsia" w:ascii="宋体" w:hAnsi="宋体" w:cs="宋体"/>
                <w:color w:val="000000"/>
                <w:szCs w:val="21"/>
                <w:highlight w:val="none"/>
              </w:rPr>
              <w:t>通讯地址：安庆市</w:t>
            </w:r>
            <w:r>
              <w:rPr>
                <w:rFonts w:hint="eastAsia" w:ascii="宋体" w:hAnsi="宋体" w:cs="宋体"/>
                <w:color w:val="000000"/>
                <w:szCs w:val="21"/>
                <w:highlight w:val="none"/>
                <w:lang w:val="en-US" w:eastAsia="zh-CN"/>
              </w:rPr>
              <w:t>大观区</w:t>
            </w:r>
            <w:r>
              <w:rPr>
                <w:rFonts w:hint="eastAsia" w:ascii="宋体" w:hAnsi="宋体" w:cs="宋体"/>
                <w:color w:val="000000"/>
                <w:szCs w:val="21"/>
                <w:highlight w:val="none"/>
              </w:rPr>
              <w:t>龙山路21</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号五楼</w:t>
            </w:r>
            <w:r>
              <w:rPr>
                <w:rFonts w:hint="eastAsia" w:ascii="宋体" w:hAnsi="宋体" w:cs="宋体"/>
                <w:color w:val="000000"/>
                <w:szCs w:val="21"/>
                <w:highlight w:val="none"/>
                <w:lang w:val="en-US" w:eastAsia="zh-CN"/>
              </w:rPr>
              <w:t>交易一</w:t>
            </w:r>
            <w:r>
              <w:rPr>
                <w:rFonts w:hint="eastAsia" w:ascii="宋体" w:hAnsi="宋体" w:cs="宋体"/>
                <w:color w:val="000000"/>
                <w:szCs w:val="21"/>
                <w:highlight w:val="none"/>
              </w:rPr>
              <w:t>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37</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highlight w:val="none"/>
              </w:rPr>
            </w:pPr>
            <w:r>
              <w:rPr>
                <w:rFonts w:hint="eastAsia" w:ascii="宋体" w:hAnsi="宋体" w:cs="宋体"/>
                <w:color w:val="000000"/>
                <w:highlight w:val="none"/>
              </w:rPr>
              <w:t>网上招标投标</w:t>
            </w:r>
          </w:p>
          <w:p>
            <w:pPr>
              <w:spacing w:line="420" w:lineRule="exact"/>
              <w:jc w:val="center"/>
              <w:rPr>
                <w:rFonts w:ascii="宋体" w:hAnsi="宋体" w:cs="宋体"/>
                <w:color w:val="000000"/>
                <w:szCs w:val="21"/>
                <w:highlight w:val="none"/>
              </w:rPr>
            </w:pPr>
            <w:r>
              <w:rPr>
                <w:rFonts w:hint="eastAsia" w:ascii="宋体" w:hAnsi="宋体" w:cs="宋体"/>
                <w:color w:val="000000"/>
                <w:highlight w:val="none"/>
              </w:rPr>
              <w:t>注意事项</w:t>
            </w:r>
          </w:p>
        </w:tc>
        <w:tc>
          <w:tcPr>
            <w:tcW w:w="6740" w:type="dxa"/>
            <w:tcBorders>
              <w:top w:val="single" w:color="auto" w:sz="4" w:space="0"/>
              <w:left w:val="single" w:color="auto" w:sz="4" w:space="0"/>
              <w:bottom w:val="single" w:color="auto" w:sz="4" w:space="0"/>
            </w:tcBorders>
            <w:vAlign w:val="center"/>
          </w:tcPr>
          <w:p>
            <w:pPr>
              <w:spacing w:line="42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1、本次采购不要求供应商提供纸质版磋商响应文件，竞争性磋商文件中所指的磋商响应文件如未特别注明，均为供应商按</w:t>
            </w:r>
            <w:r>
              <w:rPr>
                <w:rFonts w:hint="eastAsia" w:ascii="宋体" w:hAnsi="宋体" w:cs="宋体"/>
                <w:color w:val="000000"/>
                <w:highlight w:val="none"/>
              </w:rPr>
              <w:t>约定</w:t>
            </w:r>
            <w:r>
              <w:rPr>
                <w:rFonts w:hint="eastAsia" w:ascii="宋体" w:hAnsi="宋体" w:cs="宋体"/>
                <w:color w:val="000000"/>
                <w:szCs w:val="21"/>
                <w:highlight w:val="none"/>
              </w:rPr>
              <w:t>格式上传的电子版磋商响应文件。</w:t>
            </w:r>
          </w:p>
          <w:p>
            <w:pPr>
              <w:spacing w:line="420" w:lineRule="exact"/>
              <w:ind w:firstLine="420"/>
              <w:rPr>
                <w:rFonts w:ascii="宋体" w:hAnsi="宋体" w:cs="宋体"/>
                <w:color w:val="000000"/>
                <w:szCs w:val="21"/>
                <w:highlight w:val="none"/>
              </w:rPr>
            </w:pPr>
            <w:r>
              <w:rPr>
                <w:rFonts w:hint="eastAsia" w:ascii="宋体" w:hAnsi="宋体" w:cs="宋体"/>
                <w:color w:val="000000"/>
                <w:spacing w:val="-6"/>
                <w:sz w:val="21"/>
                <w:szCs w:val="21"/>
                <w:highlight w:val="none"/>
              </w:rPr>
              <w:t>2、供应商须使用最新版</w:t>
            </w:r>
            <w:r>
              <w:rPr>
                <w:rFonts w:hint="eastAsia" w:ascii="宋体" w:hAnsi="宋体" w:cs="宋体"/>
                <w:color w:val="000000"/>
                <w:spacing w:val="-6"/>
                <w:sz w:val="21"/>
                <w:szCs w:val="21"/>
                <w:highlight w:val="none"/>
                <w:lang w:eastAsia="zh-CN"/>
              </w:rPr>
              <w:t>磋商响应文件</w:t>
            </w:r>
            <w:r>
              <w:rPr>
                <w:rFonts w:hint="eastAsia" w:ascii="宋体" w:hAnsi="宋体" w:cs="宋体"/>
                <w:color w:val="000000"/>
                <w:spacing w:val="-6"/>
                <w:sz w:val="21"/>
                <w:szCs w:val="21"/>
                <w:highlight w:val="none"/>
              </w:rPr>
              <w:t>制作工具，以免造成磋商响应文件制作错误。软件启动时也将进行提示（需在国际互联网络通畅状态），各供应商需注意更新，如因此导致磋商响应无效，责任自负。</w:t>
            </w:r>
          </w:p>
          <w:p>
            <w:pPr>
              <w:spacing w:line="420" w:lineRule="exact"/>
              <w:rPr>
                <w:rFonts w:ascii="宋体" w:hAnsi="宋体" w:cs="宋体"/>
                <w:color w:val="000000"/>
                <w:szCs w:val="21"/>
                <w:highlight w:val="none"/>
              </w:rPr>
            </w:pPr>
            <w:r>
              <w:rPr>
                <w:rFonts w:hint="eastAsia" w:ascii="宋体" w:hAnsi="宋体" w:cs="宋体"/>
                <w:color w:val="000000"/>
                <w:szCs w:val="21"/>
                <w:highlight w:val="none"/>
              </w:rPr>
              <w:t>技术支持服务热线:4009980000，24小时服务QQ:4008503300。</w:t>
            </w:r>
          </w:p>
          <w:p>
            <w:pPr>
              <w:spacing w:line="420" w:lineRule="exact"/>
              <w:rPr>
                <w:rFonts w:ascii="宋体" w:hAnsi="宋体" w:cs="宋体"/>
                <w:color w:val="000000"/>
                <w:szCs w:val="21"/>
                <w:highlight w:val="none"/>
              </w:rPr>
            </w:pPr>
            <w:r>
              <w:rPr>
                <w:rFonts w:hint="eastAsia" w:ascii="宋体" w:hAnsi="宋体" w:cs="宋体"/>
                <w:color w:val="000000"/>
                <w:szCs w:val="21"/>
                <w:highlight w:val="none"/>
              </w:rPr>
              <w:t xml:space="preserve">    3、供应商须用CA数字证书签章和加密磋商响应文件，必须使用企业锁。如未办理CA数字证书请及时到安徽省电子认证管理中心驻安庆市公共资源交易中心一楼服务窗口办理，联系电话0556-5991201。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38</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磋商响应文件制作（刻录）方法</w:t>
            </w:r>
          </w:p>
        </w:tc>
        <w:tc>
          <w:tcPr>
            <w:tcW w:w="6740" w:type="dxa"/>
            <w:tcBorders>
              <w:top w:val="single" w:color="auto" w:sz="4" w:space="0"/>
              <w:left w:val="single" w:color="auto" w:sz="4" w:space="0"/>
              <w:bottom w:val="single" w:color="auto" w:sz="4" w:space="0"/>
            </w:tcBorders>
            <w:vAlign w:val="center"/>
          </w:tcPr>
          <w:p>
            <w:pPr>
              <w:jc w:val="left"/>
              <w:rPr>
                <w:rFonts w:ascii="宋体" w:hAnsi="宋体" w:cs="宋体"/>
                <w:color w:val="000000"/>
                <w:highlight w:val="none"/>
              </w:rPr>
            </w:pPr>
            <w:r>
              <w:rPr>
                <w:rFonts w:hint="eastAsia" w:ascii="宋体" w:hAnsi="宋体" w:cs="宋体"/>
                <w:color w:val="000000"/>
                <w:highlight w:val="none"/>
              </w:rPr>
              <w:t xml:space="preserve">    1、</w:t>
            </w:r>
            <w:r>
              <w:rPr>
                <w:rFonts w:hint="eastAsia" w:ascii="宋体" w:hAnsi="宋体" w:cs="宋体"/>
                <w:color w:val="000000"/>
                <w:szCs w:val="21"/>
                <w:highlight w:val="none"/>
              </w:rPr>
              <w:t>供应商</w:t>
            </w:r>
            <w:r>
              <w:rPr>
                <w:rFonts w:hint="eastAsia" w:ascii="宋体" w:hAnsi="宋体" w:cs="宋体"/>
                <w:color w:val="000000"/>
                <w:highlight w:val="none"/>
              </w:rPr>
              <w:t>应登陆网址（</w:t>
            </w:r>
            <w:r>
              <w:rPr>
                <w:highlight w:val="none"/>
              </w:rPr>
              <w:fldChar w:fldCharType="begin"/>
            </w:r>
            <w:r>
              <w:rPr>
                <w:highlight w:val="none"/>
              </w:rPr>
              <w:instrText xml:space="preserve"> HYPERLINK "http://183.167.246.178:8605/TPBidder" </w:instrText>
            </w:r>
            <w:r>
              <w:rPr>
                <w:highlight w:val="none"/>
              </w:rPr>
              <w:fldChar w:fldCharType="separate"/>
            </w:r>
            <w:r>
              <w:rPr>
                <w:rFonts w:hint="eastAsia" w:ascii="宋体" w:hAnsi="宋体" w:cs="宋体"/>
                <w:color w:val="000000"/>
                <w:highlight w:val="none"/>
              </w:rPr>
              <w:t>http://183.167.246.178:8605/TPBidder</w:t>
            </w:r>
            <w:r>
              <w:rPr>
                <w:rFonts w:hint="eastAsia" w:ascii="宋体" w:hAnsi="宋体" w:cs="宋体"/>
                <w:color w:val="000000"/>
                <w:highlight w:val="none"/>
              </w:rPr>
              <w:fldChar w:fldCharType="end"/>
            </w:r>
            <w:r>
              <w:rPr>
                <w:rFonts w:hint="eastAsia" w:ascii="宋体" w:hAnsi="宋体" w:cs="宋体"/>
                <w:color w:val="000000"/>
                <w:highlight w:val="none"/>
              </w:rPr>
              <w:t>）点击“</w:t>
            </w:r>
            <w:r>
              <w:rPr>
                <w:rFonts w:hint="eastAsia" w:ascii="宋体" w:hAnsi="宋体" w:cs="宋体"/>
                <w:color w:val="000000"/>
                <w:highlight w:val="none"/>
                <w:lang w:eastAsia="zh-CN"/>
              </w:rPr>
              <w:t>磋商响应文件</w:t>
            </w:r>
            <w:r>
              <w:rPr>
                <w:rFonts w:hint="eastAsia" w:ascii="宋体" w:hAnsi="宋体" w:cs="宋体"/>
                <w:color w:val="000000"/>
                <w:highlight w:val="none"/>
              </w:rPr>
              <w:t>制作工具下载”下载后安装</w:t>
            </w:r>
            <w:r>
              <w:rPr>
                <w:rFonts w:hint="eastAsia" w:ascii="宋体" w:hAnsi="宋体" w:cs="宋体"/>
                <w:color w:val="000000"/>
                <w:highlight w:val="none"/>
                <w:lang w:eastAsia="zh-CN"/>
              </w:rPr>
              <w:t>磋商响应文件</w:t>
            </w:r>
            <w:r>
              <w:rPr>
                <w:rFonts w:hint="eastAsia" w:ascii="宋体" w:hAnsi="宋体" w:cs="宋体"/>
                <w:color w:val="000000"/>
                <w:highlight w:val="none"/>
              </w:rPr>
              <w:t>制作工具软件。</w:t>
            </w:r>
          </w:p>
          <w:p>
            <w:pPr>
              <w:rPr>
                <w:rFonts w:ascii="宋体" w:hAnsi="宋体" w:cs="宋体"/>
                <w:color w:val="000000"/>
                <w:highlight w:val="none"/>
              </w:rPr>
            </w:pPr>
            <w:r>
              <w:rPr>
                <w:rFonts w:hint="eastAsia" w:ascii="宋体" w:hAnsi="宋体" w:cs="宋体"/>
                <w:color w:val="000000"/>
                <w:highlight w:val="none"/>
              </w:rPr>
              <w:t xml:space="preserve">    2、使用</w:t>
            </w:r>
            <w:r>
              <w:rPr>
                <w:rFonts w:hint="eastAsia" w:ascii="宋体" w:hAnsi="宋体" w:cs="宋体"/>
                <w:color w:val="000000"/>
                <w:highlight w:val="none"/>
                <w:lang w:eastAsia="zh-CN"/>
              </w:rPr>
              <w:t>磋商响应文件</w:t>
            </w:r>
            <w:r>
              <w:rPr>
                <w:rFonts w:hint="eastAsia" w:ascii="宋体" w:hAnsi="宋体" w:cs="宋体"/>
                <w:color w:val="000000"/>
                <w:highlight w:val="none"/>
              </w:rPr>
              <w:t>制作工具方法：插入企业CA数字证书，打开“</w:t>
            </w:r>
            <w:r>
              <w:rPr>
                <w:rFonts w:hint="eastAsia" w:ascii="宋体" w:hAnsi="宋体" w:cs="宋体"/>
                <w:b/>
                <w:color w:val="000000" w:themeColor="text1"/>
                <w:highlight w:val="none"/>
                <w14:textFill>
                  <w14:solidFill>
                    <w14:schemeClr w14:val="tx1"/>
                  </w14:solidFill>
                </w14:textFill>
              </w:rPr>
              <w:t>新点</w:t>
            </w:r>
            <w:r>
              <w:rPr>
                <w:rFonts w:hint="eastAsia" w:ascii="宋体" w:hAnsi="宋体" w:cs="宋体"/>
                <w:b/>
                <w:color w:val="000000" w:themeColor="text1"/>
                <w:highlight w:val="none"/>
                <w:lang w:eastAsia="zh-CN"/>
                <w14:textFill>
                  <w14:solidFill>
                    <w14:schemeClr w14:val="tx1"/>
                  </w14:solidFill>
                </w14:textFill>
              </w:rPr>
              <w:t>磋商响应文件</w:t>
            </w:r>
            <w:r>
              <w:rPr>
                <w:rFonts w:hint="eastAsia" w:ascii="宋体" w:hAnsi="宋体" w:cs="宋体"/>
                <w:b/>
                <w:color w:val="000000" w:themeColor="text1"/>
                <w:highlight w:val="none"/>
                <w14:textFill>
                  <w14:solidFill>
                    <w14:schemeClr w14:val="tx1"/>
                  </w14:solidFill>
                </w14:textFill>
              </w:rPr>
              <w:t>制作软件（安徽省互联互通版）</w:t>
            </w:r>
            <w:r>
              <w:rPr>
                <w:rFonts w:hint="eastAsia" w:ascii="宋体" w:hAnsi="宋体" w:cs="宋体"/>
                <w:color w:val="000000"/>
                <w:highlight w:val="none"/>
              </w:rPr>
              <w:t>”，点击“新建投标”按钮并点击“浏览”按钮并找到下载的.AQZF格式的竞争性磋商文件，点选择CA数字证书然后点击“新建项目”然后选择保存文件路径保存，打开</w:t>
            </w:r>
            <w:r>
              <w:rPr>
                <w:rFonts w:hint="eastAsia" w:ascii="宋体" w:hAnsi="宋体" w:cs="宋体"/>
                <w:color w:val="000000"/>
                <w:highlight w:val="none"/>
                <w:lang w:eastAsia="zh-CN"/>
              </w:rPr>
              <w:t>磋商响应文件</w:t>
            </w:r>
            <w:r>
              <w:rPr>
                <w:rFonts w:hint="eastAsia" w:ascii="宋体" w:hAnsi="宋体" w:cs="宋体"/>
                <w:color w:val="000000"/>
                <w:highlight w:val="none"/>
              </w:rPr>
              <w:t>制作工具软件。</w:t>
            </w:r>
          </w:p>
          <w:p>
            <w:pPr>
              <w:rPr>
                <w:rFonts w:ascii="宋体" w:hAnsi="宋体" w:cs="宋体"/>
                <w:color w:val="000000"/>
                <w:highlight w:val="none"/>
              </w:rPr>
            </w:pPr>
            <w:r>
              <w:rPr>
                <w:rFonts w:hint="eastAsia" w:ascii="宋体" w:hAnsi="宋体" w:cs="宋体"/>
                <w:color w:val="000000"/>
                <w:highlight w:val="none"/>
              </w:rPr>
              <w:t xml:space="preserve">    3、</w:t>
            </w:r>
            <w:r>
              <w:rPr>
                <w:rFonts w:hint="eastAsia" w:ascii="宋体" w:hAnsi="宋体" w:cs="宋体"/>
                <w:color w:val="000000"/>
                <w:highlight w:val="none"/>
                <w:lang w:eastAsia="zh-CN"/>
              </w:rPr>
              <w:t>磋商响应文件</w:t>
            </w:r>
            <w:r>
              <w:rPr>
                <w:rFonts w:hint="eastAsia" w:ascii="宋体" w:hAnsi="宋体" w:cs="宋体"/>
                <w:color w:val="000000"/>
                <w:highlight w:val="none"/>
              </w:rPr>
              <w:t>制作工具使用说明：查看安庆市公共资源交易服务网-下载中心-下载专区“</w:t>
            </w:r>
            <w:r>
              <w:rPr>
                <w:rFonts w:hint="eastAsia" w:ascii="宋体" w:hAnsi="宋体" w:cs="宋体"/>
                <w:color w:val="000000"/>
                <w:highlight w:val="none"/>
                <w:lang w:eastAsia="zh-CN"/>
              </w:rPr>
              <w:t>磋商响应文件</w:t>
            </w:r>
            <w:r>
              <w:rPr>
                <w:rFonts w:hint="eastAsia" w:ascii="宋体" w:hAnsi="宋体" w:cs="宋体"/>
                <w:color w:val="000000"/>
                <w:highlight w:val="none"/>
              </w:rPr>
              <w:t>制作操作说明”制作</w:t>
            </w:r>
            <w:r>
              <w:rPr>
                <w:rFonts w:hint="eastAsia" w:ascii="宋体" w:hAnsi="宋体" w:cs="宋体"/>
                <w:color w:val="000000"/>
                <w:szCs w:val="21"/>
                <w:highlight w:val="none"/>
              </w:rPr>
              <w:t>磋商响应</w:t>
            </w:r>
            <w:r>
              <w:rPr>
                <w:rFonts w:hint="eastAsia" w:ascii="宋体" w:hAnsi="宋体" w:cs="宋体"/>
                <w:color w:val="000000"/>
                <w:highlight w:val="none"/>
              </w:rPr>
              <w:t>文件。</w:t>
            </w:r>
          </w:p>
          <w:p>
            <w:pPr>
              <w:rPr>
                <w:rFonts w:ascii="宋体" w:hAnsi="宋体" w:cs="宋体"/>
                <w:color w:val="000000"/>
                <w:szCs w:val="21"/>
                <w:highlight w:val="none"/>
              </w:rPr>
            </w:pPr>
            <w:r>
              <w:rPr>
                <w:rFonts w:hint="eastAsia" w:ascii="宋体" w:hAnsi="宋体" w:cs="宋体"/>
                <w:color w:val="000000"/>
                <w:highlight w:val="none"/>
              </w:rPr>
              <w:t xml:space="preserve">    技术支持服务热线:4009980000，24小时服务QQ:4008503300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39</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szCs w:val="21"/>
                <w:highlight w:val="none"/>
              </w:rPr>
              <w:t>原件</w:t>
            </w:r>
          </w:p>
        </w:tc>
        <w:tc>
          <w:tcPr>
            <w:tcW w:w="6740"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color w:val="000000"/>
                <w:highlight w:val="none"/>
              </w:rPr>
            </w:pPr>
            <w:r>
              <w:rPr>
                <w:rFonts w:hint="eastAsia" w:ascii="宋体" w:hAnsi="宋体" w:cs="宋体"/>
                <w:color w:val="000000"/>
                <w:szCs w:val="21"/>
                <w:highlight w:val="none"/>
              </w:rPr>
              <w:t>本次招标评标时不要求供应商携带相关证件、业绩及奖项的原件（磋商文件另有要求的除外）。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highlight w:val="none"/>
                <w:lang w:val="en-US" w:eastAsia="zh-CN"/>
              </w:rPr>
            </w:pPr>
            <w:r>
              <w:rPr>
                <w:rFonts w:hint="eastAsia" w:ascii="宋体"/>
                <w:szCs w:val="21"/>
                <w:highlight w:val="none"/>
                <w:lang w:val="en-US" w:eastAsia="zh-CN"/>
              </w:rPr>
              <w:t>40</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szCs w:val="21"/>
                <w:highlight w:val="none"/>
              </w:rPr>
              <w:t>说明</w:t>
            </w:r>
          </w:p>
        </w:tc>
        <w:tc>
          <w:tcPr>
            <w:tcW w:w="674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1、本磋商文件的解释权归采购单位。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本项目所要求的业绩均须为中华人民共和国境内业绩（不含港澳台地区），成交供应商经磋商小组评审认可的相关业绩、奖项、证书将在安庆市公共资源交易服务网公告（如投标供应商相关业绩、证书属于涉密的，投标供应商须在响应文件中进行说明，且提供主管部门出具的证明材料，涉密部分不予公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3、中小企业声明函（如有）和残疾人福利性单位声明函（如有）随成交公告同时公告。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4、依据《政府采购促进中小企业发展管理办法》（财库[2020]46号）规定享受扶持政策获得政府采购合同的，小微企业不得将合同分包给大中型企业，中型企业不得将合同分包给大型企业。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5、施工车辆进出校园和施工过程中，对道路、线缆、管道等公共设施若有损坏，需要修复并恢复原貌。</w:t>
            </w:r>
          </w:p>
          <w:p>
            <w:pPr>
              <w:pStyle w:val="29"/>
              <w:numPr>
                <w:ilvl w:val="0"/>
                <w:numId w:val="0"/>
              </w:numPr>
              <w:rPr>
                <w:rFonts w:hint="default"/>
                <w:lang w:val="en-US" w:eastAsia="zh-CN"/>
              </w:rPr>
            </w:pPr>
            <w:r>
              <w:rPr>
                <w:rFonts w:hint="eastAsia" w:cs="Times New Roman"/>
                <w:lang w:val="en-US" w:eastAsia="zh-CN"/>
              </w:rPr>
              <w:t>6、本项目不接受退休返聘人员。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kern w:val="2"/>
                <w:sz w:val="21"/>
                <w:lang w:val="en-US" w:eastAsia="zh-CN" w:bidi="ar-SA"/>
              </w:rPr>
            </w:pPr>
            <w:r>
              <w:rPr>
                <w:rFonts w:hint="eastAsia" w:cs="Times New Roman"/>
                <w:b/>
                <w:bCs/>
                <w:lang w:val="en-US" w:eastAsia="zh-CN"/>
              </w:rPr>
              <w:t>7</w:t>
            </w:r>
            <w:r>
              <w:rPr>
                <w:rFonts w:hint="eastAsia" w:ascii="Times New Roman" w:hAnsi="Times New Roman" w:cs="Times New Roman"/>
                <w:b/>
                <w:bCs/>
                <w:lang w:val="en-US" w:eastAsia="zh-CN"/>
              </w:rPr>
              <w:t>、</w:t>
            </w:r>
            <w:r>
              <w:rPr>
                <w:rFonts w:hint="eastAsia" w:ascii="Times New Roman" w:hAnsi="Times New Roman" w:cs="Times New Roman"/>
                <w:b/>
                <w:bCs/>
              </w:rPr>
              <w:t>社保缴费证明（或社保有效证明材料）</w:t>
            </w:r>
            <w:r>
              <w:rPr>
                <w:rFonts w:hint="eastAsia" w:ascii="Times New Roman" w:hAnsi="Times New Roman" w:cs="Times New Roman"/>
                <w:b/>
                <w:bCs/>
                <w:lang w:val="en-US" w:eastAsia="zh-CN"/>
              </w:rPr>
              <w:t>指磋商响应</w:t>
            </w:r>
            <w:r>
              <w:rPr>
                <w:rFonts w:hint="eastAsia" w:ascii="Times New Roman" w:hAnsi="Times New Roman" w:cs="Times New Roman"/>
                <w:b/>
                <w:bCs/>
              </w:rPr>
              <w:t>人所属社保机构出具的拟委任的</w:t>
            </w:r>
            <w:r>
              <w:rPr>
                <w:rFonts w:hint="eastAsia" w:ascii="Times New Roman" w:hAnsi="Times New Roman" w:cs="Times New Roman"/>
                <w:b/>
                <w:bCs/>
                <w:lang w:val="en-US" w:eastAsia="zh-CN"/>
              </w:rPr>
              <w:t>人员</w:t>
            </w:r>
            <w:r>
              <w:rPr>
                <w:rFonts w:hint="eastAsia" w:ascii="Times New Roman" w:hAnsi="Times New Roman" w:cs="Times New Roman"/>
                <w:b/>
                <w:bCs/>
              </w:rPr>
              <w:t>社保缴费证明或其他能够证明拟委任的</w:t>
            </w:r>
            <w:r>
              <w:rPr>
                <w:rFonts w:hint="eastAsia" w:ascii="Times New Roman" w:hAnsi="Times New Roman" w:cs="Times New Roman"/>
                <w:b/>
                <w:bCs/>
                <w:lang w:val="en-US" w:eastAsia="zh-CN"/>
              </w:rPr>
              <w:t>人员</w:t>
            </w:r>
            <w:r>
              <w:rPr>
                <w:rFonts w:hint="eastAsia" w:ascii="Times New Roman" w:hAnsi="Times New Roman" w:cs="Times New Roman"/>
                <w:b/>
                <w:bCs/>
              </w:rPr>
              <w:t>参加社保的有效证明材料，</w:t>
            </w:r>
            <w:r>
              <w:rPr>
                <w:rFonts w:hint="eastAsia" w:ascii="Times New Roman" w:hAnsi="Times New Roman" w:cs="Times New Roman"/>
                <w:b/>
                <w:bCs/>
                <w:lang w:val="en-US" w:eastAsia="zh-CN"/>
              </w:rPr>
              <w:t>人员</w:t>
            </w:r>
            <w:r>
              <w:rPr>
                <w:rFonts w:hint="eastAsia" w:ascii="Times New Roman" w:hAnsi="Times New Roman" w:cs="Times New Roman"/>
                <w:b/>
                <w:bCs/>
              </w:rPr>
              <w:t>的社会保险的缴纳单位应当是</w:t>
            </w:r>
            <w:r>
              <w:rPr>
                <w:rFonts w:hint="eastAsia" w:ascii="Times New Roman" w:hAnsi="Times New Roman" w:cs="Times New Roman"/>
                <w:b/>
                <w:bCs/>
                <w:lang w:val="en-US" w:eastAsia="zh-CN"/>
              </w:rPr>
              <w:t>磋商响应</w:t>
            </w:r>
            <w:r>
              <w:rPr>
                <w:rFonts w:hint="eastAsia" w:ascii="Times New Roman" w:hAnsi="Times New Roman" w:cs="Times New Roman"/>
                <w:b/>
                <w:bCs/>
              </w:rPr>
              <w:t>人或者</w:t>
            </w:r>
            <w:r>
              <w:rPr>
                <w:rFonts w:hint="eastAsia" w:ascii="Times New Roman" w:hAnsi="Times New Roman" w:cs="Times New Roman"/>
                <w:b/>
                <w:bCs/>
                <w:lang w:val="en-US" w:eastAsia="zh-CN"/>
              </w:rPr>
              <w:t>磋商响应</w:t>
            </w:r>
            <w:r>
              <w:rPr>
                <w:rFonts w:hint="eastAsia" w:ascii="Times New Roman" w:hAnsi="Times New Roman" w:cs="Times New Roman"/>
                <w:b/>
                <w:bCs/>
              </w:rPr>
              <w:t>人不具备独立法人资格的分支机构。社保缴费证明（或社保有效证明材料）至少含养老保险。</w:t>
            </w:r>
          </w:p>
        </w:tc>
      </w:tr>
    </w:tbl>
    <w:p>
      <w:pPr>
        <w:rPr>
          <w:rFonts w:ascii="宋体" w:hAnsi="宋体"/>
          <w:kern w:val="0"/>
          <w:highlight w:val="none"/>
          <w:lang w:val="zh-CN"/>
        </w:rPr>
      </w:pPr>
      <w:bookmarkStart w:id="55" w:name="_Toc439316872"/>
      <w:r>
        <w:rPr>
          <w:kern w:val="0"/>
          <w:highlight w:val="none"/>
          <w:lang w:val="zh-CN"/>
        </w:rPr>
        <w:br w:type="page"/>
      </w:r>
    </w:p>
    <w:p>
      <w:pPr>
        <w:pStyle w:val="4"/>
        <w:rPr>
          <w:rFonts w:cs="Tahoma"/>
          <w:bCs/>
          <w:kern w:val="0"/>
          <w:sz w:val="32"/>
          <w:szCs w:val="32"/>
          <w:highlight w:val="none"/>
          <w:lang w:val="zh-CN"/>
        </w:rPr>
      </w:pPr>
      <w:bookmarkStart w:id="56" w:name="_Toc54941331"/>
      <w:bookmarkStart w:id="57" w:name="_Toc2521"/>
      <w:r>
        <w:rPr>
          <w:rFonts w:hint="eastAsia" w:cs="Tahoma"/>
          <w:bCs/>
          <w:kern w:val="0"/>
          <w:sz w:val="32"/>
          <w:szCs w:val="32"/>
          <w:highlight w:val="none"/>
          <w:lang w:val="zh-CN"/>
        </w:rPr>
        <w:t>第二节</w:t>
      </w:r>
      <w:r>
        <w:rPr>
          <w:rFonts w:cs="Tahoma"/>
          <w:bCs/>
          <w:kern w:val="0"/>
          <w:sz w:val="32"/>
          <w:szCs w:val="32"/>
          <w:highlight w:val="none"/>
          <w:lang w:val="zh-CN"/>
        </w:rPr>
        <w:t xml:space="preserve"> </w:t>
      </w:r>
      <w:r>
        <w:rPr>
          <w:rFonts w:hint="eastAsia" w:cs="Tahoma"/>
          <w:bCs/>
          <w:kern w:val="0"/>
          <w:sz w:val="32"/>
          <w:szCs w:val="32"/>
          <w:highlight w:val="none"/>
          <w:lang w:val="zh-CN"/>
        </w:rPr>
        <w:t>竞争性磋商须知</w:t>
      </w:r>
      <w:bookmarkEnd w:id="55"/>
      <w:bookmarkEnd w:id="56"/>
      <w:bookmarkEnd w:id="57"/>
    </w:p>
    <w:p>
      <w:pPr>
        <w:autoSpaceDE w:val="0"/>
        <w:autoSpaceDN w:val="0"/>
        <w:adjustRightInd w:val="0"/>
        <w:snapToGrid w:val="0"/>
        <w:spacing w:line="480" w:lineRule="exact"/>
        <w:ind w:firstLine="420"/>
        <w:outlineLvl w:val="2"/>
        <w:rPr>
          <w:rFonts w:ascii="宋体"/>
          <w:b/>
          <w:bCs/>
          <w:szCs w:val="21"/>
          <w:highlight w:val="none"/>
          <w:lang w:val="zh-CN"/>
        </w:rPr>
      </w:pPr>
      <w:bookmarkStart w:id="58" w:name="_Toc54941332"/>
      <w:r>
        <w:rPr>
          <w:rFonts w:hint="eastAsia" w:ascii="宋体" w:hAnsi="宋体"/>
          <w:b/>
          <w:bCs/>
          <w:szCs w:val="21"/>
          <w:highlight w:val="none"/>
          <w:lang w:val="zh-CN"/>
        </w:rPr>
        <w:t>一、总</w:t>
      </w:r>
      <w:r>
        <w:rPr>
          <w:rFonts w:ascii="宋体" w:hAnsi="宋体"/>
          <w:b/>
          <w:bCs/>
          <w:szCs w:val="21"/>
          <w:highlight w:val="none"/>
          <w:lang w:val="zh-CN"/>
        </w:rPr>
        <w:t xml:space="preserve">    </w:t>
      </w:r>
      <w:r>
        <w:rPr>
          <w:rFonts w:hint="eastAsia" w:ascii="宋体" w:hAnsi="宋体"/>
          <w:b/>
          <w:bCs/>
          <w:szCs w:val="21"/>
          <w:highlight w:val="none"/>
          <w:lang w:val="zh-CN"/>
        </w:rPr>
        <w:t>则</w:t>
      </w:r>
      <w:bookmarkEnd w:id="58"/>
    </w:p>
    <w:p>
      <w:pPr>
        <w:spacing w:line="540" w:lineRule="exact"/>
        <w:ind w:firstLine="420" w:firstLineChars="200"/>
        <w:rPr>
          <w:rFonts w:ascii="宋体" w:hAnsi="宋体"/>
          <w:szCs w:val="21"/>
          <w:highlight w:val="none"/>
          <w:lang w:val="zh-CN"/>
        </w:rPr>
      </w:pPr>
      <w:bookmarkStart w:id="59" w:name="_Toc15055"/>
      <w:bookmarkStart w:id="60" w:name="_Toc7325"/>
      <w:bookmarkStart w:id="61" w:name="_Toc439316873"/>
      <w:bookmarkStart w:id="62" w:name="_Toc439316919"/>
      <w:bookmarkStart w:id="63" w:name="_Toc21078"/>
      <w:bookmarkStart w:id="64" w:name="_Toc25270"/>
      <w:bookmarkStart w:id="65" w:name="_Toc10523"/>
      <w:r>
        <w:rPr>
          <w:rFonts w:ascii="宋体" w:hAnsi="宋体"/>
          <w:szCs w:val="21"/>
          <w:highlight w:val="none"/>
          <w:lang w:val="zh-CN"/>
        </w:rPr>
        <w:t>1</w:t>
      </w:r>
      <w:r>
        <w:rPr>
          <w:rFonts w:hint="eastAsia" w:ascii="宋体" w:hAnsi="宋体"/>
          <w:szCs w:val="21"/>
          <w:highlight w:val="none"/>
          <w:lang w:val="zh-CN"/>
        </w:rPr>
        <w:t>、适用法律</w:t>
      </w:r>
      <w:bookmarkEnd w:id="59"/>
      <w:bookmarkEnd w:id="60"/>
      <w:bookmarkEnd w:id="61"/>
      <w:bookmarkEnd w:id="62"/>
      <w:bookmarkEnd w:id="63"/>
      <w:bookmarkEnd w:id="64"/>
      <w:bookmarkEnd w:id="65"/>
    </w:p>
    <w:p>
      <w:pPr>
        <w:spacing w:line="540" w:lineRule="exact"/>
        <w:ind w:firstLine="420" w:firstLineChars="200"/>
        <w:rPr>
          <w:rFonts w:ascii="宋体" w:hAnsi="宋体"/>
          <w:szCs w:val="21"/>
          <w:highlight w:val="none"/>
          <w:lang w:val="zh-CN"/>
        </w:rPr>
      </w:pPr>
      <w:r>
        <w:rPr>
          <w:rFonts w:ascii="宋体" w:hAnsi="宋体"/>
          <w:szCs w:val="21"/>
          <w:highlight w:val="none"/>
          <w:lang w:val="zh-CN"/>
        </w:rPr>
        <w:t xml:space="preserve">1.1 </w:t>
      </w:r>
      <w:r>
        <w:rPr>
          <w:rFonts w:hint="eastAsia" w:ascii="宋体" w:hAnsi="宋体"/>
          <w:szCs w:val="21"/>
          <w:highlight w:val="none"/>
          <w:lang w:val="zh-CN"/>
        </w:rPr>
        <w:t>依据《</w:t>
      </w:r>
      <w:r>
        <w:rPr>
          <w:rFonts w:hint="eastAsia" w:ascii="宋体" w:hAnsi="宋体"/>
          <w:szCs w:val="21"/>
          <w:highlight w:val="none"/>
        </w:rPr>
        <w:t>政府采购竞争性磋商采购方式管理暂行办法</w:t>
      </w:r>
      <w:r>
        <w:rPr>
          <w:rFonts w:hint="eastAsia" w:ascii="宋体" w:hAnsi="宋体"/>
          <w:szCs w:val="21"/>
          <w:highlight w:val="none"/>
          <w:lang w:val="zh-CN"/>
        </w:rPr>
        <w:t>》并参照《中华人民共和国政府采购法》、《中华人民共和国政府采购法实施条例》等有关法律、规章和规定等。</w:t>
      </w:r>
    </w:p>
    <w:p>
      <w:pPr>
        <w:spacing w:line="540" w:lineRule="exact"/>
        <w:ind w:firstLine="420" w:firstLineChars="200"/>
        <w:rPr>
          <w:rFonts w:ascii="宋体" w:hAnsi="宋体"/>
          <w:szCs w:val="21"/>
          <w:highlight w:val="none"/>
          <w:lang w:val="zh-CN"/>
        </w:rPr>
      </w:pPr>
      <w:bookmarkStart w:id="66" w:name="_Toc439316920"/>
      <w:bookmarkStart w:id="67" w:name="_Toc10933"/>
      <w:bookmarkStart w:id="68" w:name="_Toc1704"/>
      <w:bookmarkStart w:id="69" w:name="_Toc439316874"/>
      <w:bookmarkStart w:id="70" w:name="_Toc27113"/>
      <w:bookmarkStart w:id="71" w:name="_Toc24643"/>
      <w:bookmarkStart w:id="72" w:name="_Toc8228"/>
      <w:r>
        <w:rPr>
          <w:rFonts w:ascii="宋体" w:hAnsi="宋体"/>
          <w:szCs w:val="21"/>
          <w:highlight w:val="none"/>
          <w:lang w:val="zh-CN"/>
        </w:rPr>
        <w:t>2</w:t>
      </w:r>
      <w:r>
        <w:rPr>
          <w:rFonts w:hint="eastAsia" w:ascii="宋体" w:hAnsi="宋体"/>
          <w:szCs w:val="21"/>
          <w:highlight w:val="none"/>
          <w:lang w:val="zh-CN"/>
        </w:rPr>
        <w:t>、定义</w:t>
      </w:r>
      <w:bookmarkEnd w:id="66"/>
      <w:bookmarkEnd w:id="67"/>
      <w:bookmarkEnd w:id="68"/>
      <w:bookmarkEnd w:id="69"/>
      <w:bookmarkEnd w:id="70"/>
      <w:bookmarkEnd w:id="71"/>
      <w:bookmarkEnd w:id="72"/>
    </w:p>
    <w:p>
      <w:pPr>
        <w:spacing w:line="540" w:lineRule="exact"/>
        <w:ind w:firstLine="420" w:firstLineChars="200"/>
        <w:rPr>
          <w:rFonts w:ascii="宋体" w:hAnsi="宋体"/>
          <w:szCs w:val="21"/>
          <w:highlight w:val="none"/>
        </w:rPr>
      </w:pPr>
      <w:r>
        <w:rPr>
          <w:rFonts w:ascii="宋体" w:hAnsi="宋体"/>
          <w:szCs w:val="21"/>
          <w:highlight w:val="none"/>
        </w:rPr>
        <w:t>2.1</w:t>
      </w:r>
      <w:r>
        <w:rPr>
          <w:rFonts w:hint="eastAsia" w:ascii="宋体" w:hAnsi="宋体"/>
          <w:szCs w:val="21"/>
          <w:highlight w:val="none"/>
        </w:rPr>
        <w:t>、采购单位是指采购人和采购代理机构。</w:t>
      </w:r>
    </w:p>
    <w:p>
      <w:pPr>
        <w:spacing w:line="540" w:lineRule="exact"/>
        <w:ind w:firstLine="420" w:firstLineChars="200"/>
        <w:rPr>
          <w:rFonts w:ascii="宋体" w:hAnsi="宋体"/>
          <w:szCs w:val="21"/>
          <w:highlight w:val="none"/>
        </w:rPr>
      </w:pPr>
      <w:r>
        <w:rPr>
          <w:rFonts w:ascii="宋体" w:hAnsi="宋体"/>
          <w:szCs w:val="21"/>
          <w:highlight w:val="none"/>
        </w:rPr>
        <w:t>2.2</w:t>
      </w:r>
      <w:r>
        <w:rPr>
          <w:rFonts w:hint="eastAsia" w:ascii="宋体" w:hAnsi="宋体"/>
          <w:szCs w:val="21"/>
          <w:highlight w:val="none"/>
        </w:rPr>
        <w:t>、供应商是指对“磋商须知前附表”序号</w:t>
      </w:r>
      <w:r>
        <w:rPr>
          <w:rFonts w:ascii="宋体" w:hAnsi="宋体"/>
          <w:szCs w:val="21"/>
          <w:highlight w:val="none"/>
        </w:rPr>
        <w:t>2</w:t>
      </w:r>
      <w:r>
        <w:rPr>
          <w:rFonts w:hint="eastAsia" w:ascii="宋体" w:hAnsi="宋体"/>
          <w:szCs w:val="21"/>
          <w:highlight w:val="none"/>
        </w:rPr>
        <w:t>所指的项目表现出兴趣，按照约定的程序，从采购单位获取了磋商文件，并实际参与了该项目磋商活动的供应商。</w:t>
      </w:r>
    </w:p>
    <w:p>
      <w:pPr>
        <w:spacing w:line="540" w:lineRule="exact"/>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、供应商资格要求</w:t>
      </w:r>
    </w:p>
    <w:p>
      <w:pPr>
        <w:spacing w:line="540" w:lineRule="exact"/>
        <w:ind w:firstLine="420" w:firstLineChars="200"/>
        <w:rPr>
          <w:rFonts w:hint="eastAsia" w:ascii="宋体" w:hAnsi="宋体"/>
          <w:szCs w:val="21"/>
          <w:highlight w:val="none"/>
          <w:lang w:eastAsia="zh-CN"/>
        </w:rPr>
      </w:pPr>
      <w:r>
        <w:rPr>
          <w:rFonts w:ascii="宋体" w:hAnsi="宋体"/>
          <w:szCs w:val="21"/>
          <w:highlight w:val="none"/>
        </w:rPr>
        <w:t>3.1</w:t>
      </w:r>
      <w:r>
        <w:rPr>
          <w:rFonts w:hint="eastAsia" w:ascii="宋体" w:hAnsi="宋体"/>
          <w:szCs w:val="21"/>
          <w:highlight w:val="none"/>
        </w:rPr>
        <w:t>、参与本项目的供应商必须满足以下要求：见磋商须知前附表。</w:t>
      </w:r>
      <w:r>
        <w:rPr>
          <w:rFonts w:ascii="宋体" w:hAnsi="宋体"/>
          <w:szCs w:val="21"/>
          <w:highlight w:val="none"/>
        </w:rPr>
        <w:t xml:space="preserve"> </w:t>
      </w:r>
    </w:p>
    <w:p>
      <w:pPr>
        <w:spacing w:line="540" w:lineRule="exact"/>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val="en-US" w:eastAsia="zh-CN"/>
        </w:rPr>
        <w:t>3.</w:t>
      </w:r>
      <w:r>
        <w:rPr>
          <w:rFonts w:hint="eastAsia" w:ascii="宋体" w:hAnsi="宋体" w:cs="Times New Roman"/>
          <w:szCs w:val="21"/>
          <w:highlight w:val="none"/>
          <w:lang w:val="en-US" w:eastAsia="zh-CN"/>
        </w:rPr>
        <w:t>2</w:t>
      </w:r>
      <w:r>
        <w:rPr>
          <w:rFonts w:hint="eastAsia" w:ascii="宋体" w:hAnsi="宋体" w:eastAsia="宋体" w:cs="Times New Roman"/>
          <w:szCs w:val="21"/>
          <w:highlight w:val="none"/>
          <w:lang w:val="en-US" w:eastAsia="zh-CN"/>
        </w:rPr>
        <w:t>.1</w:t>
      </w:r>
      <w:r>
        <w:rPr>
          <w:rFonts w:hint="eastAsia" w:ascii="宋体" w:hAnsi="宋体" w:cs="Times New Roman"/>
          <w:szCs w:val="21"/>
          <w:highlight w:val="none"/>
          <w:lang w:val="en-US" w:eastAsia="zh-CN"/>
        </w:rPr>
        <w:t>磋商</w:t>
      </w:r>
      <w:r>
        <w:rPr>
          <w:rFonts w:hint="eastAsia" w:ascii="宋体" w:hAnsi="宋体" w:eastAsia="宋体" w:cs="Times New Roman"/>
          <w:szCs w:val="21"/>
          <w:highlight w:val="none"/>
          <w:lang w:val="en-US" w:eastAsia="zh-CN"/>
        </w:rPr>
        <w:t>响应人（包括联合体各成员）不得与本标段相关单位存在下列关联关系：</w:t>
      </w:r>
    </w:p>
    <w:p>
      <w:pPr>
        <w:spacing w:line="54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（1）为采购人不具有独立法人资格的附属机构（单位）；</w:t>
      </w:r>
    </w:p>
    <w:p>
      <w:pPr>
        <w:spacing w:line="54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（2）与采购人存在利害关系且可能影响招标公正性；</w:t>
      </w:r>
    </w:p>
    <w:p>
      <w:pPr>
        <w:spacing w:line="54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（3）与本标段的其他</w:t>
      </w:r>
      <w:r>
        <w:rPr>
          <w:rFonts w:hint="eastAsia" w:ascii="宋体" w:hAnsi="宋体" w:cs="Times New Roman"/>
          <w:szCs w:val="21"/>
          <w:highlight w:val="none"/>
          <w:lang w:val="en-US" w:eastAsia="zh-CN"/>
        </w:rPr>
        <w:t>磋商响应人</w:t>
      </w:r>
      <w:r>
        <w:rPr>
          <w:rFonts w:hint="eastAsia" w:ascii="宋体" w:hAnsi="宋体" w:eastAsia="宋体" w:cs="Times New Roman"/>
          <w:szCs w:val="21"/>
          <w:highlight w:val="none"/>
          <w:lang w:val="en-US" w:eastAsia="zh-CN"/>
        </w:rPr>
        <w:t>同为一个单位负责人；</w:t>
      </w:r>
    </w:p>
    <w:p>
      <w:pPr>
        <w:spacing w:line="54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（4）与本标段的其他</w:t>
      </w:r>
      <w:r>
        <w:rPr>
          <w:rFonts w:hint="eastAsia" w:ascii="宋体" w:hAnsi="宋体" w:cs="Times New Roman"/>
          <w:szCs w:val="21"/>
          <w:highlight w:val="none"/>
          <w:lang w:val="en-US" w:eastAsia="zh-CN"/>
        </w:rPr>
        <w:t>磋商响应人</w:t>
      </w:r>
      <w:r>
        <w:rPr>
          <w:rFonts w:hint="eastAsia" w:ascii="宋体" w:hAnsi="宋体" w:eastAsia="宋体" w:cs="Times New Roman"/>
          <w:szCs w:val="21"/>
          <w:highlight w:val="none"/>
          <w:lang w:val="en-US" w:eastAsia="zh-CN"/>
        </w:rPr>
        <w:t>存在控股、管理关系；</w:t>
      </w:r>
    </w:p>
    <w:p>
      <w:pPr>
        <w:spacing w:line="54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（5）为本标段前期准备提供设计或咨询服务的法人或其任何附属机构（单位）；</w:t>
      </w:r>
    </w:p>
    <w:p>
      <w:pPr>
        <w:spacing w:line="54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（6）为本标段的监理人；</w:t>
      </w:r>
    </w:p>
    <w:p>
      <w:pPr>
        <w:spacing w:line="54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（7）为本标段的代建人；</w:t>
      </w:r>
    </w:p>
    <w:p>
      <w:pPr>
        <w:spacing w:line="54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（8）为本标段的采购代理机构；</w:t>
      </w:r>
    </w:p>
    <w:p>
      <w:pPr>
        <w:spacing w:line="54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（9）与本标段的监理人或代建人或采购代理机构同为一个法定代表人；</w:t>
      </w:r>
    </w:p>
    <w:p>
      <w:pPr>
        <w:spacing w:line="54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（10）与本标段的监理人或代建人或采购代理机构存在控股或参股关系；</w:t>
      </w:r>
    </w:p>
    <w:p>
      <w:pPr>
        <w:spacing w:line="54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（11）法律法规或</w:t>
      </w:r>
      <w:r>
        <w:rPr>
          <w:rFonts w:hint="eastAsia" w:ascii="宋体" w:hAnsi="宋体" w:cs="Times New Roman"/>
          <w:szCs w:val="21"/>
          <w:highlight w:val="none"/>
          <w:lang w:val="en-US" w:eastAsia="zh-CN"/>
        </w:rPr>
        <w:t>磋商响应人</w:t>
      </w:r>
      <w:r>
        <w:rPr>
          <w:rFonts w:hint="eastAsia" w:ascii="宋体" w:hAnsi="宋体" w:eastAsia="宋体" w:cs="Times New Roman"/>
          <w:szCs w:val="21"/>
          <w:highlight w:val="none"/>
          <w:lang w:val="en-US" w:eastAsia="zh-CN"/>
        </w:rPr>
        <w:t>须知前附表规定的其他情形。</w:t>
      </w:r>
    </w:p>
    <w:p>
      <w:pPr>
        <w:spacing w:line="54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w:t>
      </w:r>
      <w:r>
        <w:rPr>
          <w:rFonts w:hint="eastAsia" w:ascii="宋体" w:hAnsi="宋体" w:cs="Times New Roman"/>
          <w:szCs w:val="21"/>
          <w:highlight w:val="none"/>
          <w:lang w:val="en-US" w:eastAsia="zh-CN"/>
        </w:rPr>
        <w:t>2</w:t>
      </w:r>
      <w:r>
        <w:rPr>
          <w:rFonts w:hint="eastAsia" w:ascii="宋体" w:hAnsi="宋体" w:eastAsia="宋体" w:cs="Times New Roman"/>
          <w:szCs w:val="21"/>
          <w:highlight w:val="none"/>
          <w:lang w:val="en-US" w:eastAsia="zh-CN"/>
        </w:rPr>
        <w:t xml:space="preserve">.2 </w:t>
      </w:r>
      <w:r>
        <w:rPr>
          <w:rFonts w:hint="eastAsia" w:ascii="宋体" w:hAnsi="宋体" w:cs="Times New Roman"/>
          <w:szCs w:val="21"/>
          <w:highlight w:val="none"/>
          <w:lang w:val="en-US" w:eastAsia="zh-CN"/>
        </w:rPr>
        <w:t>磋商</w:t>
      </w:r>
      <w:r>
        <w:rPr>
          <w:rFonts w:hint="eastAsia" w:ascii="宋体" w:hAnsi="宋体" w:eastAsia="宋体" w:cs="Times New Roman"/>
          <w:szCs w:val="21"/>
          <w:highlight w:val="none"/>
          <w:lang w:val="en-US" w:eastAsia="zh-CN"/>
        </w:rPr>
        <w:t>响应人（包括联合体各成员）不得存在下列不良状况或不良信用记录：</w:t>
      </w:r>
    </w:p>
    <w:p>
      <w:pPr>
        <w:spacing w:line="54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（1）被县级及以上建设行政主管部门/房屋建筑和市政基础设施工程招标投标活动的监督部门暂停或取消本次招标项目工程所在地或公共资源交易平台所在地的投标资格，且处于有效期内；</w:t>
      </w:r>
    </w:p>
    <w:p>
      <w:pPr>
        <w:spacing w:line="54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（2）在最近三年内（自投标截止之日向前追溯3年，下同）有重大工程质量事故或重大生产安全事故的（以相关行业主管部门的行政处罚决定或司法机关出具的有关法律文书为准）；</w:t>
      </w:r>
    </w:p>
    <w:p>
      <w:pPr>
        <w:spacing w:line="54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 xml:space="preserve"> 在最近三年内（自投标截止之日向前追溯3年，下同）有骗取中标或严重违约的（以相关行业主管部门的行政处罚决定或司法机关出具的有关法律文书为准）；</w:t>
      </w:r>
    </w:p>
    <w:p>
      <w:pPr>
        <w:spacing w:line="54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（3）被责令停业，暂扣或吊销执照、安全生产许可证，或吊销资质证书；</w:t>
      </w:r>
    </w:p>
    <w:p>
      <w:pPr>
        <w:spacing w:line="54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（4）进入清算程序，或被宣告破产，或其他丧失履约能力的情形；</w:t>
      </w:r>
    </w:p>
    <w:p>
      <w:pPr>
        <w:spacing w:line="54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（5）在国家企业信用信息公示系统（http://www.gsxt.gov.cn/）中被列入严重违法失信企业名单；</w:t>
      </w:r>
    </w:p>
    <w:p>
      <w:pPr>
        <w:spacing w:line="54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（6）在“信用中国”网站（http://www.creditchina.gov.cn/）中被列入失信被执行人名单；</w:t>
      </w:r>
    </w:p>
    <w:p>
      <w:pPr>
        <w:spacing w:line="54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（7）在“信用中国”网站（http://www.creditchina.gov.cn/）中被列入重大税收违法案件当事人名单；</w:t>
      </w:r>
    </w:p>
    <w:p>
      <w:pPr>
        <w:spacing w:line="54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（8）在近三年内</w:t>
      </w:r>
      <w:r>
        <w:rPr>
          <w:rFonts w:hint="eastAsia" w:ascii="宋体" w:hAnsi="宋体" w:cs="Times New Roman"/>
          <w:szCs w:val="21"/>
          <w:highlight w:val="none"/>
          <w:lang w:val="en-US" w:eastAsia="zh-CN"/>
        </w:rPr>
        <w:t>磋商响应人</w:t>
      </w:r>
      <w:r>
        <w:rPr>
          <w:rFonts w:hint="eastAsia" w:ascii="宋体" w:hAnsi="宋体" w:eastAsia="宋体" w:cs="Times New Roman"/>
          <w:szCs w:val="21"/>
          <w:highlight w:val="none"/>
          <w:lang w:val="en-US" w:eastAsia="zh-CN"/>
        </w:rPr>
        <w:t>或其法定代表人、拟委任的项目经理有行贿犯罪行为的；</w:t>
      </w:r>
    </w:p>
    <w:p>
      <w:pPr>
        <w:spacing w:line="54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（9）被人力资源社会保障行政部门列入拖欠农民工工资“黑名单”；</w:t>
      </w:r>
    </w:p>
    <w:p>
      <w:pPr>
        <w:spacing w:line="540" w:lineRule="exact"/>
        <w:ind w:firstLine="420" w:firstLineChars="200"/>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（10）法律法规或</w:t>
      </w:r>
      <w:r>
        <w:rPr>
          <w:rFonts w:hint="eastAsia" w:ascii="宋体" w:hAnsi="宋体" w:cs="Times New Roman"/>
          <w:szCs w:val="21"/>
          <w:highlight w:val="none"/>
          <w:lang w:val="en-US" w:eastAsia="zh-CN"/>
        </w:rPr>
        <w:t>磋商响应人</w:t>
      </w:r>
      <w:r>
        <w:rPr>
          <w:rFonts w:hint="eastAsia" w:ascii="宋体" w:hAnsi="宋体" w:eastAsia="宋体" w:cs="Times New Roman"/>
          <w:szCs w:val="21"/>
          <w:highlight w:val="none"/>
          <w:lang w:val="en-US" w:eastAsia="zh-CN"/>
        </w:rPr>
        <w:t>须知前附表规定的其他情形。</w:t>
      </w:r>
    </w:p>
    <w:p>
      <w:pPr>
        <w:spacing w:line="540" w:lineRule="exact"/>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lang w:val="en-US" w:eastAsia="zh-CN"/>
        </w:rPr>
        <w:t>3</w:t>
      </w:r>
      <w:r>
        <w:rPr>
          <w:rFonts w:hint="eastAsia" w:ascii="宋体" w:hAnsi="宋体"/>
          <w:szCs w:val="21"/>
          <w:highlight w:val="none"/>
        </w:rPr>
        <w:t>、供应商必须确保自己信息真实、准确，否则，供应商因此蒙受损失，采购单位概不负责。</w:t>
      </w:r>
    </w:p>
    <w:p>
      <w:pPr>
        <w:spacing w:line="540" w:lineRule="exact"/>
        <w:ind w:firstLine="422" w:firstLineChars="200"/>
        <w:rPr>
          <w:rFonts w:ascii="宋体" w:hAnsi="宋体"/>
          <w:szCs w:val="21"/>
          <w:highlight w:val="none"/>
        </w:rPr>
      </w:pPr>
      <w:r>
        <w:rPr>
          <w:rFonts w:ascii="宋体" w:hAnsi="宋体"/>
          <w:b/>
          <w:bCs/>
          <w:szCs w:val="21"/>
          <w:highlight w:val="none"/>
        </w:rPr>
        <w:t>4</w:t>
      </w:r>
      <w:r>
        <w:rPr>
          <w:rFonts w:hint="eastAsia" w:ascii="宋体" w:hAnsi="宋体"/>
          <w:b/>
          <w:bCs/>
          <w:szCs w:val="21"/>
          <w:highlight w:val="none"/>
        </w:rPr>
        <w:t>、踏勘现场：</w:t>
      </w:r>
      <w:r>
        <w:rPr>
          <w:rFonts w:hint="eastAsia" w:ascii="宋体" w:hAnsi="宋体"/>
          <w:szCs w:val="21"/>
          <w:highlight w:val="none"/>
          <w:lang w:eastAsia="zh-CN"/>
        </w:rPr>
        <w:t>供应商</w:t>
      </w:r>
      <w:r>
        <w:rPr>
          <w:rFonts w:hint="eastAsia" w:ascii="宋体" w:hAnsi="宋体"/>
          <w:szCs w:val="21"/>
          <w:highlight w:val="none"/>
        </w:rPr>
        <w:t>应按照</w:t>
      </w:r>
      <w:r>
        <w:rPr>
          <w:rFonts w:hint="eastAsia" w:ascii="宋体" w:hAnsi="宋体"/>
          <w:szCs w:val="21"/>
          <w:highlight w:val="none"/>
          <w:lang w:eastAsia="zh-CN"/>
        </w:rPr>
        <w:t>竞争性磋商文件</w:t>
      </w:r>
      <w:r>
        <w:rPr>
          <w:rFonts w:hint="eastAsia" w:ascii="宋体" w:hAnsi="宋体"/>
          <w:szCs w:val="21"/>
          <w:highlight w:val="none"/>
        </w:rPr>
        <w:t>所述，自行对工程现场及周围环境进行踏勘以获得有关编制</w:t>
      </w:r>
      <w:r>
        <w:rPr>
          <w:rFonts w:hint="eastAsia" w:ascii="宋体" w:hAnsi="宋体"/>
          <w:szCs w:val="21"/>
          <w:highlight w:val="none"/>
          <w:lang w:eastAsia="zh-CN"/>
        </w:rPr>
        <w:t>磋商响应文件</w:t>
      </w:r>
      <w:r>
        <w:rPr>
          <w:rFonts w:hint="eastAsia" w:ascii="宋体" w:hAnsi="宋体"/>
          <w:szCs w:val="21"/>
          <w:highlight w:val="none"/>
        </w:rPr>
        <w:t>和签署合同所涉及现场的资料。踏勘现场所发生的自身费用由</w:t>
      </w:r>
      <w:r>
        <w:rPr>
          <w:rFonts w:hint="eastAsia" w:ascii="宋体" w:hAnsi="宋体"/>
          <w:szCs w:val="21"/>
          <w:highlight w:val="none"/>
          <w:lang w:eastAsia="zh-CN"/>
        </w:rPr>
        <w:t>供应商</w:t>
      </w:r>
      <w:r>
        <w:rPr>
          <w:rFonts w:hint="eastAsia" w:ascii="宋体" w:hAnsi="宋体"/>
          <w:szCs w:val="21"/>
          <w:highlight w:val="none"/>
        </w:rPr>
        <w:t>自己承担。经采购人允许，</w:t>
      </w:r>
      <w:r>
        <w:rPr>
          <w:rFonts w:hint="eastAsia" w:ascii="宋体" w:hAnsi="宋体"/>
          <w:szCs w:val="21"/>
          <w:highlight w:val="none"/>
          <w:lang w:eastAsia="zh-CN"/>
        </w:rPr>
        <w:t>供应商</w:t>
      </w:r>
      <w:r>
        <w:rPr>
          <w:rFonts w:hint="eastAsia" w:ascii="宋体" w:hAnsi="宋体"/>
          <w:szCs w:val="21"/>
          <w:highlight w:val="none"/>
        </w:rPr>
        <w:t>可为踏勘目的进入采购人的项目现场，但</w:t>
      </w:r>
      <w:r>
        <w:rPr>
          <w:rFonts w:hint="eastAsia" w:ascii="宋体" w:hAnsi="宋体"/>
          <w:szCs w:val="21"/>
          <w:highlight w:val="none"/>
          <w:lang w:eastAsia="zh-CN"/>
        </w:rPr>
        <w:t>供应商</w:t>
      </w:r>
      <w:r>
        <w:rPr>
          <w:rFonts w:hint="eastAsia" w:ascii="宋体" w:hAnsi="宋体"/>
          <w:szCs w:val="21"/>
          <w:highlight w:val="none"/>
        </w:rPr>
        <w:t>不得因此使采购人承担有关的责任和蒙受损失。</w:t>
      </w:r>
      <w:r>
        <w:rPr>
          <w:rFonts w:hint="eastAsia" w:ascii="宋体" w:hAnsi="宋体"/>
          <w:szCs w:val="21"/>
          <w:highlight w:val="none"/>
          <w:lang w:eastAsia="zh-CN"/>
        </w:rPr>
        <w:t>供应商</w:t>
      </w:r>
      <w:r>
        <w:rPr>
          <w:rFonts w:hint="eastAsia" w:ascii="宋体" w:hAnsi="宋体"/>
          <w:szCs w:val="21"/>
          <w:highlight w:val="none"/>
        </w:rPr>
        <w:t>应承担踏勘现场的责任和风险。</w:t>
      </w:r>
    </w:p>
    <w:p>
      <w:pPr>
        <w:spacing w:line="540" w:lineRule="exact"/>
        <w:ind w:firstLine="420" w:firstLineChars="200"/>
        <w:rPr>
          <w:rFonts w:ascii="宋体" w:hAnsi="宋体"/>
          <w:szCs w:val="21"/>
          <w:highlight w:val="none"/>
          <w:lang w:val="zh-CN"/>
        </w:rPr>
      </w:pPr>
      <w:r>
        <w:rPr>
          <w:rFonts w:ascii="宋体" w:hAnsi="宋体"/>
          <w:szCs w:val="21"/>
          <w:highlight w:val="none"/>
          <w:lang w:val="zh-CN"/>
        </w:rPr>
        <w:t>5</w:t>
      </w:r>
      <w:r>
        <w:rPr>
          <w:rFonts w:hint="eastAsia" w:ascii="宋体" w:hAnsi="宋体"/>
          <w:szCs w:val="21"/>
          <w:highlight w:val="none"/>
          <w:lang w:val="zh-CN"/>
        </w:rPr>
        <w:t>、联合体磋商：</w:t>
      </w:r>
    </w:p>
    <w:p>
      <w:pPr>
        <w:spacing w:line="540" w:lineRule="exact"/>
        <w:ind w:firstLine="420" w:firstLineChars="200"/>
        <w:rPr>
          <w:rFonts w:ascii="宋体" w:hAnsi="宋体"/>
          <w:szCs w:val="21"/>
          <w:highlight w:val="none"/>
        </w:rPr>
      </w:pPr>
      <w:r>
        <w:rPr>
          <w:rFonts w:hint="eastAsia" w:ascii="宋体" w:hAnsi="宋体"/>
          <w:szCs w:val="21"/>
          <w:highlight w:val="none"/>
        </w:rPr>
        <w:t>5.1、除非本项目明确要求不接受联合体形式响应外，两个或两个以上供应商可以组成一个联合体，以一个供应商的身份响应。</w:t>
      </w:r>
    </w:p>
    <w:p>
      <w:pPr>
        <w:spacing w:line="540" w:lineRule="exact"/>
        <w:ind w:firstLine="420" w:firstLineChars="200"/>
        <w:rPr>
          <w:rFonts w:ascii="宋体" w:hAnsi="宋体"/>
          <w:szCs w:val="21"/>
          <w:highlight w:val="none"/>
        </w:rPr>
      </w:pPr>
      <w:r>
        <w:rPr>
          <w:rFonts w:hint="eastAsia" w:ascii="宋体" w:hAnsi="宋体"/>
          <w:szCs w:val="21"/>
          <w:highlight w:val="none"/>
        </w:rPr>
        <w:t>5.2、以联合体形式参加响应的，联合体各方均应当符合《政府采购法》第二十二条第一款规定的条件，根据采购项目的特殊要求规定供应商特定条件的，联合体各方中至少应当有一方符合。</w:t>
      </w:r>
    </w:p>
    <w:p>
      <w:pPr>
        <w:spacing w:line="540" w:lineRule="exact"/>
        <w:ind w:firstLine="420" w:firstLineChars="200"/>
        <w:rPr>
          <w:rFonts w:ascii="宋体" w:hAnsi="宋体"/>
          <w:szCs w:val="21"/>
          <w:highlight w:val="none"/>
        </w:rPr>
      </w:pPr>
      <w:r>
        <w:rPr>
          <w:rFonts w:hint="eastAsia" w:ascii="宋体" w:hAnsi="宋体"/>
          <w:szCs w:val="21"/>
          <w:highlight w:val="none"/>
        </w:rPr>
        <w:t>5.3、联合体各方之间应当签订联合体协议，明确约定联合体各方应当承担的工作和相应的责任，并将联合体协议连同磋商响应文件一并提交采购单位。由同一专业的单位组成的联合体，按照同一资质等级较低的单位确定资质等级。联合体各方签订联合体协议后，不得再以自己的名义单独在同一项目中磋商响应，也不得组成新的联合体参加同一项目磋商响应。</w:t>
      </w:r>
    </w:p>
    <w:p>
      <w:pPr>
        <w:spacing w:line="540" w:lineRule="exact"/>
        <w:ind w:firstLine="420" w:firstLineChars="200"/>
        <w:rPr>
          <w:rFonts w:ascii="宋体" w:hAnsi="宋体"/>
          <w:szCs w:val="21"/>
          <w:highlight w:val="none"/>
          <w:lang w:val="zh-CN"/>
        </w:rPr>
      </w:pPr>
      <w:bookmarkStart w:id="73" w:name="_Toc439316875"/>
      <w:bookmarkStart w:id="74" w:name="_Toc439316921"/>
      <w:r>
        <w:rPr>
          <w:rFonts w:ascii="宋体" w:hAnsi="宋体"/>
          <w:szCs w:val="21"/>
          <w:highlight w:val="none"/>
        </w:rPr>
        <w:t>6</w:t>
      </w:r>
      <w:r>
        <w:rPr>
          <w:rFonts w:hint="eastAsia" w:ascii="宋体" w:hAnsi="宋体"/>
          <w:szCs w:val="21"/>
          <w:highlight w:val="none"/>
        </w:rPr>
        <w:t>、</w:t>
      </w:r>
      <w:r>
        <w:rPr>
          <w:rFonts w:hint="eastAsia" w:ascii="宋体" w:hAnsi="宋体"/>
          <w:szCs w:val="21"/>
          <w:highlight w:val="none"/>
          <w:lang w:val="zh-CN"/>
        </w:rPr>
        <w:t>磋商费用：供应商必须自行承担参加磋商所有费用，无论成交与否，采购单位在任何情况下均无义务和责任承担这些费用。</w:t>
      </w:r>
      <w:bookmarkEnd w:id="73"/>
      <w:bookmarkEnd w:id="74"/>
    </w:p>
    <w:p>
      <w:pPr>
        <w:autoSpaceDE w:val="0"/>
        <w:autoSpaceDN w:val="0"/>
        <w:adjustRightInd w:val="0"/>
        <w:snapToGrid w:val="0"/>
        <w:spacing w:line="480" w:lineRule="exact"/>
        <w:ind w:firstLine="420"/>
        <w:outlineLvl w:val="2"/>
        <w:rPr>
          <w:rFonts w:ascii="宋体"/>
          <w:b/>
          <w:bCs/>
          <w:szCs w:val="21"/>
          <w:highlight w:val="none"/>
          <w:lang w:val="zh-CN"/>
        </w:rPr>
      </w:pPr>
      <w:bookmarkStart w:id="75" w:name="_Toc54941333"/>
      <w:r>
        <w:rPr>
          <w:rFonts w:hint="eastAsia" w:ascii="宋体" w:hAnsi="宋体"/>
          <w:b/>
          <w:bCs/>
          <w:szCs w:val="21"/>
          <w:highlight w:val="none"/>
          <w:lang w:val="zh-CN"/>
        </w:rPr>
        <w:t>二、磋商文件</w:t>
      </w:r>
      <w:bookmarkEnd w:id="75"/>
    </w:p>
    <w:p>
      <w:pPr>
        <w:spacing w:line="480" w:lineRule="exact"/>
        <w:ind w:firstLine="422" w:firstLineChars="200"/>
        <w:rPr>
          <w:rFonts w:ascii="宋体"/>
          <w:b/>
          <w:szCs w:val="21"/>
          <w:highlight w:val="none"/>
        </w:rPr>
      </w:pPr>
      <w:r>
        <w:rPr>
          <w:rFonts w:ascii="宋体" w:hAnsi="宋体"/>
          <w:b/>
          <w:szCs w:val="21"/>
          <w:highlight w:val="none"/>
        </w:rPr>
        <w:t>7</w:t>
      </w:r>
      <w:r>
        <w:rPr>
          <w:rFonts w:hint="eastAsia" w:ascii="宋体" w:hAnsi="宋体"/>
          <w:b/>
          <w:szCs w:val="21"/>
          <w:highlight w:val="none"/>
        </w:rPr>
        <w:t>、磋商文件的构成</w:t>
      </w:r>
    </w:p>
    <w:p>
      <w:pPr>
        <w:spacing w:line="540" w:lineRule="exact"/>
        <w:ind w:firstLine="420" w:firstLineChars="200"/>
        <w:rPr>
          <w:rFonts w:ascii="宋体"/>
          <w:szCs w:val="21"/>
          <w:highlight w:val="none"/>
        </w:rPr>
      </w:pPr>
      <w:r>
        <w:rPr>
          <w:rFonts w:ascii="宋体" w:hAnsi="宋体"/>
          <w:szCs w:val="21"/>
          <w:highlight w:val="none"/>
        </w:rPr>
        <w:t>7.1</w:t>
      </w:r>
      <w:r>
        <w:rPr>
          <w:rFonts w:hint="eastAsia" w:ascii="宋体" w:hAnsi="宋体"/>
          <w:szCs w:val="21"/>
          <w:highlight w:val="none"/>
        </w:rPr>
        <w:t>、磋商文件包括：</w:t>
      </w:r>
    </w:p>
    <w:p>
      <w:pPr>
        <w:spacing w:line="540" w:lineRule="exact"/>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）第一章</w:t>
      </w:r>
      <w:r>
        <w:rPr>
          <w:rFonts w:ascii="宋体" w:hAnsi="宋体"/>
          <w:szCs w:val="21"/>
          <w:highlight w:val="none"/>
        </w:rPr>
        <w:t xml:space="preserve">  </w:t>
      </w:r>
      <w:r>
        <w:rPr>
          <w:rFonts w:hint="eastAsia" w:ascii="宋体" w:hAnsi="宋体"/>
          <w:szCs w:val="21"/>
          <w:highlight w:val="none"/>
        </w:rPr>
        <w:t>竞争性磋商公告；</w:t>
      </w:r>
    </w:p>
    <w:p>
      <w:pPr>
        <w:spacing w:line="540" w:lineRule="exact"/>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）第二章</w:t>
      </w:r>
      <w:r>
        <w:rPr>
          <w:rFonts w:ascii="宋体" w:hAnsi="宋体"/>
          <w:szCs w:val="21"/>
          <w:highlight w:val="none"/>
        </w:rPr>
        <w:t xml:space="preserve">  </w:t>
      </w:r>
      <w:r>
        <w:rPr>
          <w:rFonts w:hint="eastAsia" w:ascii="宋体" w:hAnsi="宋体"/>
          <w:szCs w:val="21"/>
          <w:highlight w:val="none"/>
        </w:rPr>
        <w:t>磋商须知；</w:t>
      </w:r>
    </w:p>
    <w:p>
      <w:pPr>
        <w:spacing w:line="540" w:lineRule="exact"/>
        <w:ind w:firstLine="420" w:firstLineChars="200"/>
        <w:rPr>
          <w:rFonts w:ascii="宋体"/>
          <w:szCs w:val="21"/>
          <w:highlight w:val="none"/>
        </w:rPr>
      </w:pPr>
      <w:r>
        <w:rPr>
          <w:rFonts w:hint="eastAsia"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）第</w:t>
      </w:r>
      <w:r>
        <w:rPr>
          <w:rFonts w:hint="eastAsia" w:ascii="宋体" w:hAnsi="宋体"/>
          <w:szCs w:val="21"/>
          <w:highlight w:val="none"/>
          <w:lang w:val="en-US" w:eastAsia="zh-CN"/>
        </w:rPr>
        <w:t>三</w:t>
      </w:r>
      <w:r>
        <w:rPr>
          <w:rFonts w:hint="eastAsia" w:ascii="宋体" w:hAnsi="宋体"/>
          <w:szCs w:val="21"/>
          <w:highlight w:val="none"/>
        </w:rPr>
        <w:t>章</w:t>
      </w:r>
      <w:r>
        <w:rPr>
          <w:rFonts w:ascii="宋体" w:hAnsi="宋体"/>
          <w:szCs w:val="21"/>
          <w:highlight w:val="none"/>
        </w:rPr>
        <w:t xml:space="preserve">  </w:t>
      </w:r>
      <w:r>
        <w:rPr>
          <w:rFonts w:hint="eastAsia" w:ascii="宋体" w:hAnsi="宋体"/>
          <w:szCs w:val="21"/>
          <w:highlight w:val="none"/>
        </w:rPr>
        <w:t>合同主要条款；</w:t>
      </w:r>
    </w:p>
    <w:p>
      <w:pPr>
        <w:spacing w:line="540" w:lineRule="exact"/>
        <w:ind w:firstLine="420" w:firstLineChars="200"/>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4</w:t>
      </w:r>
      <w:r>
        <w:rPr>
          <w:rFonts w:hint="eastAsia" w:ascii="宋体" w:hAnsi="宋体"/>
          <w:szCs w:val="21"/>
          <w:highlight w:val="none"/>
        </w:rPr>
        <w:t>）第</w:t>
      </w:r>
      <w:r>
        <w:rPr>
          <w:rFonts w:hint="eastAsia" w:ascii="宋体" w:hAnsi="宋体"/>
          <w:szCs w:val="21"/>
          <w:highlight w:val="none"/>
          <w:lang w:val="en-US" w:eastAsia="zh-CN"/>
        </w:rPr>
        <w:t>四</w:t>
      </w:r>
      <w:r>
        <w:rPr>
          <w:rFonts w:hint="eastAsia" w:ascii="宋体" w:hAnsi="宋体"/>
          <w:szCs w:val="21"/>
          <w:highlight w:val="none"/>
        </w:rPr>
        <w:t>章  响应文件格式；</w:t>
      </w:r>
    </w:p>
    <w:p>
      <w:pPr>
        <w:spacing w:line="54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（5）</w:t>
      </w:r>
      <w:r>
        <w:rPr>
          <w:rFonts w:hint="eastAsia" w:ascii="宋体" w:hAnsi="宋体"/>
          <w:szCs w:val="21"/>
          <w:highlight w:val="none"/>
        </w:rPr>
        <w:t>第</w:t>
      </w:r>
      <w:r>
        <w:rPr>
          <w:rFonts w:hint="eastAsia" w:ascii="宋体" w:hAnsi="宋体"/>
          <w:szCs w:val="21"/>
          <w:highlight w:val="none"/>
          <w:lang w:val="en-US" w:eastAsia="zh-CN"/>
        </w:rPr>
        <w:t>五</w:t>
      </w:r>
      <w:r>
        <w:rPr>
          <w:rFonts w:hint="eastAsia" w:ascii="宋体" w:hAnsi="宋体"/>
          <w:szCs w:val="21"/>
          <w:highlight w:val="none"/>
        </w:rPr>
        <w:t>章</w:t>
      </w:r>
      <w:r>
        <w:rPr>
          <w:rFonts w:hint="eastAsia" w:ascii="宋体" w:hAnsi="宋体"/>
          <w:szCs w:val="21"/>
          <w:highlight w:val="none"/>
          <w:lang w:val="en-US" w:eastAsia="zh-CN"/>
        </w:rPr>
        <w:t xml:space="preserve">  </w:t>
      </w:r>
      <w:r>
        <w:rPr>
          <w:rFonts w:hint="eastAsia" w:ascii="宋体" w:hAnsi="宋体" w:eastAsia="宋体" w:cs="Times New Roman"/>
          <w:szCs w:val="21"/>
          <w:highlight w:val="none"/>
          <w:lang w:val="en-US" w:eastAsia="zh-CN"/>
        </w:rPr>
        <w:t>工程技术经济要求；</w:t>
      </w:r>
    </w:p>
    <w:p>
      <w:pPr>
        <w:spacing w:line="54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（6）</w:t>
      </w:r>
      <w:r>
        <w:rPr>
          <w:rFonts w:hint="eastAsia" w:ascii="宋体" w:hAnsi="宋体"/>
          <w:szCs w:val="21"/>
          <w:highlight w:val="none"/>
        </w:rPr>
        <w:t>第</w:t>
      </w:r>
      <w:r>
        <w:rPr>
          <w:rFonts w:hint="eastAsia" w:ascii="宋体" w:hAnsi="宋体"/>
          <w:szCs w:val="21"/>
          <w:highlight w:val="none"/>
          <w:lang w:val="en-US" w:eastAsia="zh-CN"/>
        </w:rPr>
        <w:t>六</w:t>
      </w:r>
      <w:r>
        <w:rPr>
          <w:rFonts w:hint="eastAsia" w:ascii="宋体" w:hAnsi="宋体"/>
          <w:szCs w:val="21"/>
          <w:highlight w:val="none"/>
        </w:rPr>
        <w:t>章</w:t>
      </w:r>
      <w:r>
        <w:rPr>
          <w:rFonts w:hint="eastAsia" w:ascii="宋体" w:hAnsi="宋体"/>
          <w:szCs w:val="21"/>
          <w:highlight w:val="none"/>
          <w:lang w:val="en-US" w:eastAsia="zh-CN"/>
        </w:rPr>
        <w:t xml:space="preserve">  </w:t>
      </w:r>
      <w:r>
        <w:rPr>
          <w:rFonts w:hint="eastAsia" w:ascii="宋体" w:hAnsi="宋体" w:eastAsia="宋体" w:cs="Times New Roman"/>
          <w:szCs w:val="21"/>
          <w:highlight w:val="none"/>
          <w:lang w:val="en-US" w:eastAsia="zh-CN"/>
        </w:rPr>
        <w:t>施工图设计文件；</w:t>
      </w:r>
    </w:p>
    <w:p>
      <w:pPr>
        <w:spacing w:line="540" w:lineRule="exact"/>
        <w:ind w:firstLine="420" w:firstLineChars="200"/>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（7）</w:t>
      </w:r>
      <w:r>
        <w:rPr>
          <w:rFonts w:hint="eastAsia" w:ascii="宋体" w:hAnsi="宋体"/>
          <w:szCs w:val="21"/>
          <w:highlight w:val="none"/>
        </w:rPr>
        <w:t>第</w:t>
      </w:r>
      <w:r>
        <w:rPr>
          <w:rFonts w:hint="eastAsia" w:ascii="宋体" w:hAnsi="宋体"/>
          <w:szCs w:val="21"/>
          <w:highlight w:val="none"/>
          <w:lang w:val="en-US" w:eastAsia="zh-CN"/>
        </w:rPr>
        <w:t>七</w:t>
      </w:r>
      <w:r>
        <w:rPr>
          <w:rFonts w:hint="eastAsia" w:ascii="宋体" w:hAnsi="宋体"/>
          <w:szCs w:val="21"/>
          <w:highlight w:val="none"/>
        </w:rPr>
        <w:t>章</w:t>
      </w:r>
      <w:r>
        <w:rPr>
          <w:rFonts w:hint="eastAsia" w:ascii="宋体" w:hAnsi="宋体"/>
          <w:szCs w:val="21"/>
          <w:highlight w:val="none"/>
          <w:lang w:val="en-US" w:eastAsia="zh-CN"/>
        </w:rPr>
        <w:t xml:space="preserve">  </w:t>
      </w:r>
      <w:r>
        <w:rPr>
          <w:rFonts w:hint="eastAsia" w:ascii="宋体" w:hAnsi="宋体" w:eastAsia="宋体" w:cs="Times New Roman"/>
          <w:szCs w:val="21"/>
          <w:highlight w:val="none"/>
          <w:lang w:val="en-US" w:eastAsia="zh-CN"/>
        </w:rPr>
        <w:t>工程量清单；</w:t>
      </w:r>
    </w:p>
    <w:p>
      <w:pPr>
        <w:spacing w:line="540" w:lineRule="exact"/>
        <w:ind w:firstLine="420" w:firstLineChars="200"/>
        <w:rPr>
          <w:rFonts w:ascii="宋体" w:hAnsi="宋体" w:cs="宋体"/>
          <w:color w:val="000000"/>
          <w:szCs w:val="21"/>
          <w:highlight w:val="none"/>
        </w:rPr>
      </w:pPr>
      <w:r>
        <w:rPr>
          <w:rFonts w:hint="eastAsia" w:ascii="宋体" w:hAnsi="宋体"/>
          <w:szCs w:val="21"/>
          <w:highlight w:val="none"/>
        </w:rPr>
        <w:t>（</w:t>
      </w:r>
      <w:r>
        <w:rPr>
          <w:rFonts w:hint="eastAsia" w:ascii="宋体" w:hAnsi="宋体"/>
          <w:szCs w:val="21"/>
          <w:highlight w:val="none"/>
          <w:lang w:val="en-US" w:eastAsia="zh-CN"/>
        </w:rPr>
        <w:t>8</w:t>
      </w:r>
      <w:r>
        <w:rPr>
          <w:rFonts w:hint="eastAsia" w:ascii="宋体" w:hAnsi="宋体"/>
          <w:szCs w:val="21"/>
          <w:highlight w:val="none"/>
        </w:rPr>
        <w:t>）第</w:t>
      </w:r>
      <w:r>
        <w:rPr>
          <w:rFonts w:hint="eastAsia" w:ascii="宋体" w:hAnsi="宋体"/>
          <w:szCs w:val="21"/>
          <w:highlight w:val="none"/>
          <w:lang w:val="en-US" w:eastAsia="zh-CN"/>
        </w:rPr>
        <w:t>八</w:t>
      </w:r>
      <w:r>
        <w:rPr>
          <w:rFonts w:hint="eastAsia" w:ascii="宋体" w:hAnsi="宋体"/>
          <w:szCs w:val="21"/>
          <w:highlight w:val="none"/>
        </w:rPr>
        <w:t>章  政府采购供应商质疑函范本。</w:t>
      </w:r>
    </w:p>
    <w:p>
      <w:pPr>
        <w:spacing w:line="540" w:lineRule="exact"/>
        <w:ind w:firstLine="420" w:firstLineChars="200"/>
        <w:rPr>
          <w:rFonts w:ascii="宋体"/>
          <w:szCs w:val="21"/>
          <w:highlight w:val="none"/>
        </w:rPr>
      </w:pPr>
      <w:r>
        <w:rPr>
          <w:rFonts w:ascii="宋体" w:hAnsi="宋体"/>
          <w:szCs w:val="21"/>
          <w:highlight w:val="none"/>
        </w:rPr>
        <w:t>7.2</w:t>
      </w:r>
      <w:r>
        <w:rPr>
          <w:rFonts w:hint="eastAsia" w:ascii="宋体" w:hAnsi="宋体"/>
          <w:szCs w:val="21"/>
          <w:highlight w:val="none"/>
        </w:rPr>
        <w:t>、供应商应认真阅读和充分理解磋商文件中所有的内容。如果供应商没有满足磋商文件的有关要求，其风险由供应商自行承担。</w:t>
      </w:r>
    </w:p>
    <w:p>
      <w:pPr>
        <w:spacing w:line="540" w:lineRule="exact"/>
        <w:ind w:firstLine="420" w:firstLineChars="200"/>
        <w:rPr>
          <w:rFonts w:ascii="宋体"/>
          <w:b w:val="0"/>
          <w:bCs w:val="0"/>
          <w:szCs w:val="21"/>
          <w:highlight w:val="none"/>
        </w:rPr>
      </w:pPr>
      <w:r>
        <w:rPr>
          <w:rFonts w:ascii="宋体" w:hAnsi="宋体"/>
          <w:szCs w:val="21"/>
          <w:highlight w:val="none"/>
        </w:rPr>
        <w:t>7.3</w:t>
      </w:r>
      <w:r>
        <w:rPr>
          <w:rFonts w:hint="eastAsia" w:ascii="宋体" w:hAnsi="宋体"/>
          <w:szCs w:val="21"/>
          <w:highlight w:val="none"/>
        </w:rPr>
        <w:t>、</w:t>
      </w:r>
      <w:r>
        <w:rPr>
          <w:rFonts w:hint="eastAsia" w:ascii="宋体" w:hAnsi="宋体"/>
          <w:b w:val="0"/>
          <w:bCs w:val="0"/>
          <w:szCs w:val="21"/>
          <w:highlight w:val="none"/>
        </w:rPr>
        <w:t>供应商获取磋商文件后，应仔细检查磋商文件的所有内容，如有残缺、</w:t>
      </w:r>
      <w:r>
        <w:rPr>
          <w:rFonts w:hint="eastAsia" w:ascii="宋体" w:hAnsi="宋体" w:cs="宋体"/>
          <w:b w:val="0"/>
          <w:bCs w:val="0"/>
          <w:szCs w:val="21"/>
          <w:highlight w:val="none"/>
        </w:rPr>
        <w:t>文本不清晰、</w:t>
      </w:r>
      <w:r>
        <w:rPr>
          <w:rFonts w:hint="eastAsia" w:ascii="宋体" w:hAnsi="宋体"/>
          <w:b w:val="0"/>
          <w:bCs w:val="0"/>
          <w:szCs w:val="21"/>
          <w:highlight w:val="none"/>
        </w:rPr>
        <w:t>表述不一致等问题应在获得磋商文件</w:t>
      </w:r>
      <w:r>
        <w:rPr>
          <w:rFonts w:ascii="宋体" w:hAnsi="宋体"/>
          <w:b w:val="0"/>
          <w:bCs w:val="0"/>
          <w:szCs w:val="21"/>
          <w:highlight w:val="none"/>
        </w:rPr>
        <w:t xml:space="preserve">3 </w:t>
      </w:r>
      <w:r>
        <w:rPr>
          <w:rFonts w:hint="eastAsia" w:ascii="宋体" w:hAnsi="宋体"/>
          <w:b w:val="0"/>
          <w:bCs w:val="0"/>
          <w:szCs w:val="21"/>
          <w:highlight w:val="none"/>
        </w:rPr>
        <w:t>日内向采购单位提出，否则，由此引起的损失由供应商自己承担。供应商同时应认真审阅磋商文件中所有的事项、格式、条款和规范要求等，若供应商的响应文件没有按磋商文件要求提交全部资料及自己理解产生的误差，或响应文件没有对磋商文件做出实质性响应，其风险由供应商自行承担，并根据有关条款约定，该响应有可能被拒绝。</w:t>
      </w:r>
    </w:p>
    <w:p>
      <w:pPr>
        <w:spacing w:line="360" w:lineRule="auto"/>
        <w:ind w:firstLine="422" w:firstLineChars="200"/>
        <w:rPr>
          <w:rFonts w:ascii="宋体"/>
          <w:b/>
          <w:szCs w:val="21"/>
          <w:highlight w:val="none"/>
        </w:rPr>
      </w:pPr>
      <w:r>
        <w:rPr>
          <w:rFonts w:ascii="宋体" w:hAnsi="宋体"/>
          <w:b/>
          <w:szCs w:val="21"/>
          <w:highlight w:val="none"/>
        </w:rPr>
        <w:t>8</w:t>
      </w:r>
      <w:r>
        <w:rPr>
          <w:rFonts w:hint="eastAsia" w:ascii="宋体" w:hAnsi="宋体"/>
          <w:b/>
          <w:szCs w:val="21"/>
          <w:highlight w:val="none"/>
        </w:rPr>
        <w:t>、磋商文件的澄清</w:t>
      </w:r>
    </w:p>
    <w:p>
      <w:pPr>
        <w:spacing w:line="540" w:lineRule="exact"/>
        <w:ind w:firstLine="420" w:firstLineChars="200"/>
        <w:rPr>
          <w:rFonts w:ascii="宋体"/>
          <w:szCs w:val="21"/>
          <w:highlight w:val="none"/>
        </w:rPr>
      </w:pPr>
      <w:r>
        <w:rPr>
          <w:rFonts w:ascii="宋体" w:hAnsi="宋体"/>
          <w:szCs w:val="21"/>
          <w:highlight w:val="none"/>
        </w:rPr>
        <w:t>8.1</w:t>
      </w:r>
      <w:r>
        <w:rPr>
          <w:rFonts w:hint="eastAsia" w:ascii="宋体" w:hAnsi="宋体"/>
          <w:szCs w:val="21"/>
          <w:highlight w:val="none"/>
        </w:rPr>
        <w:t>、供应商可以通过电子交易系统要求采购单位对磋商文件中的有关问题进行答疑或澄清。</w:t>
      </w:r>
    </w:p>
    <w:p>
      <w:pPr>
        <w:spacing w:line="540" w:lineRule="exact"/>
        <w:ind w:firstLine="420" w:firstLineChars="200"/>
        <w:rPr>
          <w:rFonts w:ascii="宋体"/>
          <w:szCs w:val="21"/>
          <w:highlight w:val="none"/>
        </w:rPr>
      </w:pPr>
      <w:r>
        <w:rPr>
          <w:rFonts w:ascii="宋体" w:hAnsi="宋体"/>
          <w:szCs w:val="21"/>
          <w:highlight w:val="none"/>
        </w:rPr>
        <w:t>8.</w:t>
      </w:r>
      <w:r>
        <w:rPr>
          <w:rFonts w:hint="eastAsia" w:ascii="宋体" w:hAnsi="宋体"/>
          <w:szCs w:val="21"/>
          <w:highlight w:val="none"/>
        </w:rPr>
        <w:t>2、采购单位对在约定时间收到的、且需要做出澄清的问题，将以本须知所述方式进行答复，但不说明问题的来源。</w:t>
      </w:r>
    </w:p>
    <w:p>
      <w:pPr>
        <w:spacing w:line="360" w:lineRule="auto"/>
        <w:ind w:firstLine="422" w:firstLineChars="200"/>
        <w:rPr>
          <w:rFonts w:ascii="宋体"/>
          <w:b/>
          <w:szCs w:val="21"/>
          <w:highlight w:val="none"/>
        </w:rPr>
      </w:pPr>
      <w:r>
        <w:rPr>
          <w:rFonts w:ascii="宋体" w:hAnsi="宋体"/>
          <w:b/>
          <w:szCs w:val="21"/>
          <w:highlight w:val="none"/>
        </w:rPr>
        <w:t>9</w:t>
      </w:r>
      <w:r>
        <w:rPr>
          <w:rFonts w:hint="eastAsia" w:ascii="宋体" w:hAnsi="宋体"/>
          <w:b/>
          <w:szCs w:val="21"/>
          <w:highlight w:val="none"/>
        </w:rPr>
        <w:t>、磋商文件的修改</w:t>
      </w:r>
    </w:p>
    <w:p>
      <w:pPr>
        <w:spacing w:line="540" w:lineRule="exact"/>
        <w:ind w:firstLine="420" w:firstLineChars="200"/>
        <w:rPr>
          <w:rFonts w:ascii="宋体"/>
          <w:szCs w:val="21"/>
          <w:highlight w:val="none"/>
        </w:rPr>
      </w:pPr>
      <w:r>
        <w:rPr>
          <w:rFonts w:ascii="宋体" w:hAnsi="宋体"/>
          <w:szCs w:val="21"/>
          <w:highlight w:val="none"/>
        </w:rPr>
        <w:t>9.1</w:t>
      </w:r>
      <w:r>
        <w:rPr>
          <w:rFonts w:hint="eastAsia" w:ascii="宋体" w:hAnsi="宋体"/>
          <w:szCs w:val="21"/>
          <w:highlight w:val="none"/>
        </w:rPr>
        <w:t>、采购单位可以对磋商文件进行修改。</w:t>
      </w:r>
    </w:p>
    <w:p>
      <w:pPr>
        <w:spacing w:line="540" w:lineRule="exact"/>
        <w:ind w:firstLine="420" w:firstLineChars="200"/>
        <w:rPr>
          <w:rFonts w:ascii="宋体"/>
          <w:szCs w:val="21"/>
          <w:highlight w:val="none"/>
        </w:rPr>
      </w:pPr>
      <w:r>
        <w:rPr>
          <w:rFonts w:ascii="宋体" w:hAnsi="宋体"/>
          <w:szCs w:val="21"/>
          <w:highlight w:val="none"/>
        </w:rPr>
        <w:t>9.2</w:t>
      </w:r>
      <w:r>
        <w:rPr>
          <w:rFonts w:hint="eastAsia" w:ascii="宋体" w:hAnsi="宋体"/>
          <w:szCs w:val="21"/>
          <w:highlight w:val="none"/>
        </w:rPr>
        <w:t>、采购单位对磋商文件的澄清、修改、补充说明等内容</w:t>
      </w:r>
      <w:r>
        <w:rPr>
          <w:rFonts w:hint="eastAsia" w:ascii="宋体" w:hAnsi="宋体"/>
          <w:b/>
          <w:bCs/>
          <w:szCs w:val="21"/>
          <w:highlight w:val="none"/>
        </w:rPr>
        <w:t>均通过安庆市公共资源交易服务网发布，该修改内容作为磋商文件的组成部分，具有约束作用</w:t>
      </w:r>
      <w:r>
        <w:rPr>
          <w:rFonts w:hint="eastAsia" w:ascii="宋体" w:hAnsi="宋体"/>
          <w:szCs w:val="21"/>
          <w:highlight w:val="none"/>
        </w:rPr>
        <w:t>。</w:t>
      </w:r>
    </w:p>
    <w:p>
      <w:pPr>
        <w:spacing w:line="540" w:lineRule="exact"/>
        <w:ind w:firstLine="420" w:firstLineChars="200"/>
        <w:rPr>
          <w:rFonts w:ascii="宋体"/>
          <w:szCs w:val="21"/>
          <w:highlight w:val="none"/>
        </w:rPr>
      </w:pPr>
      <w:r>
        <w:rPr>
          <w:rFonts w:ascii="宋体" w:hAnsi="宋体"/>
          <w:szCs w:val="21"/>
          <w:highlight w:val="none"/>
        </w:rPr>
        <w:t>9.3</w:t>
      </w:r>
      <w:r>
        <w:rPr>
          <w:rFonts w:hint="eastAsia" w:ascii="宋体" w:hAnsi="宋体"/>
          <w:szCs w:val="21"/>
          <w:highlight w:val="none"/>
        </w:rPr>
        <w:t>、当磋商文件与对磋商文件的澄清、修改、补充等在同一内容的表述上不一致时，以最后发出的为准。</w:t>
      </w:r>
    </w:p>
    <w:p>
      <w:pPr>
        <w:spacing w:line="540" w:lineRule="exact"/>
        <w:ind w:firstLine="420" w:firstLineChars="200"/>
        <w:rPr>
          <w:rFonts w:hint="eastAsia" w:ascii="宋体" w:hAnsi="宋体" w:eastAsia="宋体" w:cs="Times New Roman"/>
          <w:szCs w:val="21"/>
          <w:highlight w:val="none"/>
        </w:rPr>
      </w:pPr>
      <w:r>
        <w:rPr>
          <w:rFonts w:ascii="宋体" w:hAnsi="宋体"/>
          <w:szCs w:val="21"/>
          <w:highlight w:val="none"/>
        </w:rPr>
        <w:t>9.4</w:t>
      </w:r>
      <w:r>
        <w:rPr>
          <w:rFonts w:hint="eastAsia" w:ascii="宋体" w:hAnsi="宋体"/>
          <w:szCs w:val="21"/>
          <w:highlight w:val="none"/>
        </w:rPr>
        <w:t>、为使供应商有充分时间对磋商文件的澄清、修改、补充部分进行研究、或是由于</w:t>
      </w:r>
      <w:r>
        <w:rPr>
          <w:rFonts w:hint="eastAsia" w:ascii="宋体" w:hAnsi="宋体" w:eastAsia="宋体" w:cs="Times New Roman"/>
          <w:szCs w:val="21"/>
          <w:highlight w:val="none"/>
        </w:rPr>
        <w:t>其他原因，采购单位可以决定顺延磋商时间，具体时间通过安庆市公共资源交易服务网发布。</w:t>
      </w:r>
    </w:p>
    <w:p>
      <w:pPr>
        <w:spacing w:line="54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lang w:val="en-US" w:eastAsia="zh-CN"/>
        </w:rPr>
        <w:t>9.5、</w:t>
      </w:r>
      <w:r>
        <w:rPr>
          <w:rFonts w:hint="eastAsia" w:ascii="宋体" w:hAnsi="宋体" w:cs="Times New Roman"/>
          <w:szCs w:val="21"/>
          <w:highlight w:val="none"/>
          <w:lang w:eastAsia="zh-CN"/>
        </w:rPr>
        <w:t>供应商</w:t>
      </w:r>
      <w:r>
        <w:rPr>
          <w:rFonts w:hint="eastAsia" w:ascii="宋体" w:hAnsi="宋体" w:eastAsia="宋体" w:cs="Times New Roman"/>
          <w:szCs w:val="21"/>
          <w:highlight w:val="none"/>
        </w:rPr>
        <w:t>对工程量清单中工程量提出问题的，必须附计算书，并随时准备接受采购人组织的核对。不能提供计算书或不能按要求参加核对的，采购人对此问题不予受理，以后也不再调整工程量清单。</w:t>
      </w:r>
    </w:p>
    <w:p>
      <w:pPr>
        <w:pStyle w:val="5"/>
        <w:numPr>
          <w:ilvl w:val="0"/>
          <w:numId w:val="8"/>
        </w:numPr>
        <w:wordWrap/>
        <w:spacing w:line="360" w:lineRule="auto"/>
        <w:ind w:firstLine="413" w:firstLineChars="196"/>
        <w:rPr>
          <w:highlight w:val="none"/>
        </w:rPr>
      </w:pPr>
      <w:bookmarkStart w:id="76" w:name="_Toc54941334"/>
      <w:bookmarkStart w:id="77" w:name="_Toc31936"/>
      <w:r>
        <w:rPr>
          <w:rFonts w:hint="eastAsia"/>
          <w:highlight w:val="none"/>
        </w:rPr>
        <w:t>响应文件编制</w:t>
      </w:r>
      <w:bookmarkEnd w:id="76"/>
      <w:bookmarkEnd w:id="77"/>
    </w:p>
    <w:p>
      <w:pPr>
        <w:spacing w:line="360" w:lineRule="auto"/>
        <w:ind w:firstLine="422" w:firstLineChars="200"/>
        <w:rPr>
          <w:rFonts w:ascii="宋体"/>
          <w:b/>
          <w:szCs w:val="21"/>
          <w:highlight w:val="none"/>
        </w:rPr>
      </w:pPr>
      <w:r>
        <w:rPr>
          <w:rFonts w:ascii="宋体" w:hAnsi="宋体"/>
          <w:b/>
          <w:szCs w:val="21"/>
          <w:highlight w:val="none"/>
        </w:rPr>
        <w:t>10</w:t>
      </w:r>
      <w:r>
        <w:rPr>
          <w:rFonts w:hint="eastAsia" w:ascii="宋体" w:hAnsi="宋体"/>
          <w:b/>
          <w:szCs w:val="21"/>
          <w:highlight w:val="none"/>
        </w:rPr>
        <w:t>、</w:t>
      </w:r>
      <w:r>
        <w:rPr>
          <w:rFonts w:ascii="宋体" w:hAnsi="宋体"/>
          <w:b/>
          <w:szCs w:val="21"/>
          <w:highlight w:val="none"/>
        </w:rPr>
        <w:t xml:space="preserve"> </w:t>
      </w:r>
      <w:r>
        <w:rPr>
          <w:rFonts w:hint="eastAsia" w:ascii="宋体" w:hAnsi="宋体"/>
          <w:b/>
          <w:szCs w:val="21"/>
          <w:highlight w:val="none"/>
        </w:rPr>
        <w:t>响应的语言及度量衡单位</w:t>
      </w:r>
    </w:p>
    <w:p>
      <w:pPr>
        <w:spacing w:line="360" w:lineRule="auto"/>
        <w:ind w:firstLine="420" w:firstLineChars="200"/>
        <w:rPr>
          <w:rFonts w:ascii="宋体"/>
          <w:szCs w:val="21"/>
          <w:highlight w:val="none"/>
        </w:rPr>
      </w:pPr>
      <w:r>
        <w:rPr>
          <w:rFonts w:ascii="宋体" w:hAnsi="宋体"/>
          <w:szCs w:val="21"/>
          <w:highlight w:val="none"/>
        </w:rPr>
        <w:t>10.1</w:t>
      </w:r>
      <w:r>
        <w:rPr>
          <w:rFonts w:hint="eastAsia" w:ascii="宋体" w:hAnsi="宋体"/>
          <w:szCs w:val="21"/>
          <w:highlight w:val="none"/>
        </w:rPr>
        <w:t>、供应商的响应文件、供应商与采购单位就采购的所有往来函电，均须使用简体中文。</w:t>
      </w:r>
    </w:p>
    <w:p>
      <w:pPr>
        <w:spacing w:line="360" w:lineRule="auto"/>
        <w:ind w:firstLine="420" w:firstLineChars="200"/>
        <w:rPr>
          <w:rFonts w:ascii="宋体"/>
          <w:szCs w:val="21"/>
          <w:highlight w:val="none"/>
        </w:rPr>
      </w:pPr>
      <w:r>
        <w:rPr>
          <w:rFonts w:ascii="宋体" w:hAnsi="宋体"/>
          <w:szCs w:val="21"/>
          <w:highlight w:val="none"/>
        </w:rPr>
        <w:t>10.2</w:t>
      </w:r>
      <w:r>
        <w:rPr>
          <w:rFonts w:hint="eastAsia" w:ascii="宋体" w:hAnsi="宋体"/>
          <w:szCs w:val="21"/>
          <w:highlight w:val="none"/>
        </w:rPr>
        <w:t>、除磋商文件中另有约定外，响应文件所使用的度量衡均须采用中华人民共和国法定计量单位。</w:t>
      </w:r>
    </w:p>
    <w:p>
      <w:pPr>
        <w:numPr>
          <w:ilvl w:val="0"/>
          <w:numId w:val="9"/>
        </w:numPr>
        <w:spacing w:line="360" w:lineRule="auto"/>
        <w:ind w:firstLine="422" w:firstLineChars="200"/>
        <w:rPr>
          <w:rFonts w:ascii="宋体"/>
          <w:b/>
          <w:szCs w:val="21"/>
          <w:highlight w:val="none"/>
        </w:rPr>
      </w:pPr>
      <w:r>
        <w:rPr>
          <w:rFonts w:ascii="宋体" w:hAnsi="宋体"/>
          <w:b/>
          <w:szCs w:val="21"/>
          <w:highlight w:val="none"/>
        </w:rPr>
        <w:t xml:space="preserve"> </w:t>
      </w:r>
      <w:r>
        <w:rPr>
          <w:rFonts w:hint="eastAsia" w:ascii="宋体" w:hAnsi="宋体"/>
          <w:b/>
          <w:szCs w:val="21"/>
          <w:highlight w:val="none"/>
        </w:rPr>
        <w:t>响应文件的构成</w:t>
      </w:r>
    </w:p>
    <w:p>
      <w:pPr>
        <w:spacing w:line="360" w:lineRule="auto"/>
        <w:ind w:firstLine="420" w:firstLineChars="200"/>
        <w:rPr>
          <w:rFonts w:ascii="宋体"/>
          <w:szCs w:val="21"/>
          <w:highlight w:val="none"/>
        </w:rPr>
      </w:pPr>
      <w:r>
        <w:rPr>
          <w:rFonts w:ascii="宋体" w:hAnsi="宋体"/>
          <w:szCs w:val="21"/>
          <w:highlight w:val="none"/>
        </w:rPr>
        <w:t>11.1</w:t>
      </w:r>
      <w:r>
        <w:rPr>
          <w:rFonts w:hint="eastAsia" w:ascii="宋体" w:hAnsi="宋体"/>
          <w:szCs w:val="21"/>
          <w:highlight w:val="none"/>
        </w:rPr>
        <w:t>、响应文件应该按照“响应文件格式”约定的内容和顺序进行编写。</w:t>
      </w:r>
    </w:p>
    <w:p>
      <w:pPr>
        <w:spacing w:line="360" w:lineRule="auto"/>
        <w:ind w:firstLine="420" w:firstLineChars="200"/>
        <w:rPr>
          <w:rFonts w:ascii="宋体"/>
          <w:szCs w:val="21"/>
          <w:highlight w:val="none"/>
        </w:rPr>
      </w:pPr>
      <w:r>
        <w:rPr>
          <w:rFonts w:ascii="宋体" w:hAnsi="宋体"/>
          <w:szCs w:val="21"/>
          <w:highlight w:val="none"/>
        </w:rPr>
        <w:t>11.2</w:t>
      </w:r>
      <w:r>
        <w:rPr>
          <w:rFonts w:hint="eastAsia" w:ascii="宋体" w:hAnsi="宋体"/>
          <w:szCs w:val="21"/>
          <w:highlight w:val="none"/>
        </w:rPr>
        <w:t>、</w:t>
      </w:r>
      <w:r>
        <w:rPr>
          <w:rFonts w:hint="eastAsia" w:ascii="宋体" w:hAnsi="宋体"/>
          <w:color w:val="000000"/>
          <w:szCs w:val="21"/>
          <w:highlight w:val="none"/>
        </w:rPr>
        <w:t>供应商应提交“磋商须知前附表”中约定的磋商响应文件。</w:t>
      </w:r>
    </w:p>
    <w:p>
      <w:pPr>
        <w:spacing w:line="360" w:lineRule="auto"/>
        <w:ind w:firstLine="420" w:firstLineChars="200"/>
        <w:rPr>
          <w:rFonts w:ascii="宋体"/>
          <w:szCs w:val="21"/>
          <w:highlight w:val="none"/>
        </w:rPr>
      </w:pPr>
      <w:r>
        <w:rPr>
          <w:rFonts w:ascii="宋体" w:hAnsi="宋体"/>
          <w:szCs w:val="21"/>
          <w:highlight w:val="none"/>
        </w:rPr>
        <w:t>11.3</w:t>
      </w:r>
      <w:r>
        <w:rPr>
          <w:rFonts w:hint="eastAsia" w:ascii="宋体" w:hAnsi="宋体"/>
          <w:szCs w:val="21"/>
          <w:highlight w:val="none"/>
        </w:rPr>
        <w:t>、供应商必须对其响应文件的真实性与准确性负责。供应商一旦成交，其响应文件将作为合同的重要组成部分。</w:t>
      </w:r>
    </w:p>
    <w:p>
      <w:pPr>
        <w:spacing w:line="360" w:lineRule="auto"/>
        <w:ind w:firstLine="420" w:firstLineChars="200"/>
        <w:rPr>
          <w:rFonts w:ascii="宋体"/>
          <w:szCs w:val="21"/>
          <w:highlight w:val="none"/>
        </w:rPr>
      </w:pPr>
      <w:r>
        <w:rPr>
          <w:rFonts w:ascii="宋体" w:hAnsi="宋体"/>
          <w:szCs w:val="21"/>
          <w:highlight w:val="none"/>
        </w:rPr>
        <w:t>11.4</w:t>
      </w:r>
      <w:r>
        <w:rPr>
          <w:rFonts w:hint="eastAsia" w:ascii="宋体" w:hAnsi="宋体"/>
          <w:szCs w:val="21"/>
          <w:highlight w:val="none"/>
        </w:rPr>
        <w:t>、供应商提供的服务能满足磋商文件约定的实质性要求。否则，其响应文件在评审时有可能被认为是对磋商文件未做出实质性的响应，而终止对其作进一步的评审。</w:t>
      </w:r>
    </w:p>
    <w:p>
      <w:pPr>
        <w:spacing w:line="360" w:lineRule="auto"/>
        <w:ind w:firstLine="422" w:firstLineChars="200"/>
        <w:rPr>
          <w:rFonts w:ascii="宋体" w:cs="宋体"/>
          <w:b/>
          <w:szCs w:val="21"/>
          <w:highlight w:val="none"/>
        </w:rPr>
      </w:pPr>
      <w:r>
        <w:rPr>
          <w:rFonts w:ascii="宋体" w:hAnsi="宋体" w:cs="宋体"/>
          <w:b/>
          <w:szCs w:val="21"/>
          <w:highlight w:val="none"/>
        </w:rPr>
        <w:t>12</w:t>
      </w:r>
      <w:r>
        <w:rPr>
          <w:rFonts w:hint="eastAsia" w:ascii="宋体" w:hAnsi="宋体" w:cs="宋体"/>
          <w:b/>
          <w:szCs w:val="21"/>
          <w:highlight w:val="none"/>
        </w:rPr>
        <w:t>、磋商响应报价</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12</w:t>
      </w:r>
      <w:r>
        <w:rPr>
          <w:rFonts w:hint="eastAsia" w:ascii="宋体" w:hAnsi="宋体" w:cs="宋体"/>
          <w:szCs w:val="21"/>
          <w:highlight w:val="none"/>
        </w:rPr>
        <w:t>.1</w:t>
      </w:r>
      <w:r>
        <w:rPr>
          <w:rFonts w:hint="eastAsia" w:ascii="宋体" w:hAnsi="宋体" w:cs="宋体"/>
          <w:szCs w:val="21"/>
          <w:highlight w:val="none"/>
          <w:lang w:eastAsia="zh-CN"/>
        </w:rPr>
        <w:t>供应商</w:t>
      </w:r>
      <w:r>
        <w:rPr>
          <w:rFonts w:hint="eastAsia" w:ascii="宋体" w:hAnsi="宋体" w:cs="宋体"/>
          <w:szCs w:val="21"/>
          <w:highlight w:val="none"/>
        </w:rPr>
        <w:t>应根据当前建设市场行情，结合工程实际情况及体现本单位的施工方法、材料来源渠道、施工机械装备、施工管理水平等的企业定额，对</w:t>
      </w:r>
      <w:r>
        <w:rPr>
          <w:rFonts w:hint="eastAsia" w:ascii="宋体" w:hAnsi="宋体" w:cs="宋体"/>
          <w:szCs w:val="21"/>
          <w:highlight w:val="none"/>
          <w:lang w:eastAsia="zh-CN"/>
        </w:rPr>
        <w:t>磋商费用</w:t>
      </w:r>
      <w:r>
        <w:rPr>
          <w:rFonts w:hint="eastAsia" w:ascii="宋体" w:hAnsi="宋体" w:cs="宋体"/>
          <w:szCs w:val="21"/>
          <w:highlight w:val="none"/>
        </w:rPr>
        <w:t>进行分析、测算，实事求是地确定</w:t>
      </w:r>
      <w:r>
        <w:rPr>
          <w:rFonts w:hint="eastAsia" w:ascii="宋体" w:hAnsi="宋体" w:cs="宋体"/>
          <w:szCs w:val="21"/>
          <w:highlight w:val="none"/>
          <w:lang w:eastAsia="zh-CN"/>
        </w:rPr>
        <w:t>磋商报价</w:t>
      </w:r>
      <w:r>
        <w:rPr>
          <w:rFonts w:hint="eastAsia" w:ascii="宋体" w:hAnsi="宋体" w:cs="宋体"/>
          <w:szCs w:val="21"/>
          <w:highlight w:val="none"/>
        </w:rPr>
        <w:t>（不得低于成本价），任何</w:t>
      </w:r>
      <w:r>
        <w:rPr>
          <w:rFonts w:hint="eastAsia" w:ascii="宋体" w:hAnsi="宋体" w:cs="宋体"/>
          <w:szCs w:val="21"/>
          <w:highlight w:val="none"/>
          <w:lang w:eastAsia="zh-CN"/>
        </w:rPr>
        <w:t>磋商优惠</w:t>
      </w:r>
      <w:r>
        <w:rPr>
          <w:rFonts w:hint="eastAsia" w:ascii="宋体" w:hAnsi="宋体" w:cs="宋体"/>
          <w:szCs w:val="21"/>
          <w:highlight w:val="none"/>
        </w:rPr>
        <w:t>都体现在报价内。</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12</w:t>
      </w:r>
      <w:r>
        <w:rPr>
          <w:rFonts w:hint="eastAsia" w:ascii="宋体" w:hAnsi="宋体" w:cs="宋体"/>
          <w:szCs w:val="21"/>
          <w:highlight w:val="none"/>
        </w:rPr>
        <w:t>.2</w:t>
      </w:r>
      <w:r>
        <w:rPr>
          <w:rFonts w:hint="eastAsia" w:ascii="宋体" w:hAnsi="宋体" w:cs="宋体"/>
          <w:szCs w:val="21"/>
          <w:highlight w:val="none"/>
          <w:lang w:eastAsia="zh-CN"/>
        </w:rPr>
        <w:t>供应商</w:t>
      </w:r>
      <w:r>
        <w:rPr>
          <w:rFonts w:hint="eastAsia" w:ascii="宋体" w:hAnsi="宋体" w:cs="宋体"/>
          <w:szCs w:val="21"/>
          <w:highlight w:val="none"/>
        </w:rPr>
        <w:t>应仔细阅读</w:t>
      </w:r>
      <w:r>
        <w:rPr>
          <w:rFonts w:hint="eastAsia" w:ascii="宋体" w:hAnsi="宋体" w:cs="宋体"/>
          <w:szCs w:val="21"/>
          <w:highlight w:val="none"/>
          <w:lang w:eastAsia="zh-CN"/>
        </w:rPr>
        <w:t>竞争性磋商文件</w:t>
      </w:r>
      <w:r>
        <w:rPr>
          <w:rFonts w:hint="eastAsia" w:ascii="宋体" w:hAnsi="宋体" w:cs="宋体"/>
          <w:szCs w:val="21"/>
          <w:highlight w:val="none"/>
        </w:rPr>
        <w:t>，了解拟投标合同段的全部工程内容。</w:t>
      </w:r>
      <w:r>
        <w:rPr>
          <w:rFonts w:hint="eastAsia" w:ascii="宋体" w:hAnsi="宋体" w:cs="宋体"/>
          <w:szCs w:val="21"/>
          <w:highlight w:val="none"/>
          <w:lang w:eastAsia="zh-CN"/>
        </w:rPr>
        <w:t>供应商</w:t>
      </w:r>
      <w:r>
        <w:rPr>
          <w:rFonts w:hint="eastAsia" w:ascii="宋体" w:hAnsi="宋体" w:cs="宋体"/>
          <w:szCs w:val="21"/>
          <w:highlight w:val="none"/>
        </w:rPr>
        <w:t>的</w:t>
      </w:r>
      <w:r>
        <w:rPr>
          <w:rFonts w:hint="eastAsia" w:ascii="宋体" w:hAnsi="宋体" w:cs="宋体"/>
          <w:szCs w:val="21"/>
          <w:highlight w:val="none"/>
          <w:lang w:eastAsia="zh-CN"/>
        </w:rPr>
        <w:t>磋商报价</w:t>
      </w:r>
      <w:r>
        <w:rPr>
          <w:rFonts w:hint="eastAsia" w:ascii="宋体" w:hAnsi="宋体" w:cs="宋体"/>
          <w:szCs w:val="21"/>
          <w:highlight w:val="none"/>
        </w:rPr>
        <w:t>应是在满足</w:t>
      </w:r>
      <w:r>
        <w:rPr>
          <w:rFonts w:hint="eastAsia" w:ascii="宋体" w:hAnsi="宋体" w:cs="宋体"/>
          <w:szCs w:val="21"/>
          <w:highlight w:val="none"/>
          <w:lang w:eastAsia="zh-CN"/>
        </w:rPr>
        <w:t>竞争性磋商文件</w:t>
      </w:r>
      <w:r>
        <w:rPr>
          <w:rFonts w:hint="eastAsia" w:ascii="宋体" w:hAnsi="宋体" w:cs="宋体"/>
          <w:szCs w:val="21"/>
          <w:highlight w:val="none"/>
        </w:rPr>
        <w:t>约定工期、质量等要求下，完成工程范围内的全部工作内容的价格，其</w:t>
      </w:r>
      <w:r>
        <w:rPr>
          <w:rFonts w:hint="eastAsia" w:ascii="宋体" w:hAnsi="宋体" w:cs="宋体"/>
          <w:szCs w:val="21"/>
          <w:highlight w:val="none"/>
          <w:lang w:eastAsia="zh-CN"/>
        </w:rPr>
        <w:t>磋商报价</w:t>
      </w:r>
      <w:r>
        <w:rPr>
          <w:rFonts w:hint="eastAsia" w:ascii="宋体" w:hAnsi="宋体" w:cs="宋体"/>
          <w:szCs w:val="21"/>
          <w:highlight w:val="none"/>
        </w:rPr>
        <w:t>不得低于成本价。</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12</w:t>
      </w:r>
      <w:r>
        <w:rPr>
          <w:rFonts w:hint="eastAsia" w:ascii="宋体" w:hAnsi="宋体" w:cs="宋体"/>
          <w:szCs w:val="21"/>
          <w:highlight w:val="none"/>
        </w:rPr>
        <w:t>.3本工程的</w:t>
      </w:r>
      <w:r>
        <w:rPr>
          <w:rFonts w:hint="eastAsia" w:ascii="宋体" w:hAnsi="宋体" w:cs="宋体"/>
          <w:szCs w:val="21"/>
          <w:highlight w:val="none"/>
          <w:lang w:eastAsia="zh-CN"/>
        </w:rPr>
        <w:t>磋商报价</w:t>
      </w:r>
      <w:r>
        <w:rPr>
          <w:rFonts w:hint="eastAsia" w:ascii="宋体" w:hAnsi="宋体" w:cs="宋体"/>
          <w:szCs w:val="21"/>
          <w:highlight w:val="none"/>
        </w:rPr>
        <w:t>采用本须知前附表所规定的方式综合单价包含完成一个规定清单项目所需的人工费（含工伤保险费等）、材料和工程设备费、施工机具使用费和企业管理费、利润以及施工合同范围内的风险费用。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12</w:t>
      </w:r>
      <w:r>
        <w:rPr>
          <w:rFonts w:hint="eastAsia" w:ascii="宋体" w:hAnsi="宋体" w:cs="宋体"/>
          <w:szCs w:val="21"/>
          <w:highlight w:val="none"/>
        </w:rPr>
        <w:t>.4</w:t>
      </w:r>
      <w:r>
        <w:rPr>
          <w:rFonts w:hint="eastAsia" w:ascii="宋体" w:hAnsi="宋体" w:cs="宋体"/>
          <w:szCs w:val="21"/>
          <w:highlight w:val="none"/>
          <w:lang w:eastAsia="zh-CN"/>
        </w:rPr>
        <w:t>磋商报价</w:t>
      </w:r>
      <w:r>
        <w:rPr>
          <w:rFonts w:hint="eastAsia" w:ascii="宋体" w:hAnsi="宋体" w:cs="宋体"/>
          <w:szCs w:val="21"/>
          <w:highlight w:val="none"/>
        </w:rPr>
        <w:t>编制依据</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12</w:t>
      </w:r>
      <w:r>
        <w:rPr>
          <w:rFonts w:hint="eastAsia" w:ascii="宋体" w:hAnsi="宋体" w:cs="宋体"/>
          <w:szCs w:val="21"/>
          <w:highlight w:val="none"/>
        </w:rPr>
        <w:t>.4.1</w:t>
      </w:r>
      <w:r>
        <w:rPr>
          <w:rFonts w:hint="eastAsia" w:ascii="宋体" w:hAnsi="宋体" w:cs="宋体"/>
          <w:szCs w:val="21"/>
          <w:highlight w:val="none"/>
          <w:lang w:eastAsia="zh-CN"/>
        </w:rPr>
        <w:t>竞争性磋商文件</w:t>
      </w:r>
      <w:r>
        <w:rPr>
          <w:rFonts w:hint="eastAsia" w:ascii="宋体" w:hAnsi="宋体" w:cs="宋体"/>
          <w:szCs w:val="21"/>
          <w:highlight w:val="none"/>
        </w:rPr>
        <w:t>；</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12</w:t>
      </w:r>
      <w:r>
        <w:rPr>
          <w:rFonts w:hint="eastAsia" w:ascii="宋体" w:hAnsi="宋体" w:cs="宋体"/>
          <w:szCs w:val="21"/>
          <w:highlight w:val="none"/>
        </w:rPr>
        <w:t>.4.2施工图设计文件；</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12</w:t>
      </w:r>
      <w:r>
        <w:rPr>
          <w:rFonts w:hint="eastAsia" w:ascii="宋体" w:hAnsi="宋体" w:cs="宋体"/>
          <w:szCs w:val="21"/>
          <w:highlight w:val="none"/>
        </w:rPr>
        <w:t>.4.3工程量清单、</w:t>
      </w:r>
      <w:r>
        <w:rPr>
          <w:rFonts w:hint="eastAsia" w:ascii="宋体" w:hAnsi="宋体" w:cs="宋体"/>
          <w:szCs w:val="21"/>
          <w:highlight w:val="none"/>
          <w:lang w:eastAsia="zh-CN"/>
        </w:rPr>
        <w:t>最高磋商限价</w:t>
      </w:r>
      <w:r>
        <w:rPr>
          <w:rFonts w:hint="eastAsia" w:ascii="宋体" w:hAnsi="宋体" w:cs="宋体"/>
          <w:szCs w:val="21"/>
          <w:highlight w:val="none"/>
        </w:rPr>
        <w:t>；</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12</w:t>
      </w:r>
      <w:r>
        <w:rPr>
          <w:rFonts w:hint="eastAsia" w:ascii="宋体" w:hAnsi="宋体" w:cs="宋体"/>
          <w:szCs w:val="21"/>
          <w:highlight w:val="none"/>
        </w:rPr>
        <w:t>.4.4澄清、修改、补充中提出有关工程技术、质量、工期、承包范围及设备清单（如有）等内容；</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12</w:t>
      </w:r>
      <w:r>
        <w:rPr>
          <w:rFonts w:hint="eastAsia" w:ascii="宋体" w:hAnsi="宋体" w:cs="宋体"/>
          <w:szCs w:val="21"/>
          <w:highlight w:val="none"/>
        </w:rPr>
        <w:t>.4.5施工组织设计及施工方案；</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12</w:t>
      </w:r>
      <w:r>
        <w:rPr>
          <w:rFonts w:hint="eastAsia" w:ascii="宋体" w:hAnsi="宋体" w:cs="宋体"/>
          <w:szCs w:val="21"/>
          <w:highlight w:val="none"/>
        </w:rPr>
        <w:t>.4.6质量验收规范等国家、行业、地方有关技术标准、规范；</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12</w:t>
      </w:r>
      <w:r>
        <w:rPr>
          <w:rFonts w:hint="eastAsia" w:ascii="宋体" w:hAnsi="宋体" w:cs="宋体"/>
          <w:szCs w:val="21"/>
          <w:highlight w:val="none"/>
        </w:rPr>
        <w:t>.4.7《安徽省建设工程工程量清单计价办法》及其配套2018版安徽省建设工程计价定额；</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12</w:t>
      </w:r>
      <w:r>
        <w:rPr>
          <w:rFonts w:hint="eastAsia" w:ascii="宋体" w:hAnsi="宋体" w:cs="宋体"/>
          <w:szCs w:val="21"/>
          <w:highlight w:val="none"/>
        </w:rPr>
        <w:t>.4.8安徽省建设工程造价管理总站《关于调整我省现行建设工程计价依据增值税税率的通知》（造价【2019】7号）。</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12</w:t>
      </w:r>
      <w:r>
        <w:rPr>
          <w:rFonts w:hint="eastAsia" w:ascii="宋体" w:hAnsi="宋体" w:cs="宋体"/>
          <w:szCs w:val="21"/>
          <w:highlight w:val="none"/>
        </w:rPr>
        <w:t>.4.9《关于调整安徽省建设工程不可竞争费构成及计费标准的通知》（建标【2021】42号）；</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12</w:t>
      </w:r>
      <w:r>
        <w:rPr>
          <w:rFonts w:hint="eastAsia" w:ascii="宋体" w:hAnsi="宋体" w:cs="宋体"/>
          <w:szCs w:val="21"/>
          <w:highlight w:val="none"/>
        </w:rPr>
        <w:t>.4.10安徽省住房和城乡建设厅《关于规范我省建设工程人工价格信息发布工作的通知》（建标〔2021〕46号）及安庆市相关文件；</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12</w:t>
      </w:r>
      <w:r>
        <w:rPr>
          <w:rFonts w:hint="eastAsia" w:ascii="宋体" w:hAnsi="宋体" w:cs="宋体"/>
          <w:szCs w:val="21"/>
          <w:highlight w:val="none"/>
        </w:rPr>
        <w:t>.4.11本工程涉及的人工、材料、机械台班的市场价格；</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12</w:t>
      </w:r>
      <w:r>
        <w:rPr>
          <w:rFonts w:hint="eastAsia" w:ascii="宋体" w:hAnsi="宋体" w:cs="宋体"/>
          <w:szCs w:val="21"/>
          <w:highlight w:val="none"/>
        </w:rPr>
        <w:t>.4.12施工期间的风险因素。</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供应商</w:t>
      </w:r>
      <w:r>
        <w:rPr>
          <w:rFonts w:hint="eastAsia" w:ascii="宋体" w:hAnsi="宋体" w:cs="宋体"/>
          <w:szCs w:val="21"/>
          <w:highlight w:val="none"/>
        </w:rPr>
        <w:t>可在</w:t>
      </w:r>
      <w:r>
        <w:rPr>
          <w:rFonts w:hint="eastAsia" w:ascii="宋体" w:hAnsi="宋体" w:cs="宋体"/>
          <w:szCs w:val="21"/>
          <w:highlight w:val="none"/>
          <w:lang w:val="en-US" w:eastAsia="zh-CN"/>
        </w:rPr>
        <w:t>安庆市建筑管理处网站</w:t>
      </w:r>
      <w:r>
        <w:rPr>
          <w:rFonts w:hint="eastAsia" w:ascii="宋体" w:hAnsi="宋体" w:cs="宋体"/>
          <w:szCs w:val="21"/>
          <w:highlight w:val="none"/>
        </w:rPr>
        <w:t>上下载上述文件、信息价。</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12</w:t>
      </w:r>
      <w:r>
        <w:rPr>
          <w:rFonts w:hint="eastAsia" w:ascii="宋体" w:hAnsi="宋体" w:cs="宋体"/>
          <w:szCs w:val="21"/>
          <w:highlight w:val="none"/>
        </w:rPr>
        <w:t>.5</w:t>
      </w:r>
      <w:r>
        <w:rPr>
          <w:rFonts w:hint="eastAsia" w:ascii="宋体" w:hAnsi="宋体" w:cs="宋体"/>
          <w:szCs w:val="21"/>
          <w:highlight w:val="none"/>
          <w:lang w:eastAsia="zh-CN"/>
        </w:rPr>
        <w:t>磋商报价</w:t>
      </w:r>
      <w:r>
        <w:rPr>
          <w:rFonts w:hint="eastAsia" w:ascii="宋体" w:hAnsi="宋体" w:cs="宋体"/>
          <w:szCs w:val="21"/>
          <w:highlight w:val="none"/>
        </w:rPr>
        <w:t>编制原则</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12</w:t>
      </w:r>
      <w:r>
        <w:rPr>
          <w:rFonts w:hint="eastAsia" w:ascii="宋体" w:hAnsi="宋体" w:cs="宋体"/>
          <w:szCs w:val="21"/>
          <w:highlight w:val="none"/>
        </w:rPr>
        <w:t>.5.1人工费：参考最高投标限价中人工费单价标准（</w:t>
      </w:r>
      <w:r>
        <w:rPr>
          <w:rFonts w:hint="eastAsia" w:ascii="宋体" w:hAnsi="宋体" w:cs="宋体"/>
          <w:szCs w:val="21"/>
          <w:highlight w:val="none"/>
          <w:lang w:val="en-US" w:eastAsia="zh-CN"/>
        </w:rPr>
        <w:t>1</w:t>
      </w:r>
      <w:r>
        <w:rPr>
          <w:rFonts w:hint="eastAsia" w:ascii="宋体" w:hAnsi="宋体" w:cs="宋体"/>
          <w:szCs w:val="21"/>
          <w:highlight w:val="none"/>
        </w:rPr>
        <w:t>58.87元/工日）计算。</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12</w:t>
      </w:r>
      <w:r>
        <w:rPr>
          <w:rFonts w:hint="eastAsia" w:ascii="宋体" w:hAnsi="宋体" w:cs="宋体"/>
          <w:szCs w:val="21"/>
          <w:highlight w:val="none"/>
        </w:rPr>
        <w:t>.5.2材料费：参考</w:t>
      </w:r>
      <w:r>
        <w:rPr>
          <w:rFonts w:hint="eastAsia" w:ascii="宋体" w:hAnsi="宋体" w:cs="宋体"/>
          <w:szCs w:val="21"/>
          <w:highlight w:val="none"/>
          <w:lang w:eastAsia="zh-CN"/>
        </w:rPr>
        <w:t>最高磋商限价</w:t>
      </w:r>
      <w:r>
        <w:rPr>
          <w:rFonts w:hint="eastAsia" w:ascii="宋体" w:hAnsi="宋体" w:cs="宋体"/>
          <w:szCs w:val="21"/>
          <w:highlight w:val="none"/>
        </w:rPr>
        <w:t>中的当期市场信息价自主报价。</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12</w:t>
      </w:r>
      <w:r>
        <w:rPr>
          <w:rFonts w:hint="eastAsia" w:ascii="宋体" w:hAnsi="宋体" w:cs="宋体"/>
          <w:szCs w:val="21"/>
          <w:highlight w:val="none"/>
        </w:rPr>
        <w:t>.5.3机械台班费：可参照《2018年安徽省建设工程施工机械台班费用编制规则》执行。</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12</w:t>
      </w:r>
      <w:r>
        <w:rPr>
          <w:rFonts w:hint="eastAsia" w:ascii="宋体" w:hAnsi="宋体" w:cs="宋体"/>
          <w:szCs w:val="21"/>
          <w:highlight w:val="none"/>
        </w:rPr>
        <w:t>.5.4不可竞争费用：包含“安全防护与文明施工措施费”、“税金”两项。</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“安全防护与文明施工措施费”（指环境保护、文明施工、安全施工、临时设施）费率必须与</w:t>
      </w:r>
      <w:r>
        <w:rPr>
          <w:rFonts w:hint="eastAsia" w:ascii="宋体" w:hAnsi="宋体" w:cs="宋体"/>
          <w:szCs w:val="21"/>
          <w:highlight w:val="none"/>
          <w:lang w:eastAsia="zh-CN"/>
        </w:rPr>
        <w:t>最高磋商限价</w:t>
      </w:r>
      <w:r>
        <w:rPr>
          <w:rFonts w:hint="eastAsia" w:ascii="宋体" w:hAnsi="宋体" w:cs="宋体"/>
          <w:szCs w:val="21"/>
          <w:highlight w:val="none"/>
        </w:rPr>
        <w:t>相应费率一致。</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“税金”税率必须与</w:t>
      </w:r>
      <w:r>
        <w:rPr>
          <w:rFonts w:hint="eastAsia" w:ascii="宋体" w:hAnsi="宋体" w:cs="宋体"/>
          <w:szCs w:val="21"/>
          <w:highlight w:val="none"/>
          <w:lang w:eastAsia="zh-CN"/>
        </w:rPr>
        <w:t>最高磋商限价</w:t>
      </w:r>
      <w:r>
        <w:rPr>
          <w:rFonts w:hint="eastAsia" w:ascii="宋体" w:hAnsi="宋体" w:cs="宋体"/>
          <w:szCs w:val="21"/>
          <w:highlight w:val="none"/>
        </w:rPr>
        <w:t>相应税率一致。</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12</w:t>
      </w:r>
      <w:r>
        <w:rPr>
          <w:rFonts w:hint="eastAsia" w:ascii="宋体" w:hAnsi="宋体" w:cs="宋体"/>
          <w:szCs w:val="21"/>
          <w:highlight w:val="none"/>
        </w:rPr>
        <w:t>.5.5管理费、利润等可竞争费：费率参照《2018年安徽省建设工程费用定额》自主确定取值。</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12</w:t>
      </w:r>
      <w:r>
        <w:rPr>
          <w:rFonts w:hint="eastAsia" w:ascii="宋体" w:hAnsi="宋体" w:cs="宋体"/>
          <w:szCs w:val="21"/>
          <w:highlight w:val="none"/>
        </w:rPr>
        <w:t>.5.6暂列金额、材料购置费、暂估价（如有）应按工程量清单及</w:t>
      </w:r>
      <w:r>
        <w:rPr>
          <w:rFonts w:hint="eastAsia" w:ascii="宋体" w:hAnsi="宋体" w:cs="宋体"/>
          <w:szCs w:val="21"/>
          <w:highlight w:val="none"/>
          <w:lang w:eastAsia="zh-CN"/>
        </w:rPr>
        <w:t>最高磋商限价</w:t>
      </w:r>
      <w:r>
        <w:rPr>
          <w:rFonts w:hint="eastAsia" w:ascii="宋体" w:hAnsi="宋体" w:cs="宋体"/>
          <w:szCs w:val="21"/>
          <w:highlight w:val="none"/>
        </w:rPr>
        <w:t>中所列金额填写，</w:t>
      </w:r>
      <w:r>
        <w:rPr>
          <w:rFonts w:hint="eastAsia" w:ascii="宋体" w:hAnsi="宋体" w:cs="宋体"/>
          <w:szCs w:val="21"/>
          <w:highlight w:val="none"/>
          <w:lang w:eastAsia="zh-CN"/>
        </w:rPr>
        <w:t>供应商</w:t>
      </w:r>
      <w:r>
        <w:rPr>
          <w:rFonts w:hint="eastAsia" w:ascii="宋体" w:hAnsi="宋体" w:cs="宋体"/>
          <w:szCs w:val="21"/>
          <w:highlight w:val="none"/>
        </w:rPr>
        <w:t>不得修改。</w:t>
      </w:r>
      <w:r>
        <w:rPr>
          <w:rFonts w:hint="eastAsia" w:ascii="宋体" w:hAnsi="宋体" w:cs="宋体"/>
          <w:szCs w:val="21"/>
          <w:highlight w:val="none"/>
          <w:lang w:eastAsia="zh-CN"/>
        </w:rPr>
        <w:t>最高磋商限价</w:t>
      </w:r>
      <w:r>
        <w:rPr>
          <w:rFonts w:hint="eastAsia" w:ascii="宋体" w:hAnsi="宋体" w:cs="宋体"/>
          <w:szCs w:val="21"/>
          <w:highlight w:val="none"/>
        </w:rPr>
        <w:t>的暂列金额、暂估价（如有）均为估算金额，工程竣工后应按承包人实际完成的工程内容结算。</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12</w:t>
      </w:r>
      <w:r>
        <w:rPr>
          <w:rFonts w:hint="eastAsia" w:ascii="宋体" w:hAnsi="宋体" w:cs="宋体"/>
          <w:szCs w:val="21"/>
          <w:highlight w:val="none"/>
        </w:rPr>
        <w:t>.5.7总承包服务费（如有）应根据</w:t>
      </w:r>
      <w:r>
        <w:rPr>
          <w:rFonts w:hint="eastAsia" w:ascii="宋体" w:hAnsi="宋体" w:cs="宋体"/>
          <w:szCs w:val="21"/>
          <w:highlight w:val="none"/>
          <w:lang w:eastAsia="zh-CN"/>
        </w:rPr>
        <w:t>竞争性磋商文件</w:t>
      </w:r>
      <w:r>
        <w:rPr>
          <w:rFonts w:hint="eastAsia" w:ascii="宋体" w:hAnsi="宋体" w:cs="宋体"/>
          <w:szCs w:val="21"/>
          <w:highlight w:val="none"/>
        </w:rPr>
        <w:t>中列出的内容和提出的要求计算。</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12</w:t>
      </w:r>
      <w:r>
        <w:rPr>
          <w:rFonts w:hint="eastAsia" w:ascii="宋体" w:hAnsi="宋体" w:cs="宋体"/>
          <w:szCs w:val="21"/>
          <w:highlight w:val="none"/>
        </w:rPr>
        <w:t>.5.8计日工费（如有）应按采购人在计日工表列出的项目和数量，确定各项综合单价计算，工程竣工后按实际完成的工程量结算。</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12</w:t>
      </w:r>
      <w:r>
        <w:rPr>
          <w:rFonts w:hint="eastAsia" w:ascii="宋体" w:hAnsi="宋体" w:cs="宋体"/>
          <w:szCs w:val="21"/>
          <w:highlight w:val="none"/>
        </w:rPr>
        <w:t>.5.9本工程取、弃土点由施工单位自行解决，承包人投标总报价时应综合考虑经济运距及其他可能增加成本的因素，且渣土运输要符合安庆市人民政府关于建筑垃圾处置的相关规定。承包人投标前必须充分了解安庆渣土运输行情，合理报价，</w:t>
      </w:r>
      <w:r>
        <w:rPr>
          <w:rFonts w:hint="eastAsia" w:ascii="宋体" w:hAnsi="宋体" w:cs="宋体"/>
          <w:szCs w:val="21"/>
          <w:highlight w:val="none"/>
          <w:lang w:val="en-US" w:eastAsia="zh-CN"/>
        </w:rPr>
        <w:t>成交</w:t>
      </w:r>
      <w:r>
        <w:rPr>
          <w:rFonts w:hint="eastAsia" w:ascii="宋体" w:hAnsi="宋体" w:cs="宋体"/>
          <w:szCs w:val="21"/>
          <w:highlight w:val="none"/>
        </w:rPr>
        <w:t>后土方报价不做调整。</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12</w:t>
      </w:r>
      <w:r>
        <w:rPr>
          <w:rFonts w:hint="eastAsia" w:ascii="宋体" w:hAnsi="宋体" w:cs="宋体"/>
          <w:szCs w:val="21"/>
          <w:highlight w:val="none"/>
        </w:rPr>
        <w:t>.5.10根据安庆市相关规定，凡在市城市管理行政执法局规定的建筑垃圾消纳场处置建筑垃圾的，均应交纳建筑垃圾消纳处置费，收费标准为2.50元/吨。保障性住房和工业项目免收。</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①如本项目属于保障性住房和工业项目，如实际发生时，该费用由采购人承担。</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②如本项目不属于免收费的项目，则各</w:t>
      </w:r>
      <w:r>
        <w:rPr>
          <w:rFonts w:hint="eastAsia" w:ascii="宋体" w:hAnsi="宋体" w:cs="宋体"/>
          <w:szCs w:val="21"/>
          <w:highlight w:val="none"/>
          <w:lang w:eastAsia="zh-CN"/>
        </w:rPr>
        <w:t>供应商磋商报价</w:t>
      </w:r>
      <w:r>
        <w:rPr>
          <w:rFonts w:hint="eastAsia" w:ascii="宋体" w:hAnsi="宋体" w:cs="宋体"/>
          <w:szCs w:val="21"/>
          <w:highlight w:val="none"/>
        </w:rPr>
        <w:t>中也需综合考虑并计取，实际发生时，该费用由成交人承担。</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12</w:t>
      </w:r>
      <w:r>
        <w:rPr>
          <w:rFonts w:hint="eastAsia" w:ascii="宋体" w:hAnsi="宋体" w:cs="宋体"/>
          <w:szCs w:val="21"/>
          <w:highlight w:val="none"/>
        </w:rPr>
        <w:t>.5.11材料信息价参照安庆市建筑管理处202</w:t>
      </w:r>
      <w:r>
        <w:rPr>
          <w:rFonts w:hint="eastAsia" w:ascii="宋体" w:hAnsi="宋体" w:cs="宋体"/>
          <w:szCs w:val="21"/>
          <w:highlight w:val="none"/>
          <w:lang w:val="en-US" w:eastAsia="zh-CN"/>
        </w:rPr>
        <w:t>3</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期《安庆工程造价信息简讯》执行。</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12</w:t>
      </w:r>
      <w:r>
        <w:rPr>
          <w:rFonts w:hint="eastAsia" w:ascii="宋体" w:hAnsi="宋体" w:cs="宋体"/>
          <w:szCs w:val="21"/>
          <w:highlight w:val="none"/>
        </w:rPr>
        <w:t>.6除非采购人对</w:t>
      </w:r>
      <w:r>
        <w:rPr>
          <w:rFonts w:hint="eastAsia" w:ascii="宋体" w:hAnsi="宋体" w:cs="宋体"/>
          <w:szCs w:val="21"/>
          <w:highlight w:val="none"/>
          <w:lang w:eastAsia="zh-CN"/>
        </w:rPr>
        <w:t>竞争性磋商文件</w:t>
      </w:r>
      <w:r>
        <w:rPr>
          <w:rFonts w:hint="eastAsia" w:ascii="宋体" w:hAnsi="宋体" w:cs="宋体"/>
          <w:szCs w:val="21"/>
          <w:highlight w:val="none"/>
        </w:rPr>
        <w:t>予以修改、更正，否则</w:t>
      </w:r>
      <w:r>
        <w:rPr>
          <w:rFonts w:hint="eastAsia" w:ascii="宋体" w:hAnsi="宋体" w:cs="宋体"/>
          <w:szCs w:val="21"/>
          <w:highlight w:val="none"/>
          <w:lang w:eastAsia="zh-CN"/>
        </w:rPr>
        <w:t>供应商</w:t>
      </w:r>
      <w:r>
        <w:rPr>
          <w:rFonts w:hint="eastAsia" w:ascii="宋体" w:hAnsi="宋体" w:cs="宋体"/>
          <w:szCs w:val="21"/>
          <w:highlight w:val="none"/>
        </w:rPr>
        <w:t>应按采购人提供的工程量清单中列出的工程项目和工程量逐项填报综合单价和合价。</w:t>
      </w:r>
      <w:r>
        <w:rPr>
          <w:rFonts w:hint="eastAsia" w:ascii="宋体" w:hAnsi="宋体" w:cs="宋体"/>
          <w:szCs w:val="21"/>
          <w:highlight w:val="none"/>
          <w:lang w:eastAsia="zh-CN"/>
        </w:rPr>
        <w:t>供应商</w:t>
      </w:r>
      <w:r>
        <w:rPr>
          <w:rFonts w:hint="eastAsia" w:ascii="宋体" w:hAnsi="宋体" w:cs="宋体"/>
          <w:szCs w:val="21"/>
          <w:highlight w:val="none"/>
        </w:rPr>
        <w:t>不得在分部分项工程量清单中任意增删、修改清单项目与工程量及项目排列顺序。</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12</w:t>
      </w:r>
      <w:r>
        <w:rPr>
          <w:rFonts w:hint="eastAsia" w:ascii="宋体" w:hAnsi="宋体" w:cs="宋体"/>
          <w:szCs w:val="21"/>
          <w:highlight w:val="none"/>
        </w:rPr>
        <w:t>.7除非合同中另有规定，</w:t>
      </w:r>
      <w:r>
        <w:rPr>
          <w:rFonts w:hint="eastAsia" w:ascii="宋体" w:hAnsi="宋体" w:cs="宋体"/>
          <w:szCs w:val="21"/>
          <w:highlight w:val="none"/>
          <w:lang w:eastAsia="zh-CN"/>
        </w:rPr>
        <w:t>供应商</w:t>
      </w:r>
      <w:r>
        <w:rPr>
          <w:rFonts w:hint="eastAsia" w:ascii="宋体" w:hAnsi="宋体" w:cs="宋体"/>
          <w:szCs w:val="21"/>
          <w:highlight w:val="none"/>
        </w:rPr>
        <w:t>在</w:t>
      </w:r>
      <w:r>
        <w:rPr>
          <w:rFonts w:hint="eastAsia" w:ascii="宋体" w:hAnsi="宋体" w:cs="宋体"/>
          <w:szCs w:val="21"/>
          <w:highlight w:val="none"/>
          <w:lang w:eastAsia="zh-CN"/>
        </w:rPr>
        <w:t>磋商报价</w:t>
      </w:r>
      <w:r>
        <w:rPr>
          <w:rFonts w:hint="eastAsia" w:ascii="宋体" w:hAnsi="宋体" w:cs="宋体"/>
          <w:szCs w:val="21"/>
          <w:highlight w:val="none"/>
        </w:rPr>
        <w:t>相关表格中所报的综合单价和合价、以及报价汇总表中的</w:t>
      </w:r>
      <w:r>
        <w:rPr>
          <w:rFonts w:hint="eastAsia" w:ascii="宋体" w:hAnsi="宋体" w:cs="宋体"/>
          <w:szCs w:val="21"/>
          <w:highlight w:val="none"/>
          <w:lang w:eastAsia="zh-CN"/>
        </w:rPr>
        <w:t>磋商报价</w:t>
      </w:r>
      <w:r>
        <w:rPr>
          <w:rFonts w:hint="eastAsia" w:ascii="宋体" w:hAnsi="宋体" w:cs="宋体"/>
          <w:szCs w:val="21"/>
          <w:highlight w:val="none"/>
        </w:rPr>
        <w:t>均包括完成</w:t>
      </w:r>
      <w:r>
        <w:rPr>
          <w:rFonts w:hint="eastAsia" w:ascii="宋体" w:hAnsi="宋体" w:cs="宋体"/>
          <w:szCs w:val="21"/>
          <w:highlight w:val="none"/>
          <w:lang w:eastAsia="zh-CN"/>
        </w:rPr>
        <w:t>竞争性磋商文件</w:t>
      </w:r>
      <w:r>
        <w:rPr>
          <w:rFonts w:hint="eastAsia" w:ascii="宋体" w:hAnsi="宋体" w:cs="宋体"/>
          <w:szCs w:val="21"/>
          <w:highlight w:val="none"/>
        </w:rPr>
        <w:t>约定的全部工程内容及为达到质量和工期目标、安全文明、环境保护等要求的分部分项工程费、措施项目费、不可竞争费、其他项目费、税金等所有费用。为满足工程建设标准和技术规范要求所发生的费用应包括在</w:t>
      </w:r>
      <w:r>
        <w:rPr>
          <w:rFonts w:hint="eastAsia" w:ascii="宋体" w:hAnsi="宋体" w:cs="宋体"/>
          <w:szCs w:val="21"/>
          <w:highlight w:val="none"/>
          <w:lang w:eastAsia="zh-CN"/>
        </w:rPr>
        <w:t>磋商报价</w:t>
      </w:r>
      <w:r>
        <w:rPr>
          <w:rFonts w:hint="eastAsia" w:ascii="宋体" w:hAnsi="宋体" w:cs="宋体"/>
          <w:szCs w:val="21"/>
          <w:highlight w:val="none"/>
        </w:rPr>
        <w:t>中。</w:t>
      </w:r>
      <w:r>
        <w:rPr>
          <w:rFonts w:hint="eastAsia" w:ascii="宋体" w:hAnsi="宋体" w:cs="宋体"/>
          <w:szCs w:val="21"/>
          <w:highlight w:val="none"/>
          <w:lang w:eastAsia="zh-CN"/>
        </w:rPr>
        <w:t>磋商报价</w:t>
      </w:r>
      <w:r>
        <w:rPr>
          <w:rFonts w:hint="eastAsia" w:ascii="宋体" w:hAnsi="宋体" w:cs="宋体"/>
          <w:szCs w:val="21"/>
          <w:highlight w:val="none"/>
        </w:rPr>
        <w:t>为</w:t>
      </w:r>
      <w:r>
        <w:rPr>
          <w:rFonts w:hint="eastAsia" w:ascii="宋体" w:hAnsi="宋体" w:cs="宋体"/>
          <w:szCs w:val="21"/>
          <w:highlight w:val="none"/>
          <w:lang w:eastAsia="zh-CN"/>
        </w:rPr>
        <w:t>供应商</w:t>
      </w:r>
      <w:r>
        <w:rPr>
          <w:rFonts w:hint="eastAsia" w:ascii="宋体" w:hAnsi="宋体" w:cs="宋体"/>
          <w:szCs w:val="21"/>
          <w:highlight w:val="none"/>
        </w:rPr>
        <w:t>在</w:t>
      </w:r>
      <w:r>
        <w:rPr>
          <w:rFonts w:hint="eastAsia" w:ascii="宋体" w:hAnsi="宋体" w:cs="宋体"/>
          <w:szCs w:val="21"/>
          <w:highlight w:val="none"/>
          <w:lang w:eastAsia="zh-CN"/>
        </w:rPr>
        <w:t>磋商响应文件</w:t>
      </w:r>
      <w:r>
        <w:rPr>
          <w:rFonts w:hint="eastAsia" w:ascii="宋体" w:hAnsi="宋体" w:cs="宋体"/>
          <w:szCs w:val="21"/>
          <w:highlight w:val="none"/>
        </w:rPr>
        <w:t>中提出的各项支付金额的总和。每一清单项目只允许有一个报价，任何有选择的报价将不予接受。</w:t>
      </w:r>
      <w:r>
        <w:rPr>
          <w:rFonts w:hint="eastAsia" w:ascii="宋体" w:hAnsi="宋体" w:cs="宋体"/>
          <w:szCs w:val="21"/>
          <w:highlight w:val="none"/>
          <w:lang w:eastAsia="zh-CN"/>
        </w:rPr>
        <w:t>供应商</w:t>
      </w:r>
      <w:r>
        <w:rPr>
          <w:rFonts w:hint="eastAsia" w:ascii="宋体" w:hAnsi="宋体" w:cs="宋体"/>
          <w:szCs w:val="21"/>
          <w:highlight w:val="none"/>
        </w:rPr>
        <w:t>未填综合单价或合价的清单项目，将被视为该项费用已包括在其他有价款的综合单价或合价以及</w:t>
      </w:r>
      <w:r>
        <w:rPr>
          <w:rFonts w:hint="eastAsia" w:ascii="宋体" w:hAnsi="宋体" w:cs="宋体"/>
          <w:szCs w:val="21"/>
          <w:highlight w:val="none"/>
          <w:lang w:eastAsia="zh-CN"/>
        </w:rPr>
        <w:t>磋商总价</w:t>
      </w:r>
      <w:r>
        <w:rPr>
          <w:rFonts w:hint="eastAsia" w:ascii="宋体" w:hAnsi="宋体" w:cs="宋体"/>
          <w:szCs w:val="21"/>
          <w:highlight w:val="none"/>
        </w:rPr>
        <w:t>内，</w:t>
      </w:r>
      <w:r>
        <w:rPr>
          <w:rFonts w:hint="eastAsia" w:ascii="宋体" w:hAnsi="宋体" w:cs="宋体"/>
          <w:szCs w:val="21"/>
          <w:highlight w:val="none"/>
          <w:lang w:eastAsia="zh-CN"/>
        </w:rPr>
        <w:t>供应商</w:t>
      </w:r>
      <w:r>
        <w:rPr>
          <w:rFonts w:hint="eastAsia" w:ascii="宋体" w:hAnsi="宋体" w:cs="宋体"/>
          <w:szCs w:val="21"/>
          <w:highlight w:val="none"/>
        </w:rPr>
        <w:t>必须按合同要求完成工程量清单中未填综合单价或合价的工程项目，任何与未填综合单价或合价的工程项目有关的工程价款，采购人将不再另行支付。</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12</w:t>
      </w:r>
      <w:r>
        <w:rPr>
          <w:rFonts w:hint="eastAsia" w:ascii="宋体" w:hAnsi="宋体" w:cs="宋体"/>
          <w:szCs w:val="21"/>
          <w:highlight w:val="none"/>
        </w:rPr>
        <w:t>.8工程材料</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12</w:t>
      </w:r>
      <w:r>
        <w:rPr>
          <w:rFonts w:hint="eastAsia" w:ascii="宋体" w:hAnsi="宋体" w:cs="宋体"/>
          <w:szCs w:val="21"/>
          <w:highlight w:val="none"/>
        </w:rPr>
        <w:t>.8.1材料供应方式：除采购人提供的材料和实行暂估价的材料及设备以外，本工程使用的材料由承包方采购供应并满足</w:t>
      </w:r>
      <w:r>
        <w:rPr>
          <w:rFonts w:hint="eastAsia" w:ascii="宋体" w:hAnsi="宋体" w:cs="宋体"/>
          <w:szCs w:val="21"/>
          <w:highlight w:val="none"/>
          <w:lang w:eastAsia="zh-CN"/>
        </w:rPr>
        <w:t>供应商</w:t>
      </w:r>
      <w:r>
        <w:rPr>
          <w:rFonts w:hint="eastAsia" w:ascii="宋体" w:hAnsi="宋体" w:cs="宋体"/>
          <w:szCs w:val="21"/>
          <w:highlight w:val="none"/>
        </w:rPr>
        <w:t>须知前附表中“材料要求”的规定；</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12</w:t>
      </w:r>
      <w:r>
        <w:rPr>
          <w:rFonts w:hint="eastAsia" w:ascii="宋体" w:hAnsi="宋体" w:cs="宋体"/>
          <w:szCs w:val="21"/>
          <w:highlight w:val="none"/>
        </w:rPr>
        <w:t>.8.2材料价格：除采购人提供的材料和实行暂估价的材料及设备以外，由</w:t>
      </w:r>
      <w:r>
        <w:rPr>
          <w:rFonts w:hint="eastAsia" w:ascii="宋体" w:hAnsi="宋体" w:cs="宋体"/>
          <w:szCs w:val="21"/>
          <w:highlight w:val="none"/>
          <w:lang w:eastAsia="zh-CN"/>
        </w:rPr>
        <w:t>供应商</w:t>
      </w:r>
      <w:r>
        <w:rPr>
          <w:rFonts w:hint="eastAsia" w:ascii="宋体" w:hAnsi="宋体" w:cs="宋体"/>
          <w:szCs w:val="21"/>
          <w:highlight w:val="none"/>
        </w:rPr>
        <w:t>自行采购的材料确定</w:t>
      </w:r>
      <w:r>
        <w:rPr>
          <w:rFonts w:hint="eastAsia" w:ascii="宋体" w:hAnsi="宋体" w:cs="宋体"/>
          <w:szCs w:val="21"/>
          <w:highlight w:val="none"/>
          <w:lang w:eastAsia="zh-CN"/>
        </w:rPr>
        <w:t>磋商报价</w:t>
      </w:r>
      <w:r>
        <w:rPr>
          <w:rFonts w:hint="eastAsia" w:ascii="宋体" w:hAnsi="宋体" w:cs="宋体"/>
          <w:szCs w:val="21"/>
          <w:highlight w:val="none"/>
        </w:rPr>
        <w:t>时应充分考虑材料价格上涨等市场风险因素，成交后不作调整，综合单价中的材料费应包括材料运杂费、采购及保管费等。</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12</w:t>
      </w:r>
      <w:r>
        <w:rPr>
          <w:rFonts w:hint="eastAsia" w:ascii="宋体" w:hAnsi="宋体" w:cs="宋体"/>
          <w:szCs w:val="21"/>
          <w:highlight w:val="none"/>
        </w:rPr>
        <w:t>.9本招标工程的施工地点为本须知前附表所述，</w:t>
      </w:r>
      <w:r>
        <w:rPr>
          <w:rFonts w:hint="eastAsia" w:ascii="宋体" w:hAnsi="宋体" w:cs="宋体"/>
          <w:szCs w:val="21"/>
          <w:highlight w:val="none"/>
          <w:lang w:eastAsia="zh-CN"/>
        </w:rPr>
        <w:t>供应商</w:t>
      </w:r>
      <w:r>
        <w:rPr>
          <w:rFonts w:hint="eastAsia" w:ascii="宋体" w:hAnsi="宋体" w:cs="宋体"/>
          <w:szCs w:val="21"/>
          <w:highlight w:val="none"/>
        </w:rPr>
        <w:t>应自行到施工现场踏勘以充分了解工地位置、情况、道路、储存空间、装卸限制及任何其它足以影响</w:t>
      </w:r>
      <w:r>
        <w:rPr>
          <w:rFonts w:hint="eastAsia" w:ascii="宋体" w:hAnsi="宋体" w:cs="宋体"/>
          <w:szCs w:val="21"/>
          <w:highlight w:val="none"/>
          <w:lang w:eastAsia="zh-CN"/>
        </w:rPr>
        <w:t>磋商报价</w:t>
      </w:r>
      <w:r>
        <w:rPr>
          <w:rFonts w:hint="eastAsia" w:ascii="宋体" w:hAnsi="宋体" w:cs="宋体"/>
          <w:szCs w:val="21"/>
          <w:highlight w:val="none"/>
        </w:rPr>
        <w:t>的情况，任何因忽视或误解施工场地情况而导致的索赔或工期延长申请将不被批准。对于受施工现场场地限制，如需要另外寻找场地解决临时住宿、材料及设备堆放，由此所产生的费用应包含在</w:t>
      </w:r>
      <w:r>
        <w:rPr>
          <w:rFonts w:hint="eastAsia" w:ascii="宋体" w:hAnsi="宋体" w:cs="宋体"/>
          <w:szCs w:val="21"/>
          <w:highlight w:val="none"/>
          <w:lang w:eastAsia="zh-CN"/>
        </w:rPr>
        <w:t>磋商报价</w:t>
      </w:r>
      <w:r>
        <w:rPr>
          <w:rFonts w:hint="eastAsia" w:ascii="宋体" w:hAnsi="宋体" w:cs="宋体"/>
          <w:szCs w:val="21"/>
          <w:highlight w:val="none"/>
        </w:rPr>
        <w:t>范围内，采购人不再承担该费用。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12</w:t>
      </w:r>
      <w:r>
        <w:rPr>
          <w:rFonts w:hint="eastAsia" w:ascii="宋体" w:hAnsi="宋体" w:cs="宋体"/>
          <w:szCs w:val="21"/>
          <w:highlight w:val="none"/>
        </w:rPr>
        <w:t>.10工程造价的确定与控制</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12</w:t>
      </w:r>
      <w:r>
        <w:rPr>
          <w:rFonts w:hint="eastAsia" w:ascii="宋体" w:hAnsi="宋体" w:cs="宋体"/>
          <w:szCs w:val="21"/>
          <w:highlight w:val="none"/>
        </w:rPr>
        <w:t>.10.1本工程成交价即本工程的固定合同价，除政策性调整、经批准的设计变更、经济签证外，其它工程造价增减均不予签证计价。</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12</w:t>
      </w:r>
      <w:r>
        <w:rPr>
          <w:rFonts w:hint="eastAsia" w:ascii="宋体" w:hAnsi="宋体" w:cs="宋体"/>
          <w:szCs w:val="21"/>
          <w:highlight w:val="none"/>
        </w:rPr>
        <w:t>.10.2开标前，</w:t>
      </w:r>
      <w:r>
        <w:rPr>
          <w:rFonts w:hint="eastAsia" w:ascii="宋体" w:hAnsi="宋体" w:cs="宋体"/>
          <w:szCs w:val="21"/>
          <w:highlight w:val="none"/>
          <w:lang w:eastAsia="zh-CN"/>
        </w:rPr>
        <w:t>供应商</w:t>
      </w:r>
      <w:r>
        <w:rPr>
          <w:rFonts w:hint="eastAsia" w:ascii="宋体" w:hAnsi="宋体" w:cs="宋体"/>
          <w:szCs w:val="21"/>
          <w:highlight w:val="none"/>
        </w:rPr>
        <w:t>应认真核对采购人提供的工程量清单，发现工程量存在项目划分误差、计量单位误差、数量误差、遗漏项目的，必须在清单发放后1日内向采购人提出问题，否则采购人可不予答复。</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12</w:t>
      </w:r>
      <w:r>
        <w:rPr>
          <w:rFonts w:hint="eastAsia" w:ascii="宋体" w:hAnsi="宋体" w:cs="宋体"/>
          <w:szCs w:val="21"/>
          <w:highlight w:val="none"/>
        </w:rPr>
        <w:t>.10.3采购人对</w:t>
      </w:r>
      <w:r>
        <w:rPr>
          <w:rFonts w:hint="eastAsia" w:ascii="宋体" w:hAnsi="宋体" w:cs="宋体"/>
          <w:szCs w:val="21"/>
          <w:highlight w:val="none"/>
          <w:lang w:eastAsia="zh-CN"/>
        </w:rPr>
        <w:t>供应商</w:t>
      </w:r>
      <w:r>
        <w:rPr>
          <w:rFonts w:hint="eastAsia" w:ascii="宋体" w:hAnsi="宋体" w:cs="宋体"/>
          <w:szCs w:val="21"/>
          <w:highlight w:val="none"/>
        </w:rPr>
        <w:t>提出的问题应进行核实，确认工程量单项子目误差在±3%（含±3%）以内，采购人可不予调整工程量，</w:t>
      </w:r>
      <w:r>
        <w:rPr>
          <w:rFonts w:hint="eastAsia" w:ascii="宋体" w:hAnsi="宋体" w:cs="宋体"/>
          <w:szCs w:val="21"/>
          <w:highlight w:val="none"/>
          <w:lang w:eastAsia="zh-CN"/>
        </w:rPr>
        <w:t>供应商</w:t>
      </w:r>
      <w:r>
        <w:rPr>
          <w:rFonts w:hint="eastAsia" w:ascii="宋体" w:hAnsi="宋体" w:cs="宋体"/>
          <w:szCs w:val="21"/>
          <w:highlight w:val="none"/>
        </w:rPr>
        <w:t>应将其误差考虑在综合单价内；若单项子目工程量误差或有遗漏项目超过±3%的，采购人应进行修正并重新公布准确的工程量清单。</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12</w:t>
      </w:r>
      <w:r>
        <w:rPr>
          <w:rFonts w:hint="eastAsia" w:ascii="宋体" w:hAnsi="宋体" w:cs="宋体"/>
          <w:szCs w:val="21"/>
          <w:highlight w:val="none"/>
        </w:rPr>
        <w:t>.10.4</w:t>
      </w:r>
      <w:r>
        <w:rPr>
          <w:rFonts w:hint="eastAsia" w:ascii="宋体" w:hAnsi="宋体" w:cs="宋体"/>
          <w:szCs w:val="21"/>
          <w:highlight w:val="none"/>
          <w:lang w:eastAsia="zh-CN"/>
        </w:rPr>
        <w:t>供应商</w:t>
      </w:r>
      <w:r>
        <w:rPr>
          <w:rFonts w:hint="eastAsia" w:ascii="宋体" w:hAnsi="宋体" w:cs="宋体"/>
          <w:szCs w:val="21"/>
          <w:highlight w:val="none"/>
        </w:rPr>
        <w:t>在规定时间内未对工程量清单提出问题的，成交后，采购人不再对工程量清单的项目和数量进行校对调整。</w:t>
      </w:r>
      <w:r>
        <w:rPr>
          <w:rFonts w:hint="eastAsia" w:ascii="宋体" w:hAnsi="宋体" w:cs="宋体"/>
          <w:szCs w:val="21"/>
          <w:highlight w:val="none"/>
          <w:lang w:eastAsia="zh-CN"/>
        </w:rPr>
        <w:t>供应商</w:t>
      </w:r>
      <w:r>
        <w:rPr>
          <w:rFonts w:hint="eastAsia" w:ascii="宋体" w:hAnsi="宋体" w:cs="宋体"/>
          <w:szCs w:val="21"/>
          <w:highlight w:val="none"/>
        </w:rPr>
        <w:t>必须按其报价完成所有工程项目。</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12</w:t>
      </w:r>
      <w:r>
        <w:rPr>
          <w:rFonts w:hint="eastAsia" w:ascii="宋体" w:hAnsi="宋体" w:cs="宋体"/>
          <w:szCs w:val="21"/>
          <w:highlight w:val="none"/>
        </w:rPr>
        <w:t>.11本招标工程不接受恶意不平衡报价，不保证最低价成交。</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12</w:t>
      </w:r>
      <w:r>
        <w:rPr>
          <w:rFonts w:hint="eastAsia" w:ascii="宋体" w:hAnsi="宋体" w:cs="宋体"/>
          <w:szCs w:val="21"/>
          <w:highlight w:val="none"/>
        </w:rPr>
        <w:t>.12</w:t>
      </w:r>
      <w:r>
        <w:rPr>
          <w:rFonts w:hint="eastAsia" w:ascii="宋体" w:hAnsi="宋体" w:cs="宋体"/>
          <w:szCs w:val="21"/>
          <w:highlight w:val="none"/>
          <w:lang w:eastAsia="zh-CN"/>
        </w:rPr>
        <w:t>磋商响应报价</w:t>
      </w:r>
      <w:r>
        <w:rPr>
          <w:rFonts w:hint="eastAsia" w:ascii="宋体" w:hAnsi="宋体" w:cs="宋体"/>
          <w:szCs w:val="21"/>
          <w:highlight w:val="none"/>
        </w:rPr>
        <w:t>高于最高限价的</w:t>
      </w:r>
      <w:r>
        <w:rPr>
          <w:rFonts w:hint="eastAsia" w:ascii="宋体" w:hAnsi="宋体" w:cs="宋体"/>
          <w:szCs w:val="21"/>
          <w:highlight w:val="none"/>
          <w:lang w:eastAsia="zh-CN"/>
        </w:rPr>
        <w:t>磋商响应</w:t>
      </w:r>
      <w:r>
        <w:rPr>
          <w:rFonts w:hint="eastAsia" w:ascii="宋体" w:hAnsi="宋体" w:cs="宋体"/>
          <w:szCs w:val="21"/>
          <w:highlight w:val="none"/>
        </w:rPr>
        <w:t>无效。</w:t>
      </w:r>
    </w:p>
    <w:p>
      <w:pPr>
        <w:spacing w:line="360" w:lineRule="auto"/>
        <w:ind w:firstLine="420" w:firstLineChars="200"/>
        <w:rPr>
          <w:rFonts w:ascii="宋体" w:hAnsi="宋体" w:cs="宋体"/>
          <w:color w:val="000000"/>
          <w:szCs w:val="21"/>
          <w:highlight w:val="none"/>
        </w:rPr>
      </w:pPr>
      <w:r>
        <w:rPr>
          <w:rFonts w:hint="eastAsia" w:ascii="宋体" w:hAnsi="宋体" w:cs="宋体"/>
          <w:szCs w:val="21"/>
          <w:highlight w:val="none"/>
          <w:lang w:eastAsia="zh-CN"/>
        </w:rPr>
        <w:t>12</w:t>
      </w:r>
      <w:r>
        <w:rPr>
          <w:rFonts w:hint="eastAsia" w:ascii="宋体" w:hAnsi="宋体" w:cs="宋体"/>
          <w:szCs w:val="21"/>
          <w:highlight w:val="none"/>
        </w:rPr>
        <w:t>.13若大写金额和小写金额不一致的，以大写金额为准。</w:t>
      </w:r>
    </w:p>
    <w:p>
      <w:pPr>
        <w:spacing w:line="360" w:lineRule="auto"/>
        <w:ind w:firstLine="422" w:firstLineChars="200"/>
        <w:rPr>
          <w:rFonts w:ascii="宋体" w:cs="宋体"/>
          <w:szCs w:val="21"/>
          <w:highlight w:val="none"/>
        </w:rPr>
      </w:pPr>
      <w:r>
        <w:rPr>
          <w:rFonts w:ascii="宋体" w:hAnsi="宋体" w:cs="宋体"/>
          <w:b/>
          <w:szCs w:val="21"/>
          <w:highlight w:val="none"/>
        </w:rPr>
        <w:t>13</w:t>
      </w:r>
      <w:r>
        <w:rPr>
          <w:rFonts w:hint="eastAsia" w:ascii="宋体" w:hAnsi="宋体" w:cs="宋体"/>
          <w:b/>
          <w:szCs w:val="21"/>
          <w:highlight w:val="none"/>
        </w:rPr>
        <w:t>、磋商响应货币：</w:t>
      </w:r>
      <w:r>
        <w:rPr>
          <w:rFonts w:hint="eastAsia" w:ascii="宋体" w:hAnsi="宋体" w:cs="宋体"/>
          <w:szCs w:val="21"/>
          <w:highlight w:val="none"/>
        </w:rPr>
        <w:t>人民币。</w:t>
      </w:r>
    </w:p>
    <w:p>
      <w:pPr>
        <w:spacing w:line="360" w:lineRule="auto"/>
        <w:ind w:firstLine="422" w:firstLineChars="200"/>
        <w:rPr>
          <w:rFonts w:ascii="宋体" w:cs="宋体"/>
          <w:b/>
          <w:szCs w:val="21"/>
          <w:highlight w:val="none"/>
        </w:rPr>
      </w:pPr>
      <w:r>
        <w:rPr>
          <w:rFonts w:ascii="宋体" w:hAnsi="宋体" w:cs="宋体"/>
          <w:b/>
          <w:szCs w:val="21"/>
          <w:highlight w:val="none"/>
        </w:rPr>
        <w:t>14</w:t>
      </w:r>
      <w:r>
        <w:rPr>
          <w:rFonts w:hint="eastAsia" w:ascii="宋体" w:hAnsi="宋体" w:cs="宋体"/>
          <w:b/>
          <w:szCs w:val="21"/>
          <w:highlight w:val="none"/>
        </w:rPr>
        <w:t>、有以下情形之一的处理：</w:t>
      </w:r>
    </w:p>
    <w:p>
      <w:pPr>
        <w:spacing w:line="420" w:lineRule="exact"/>
        <w:ind w:firstLine="315" w:firstLineChars="150"/>
        <w:rPr>
          <w:rFonts w:ascii="宋体" w:cs="宋体"/>
          <w:szCs w:val="21"/>
          <w:highlight w:val="none"/>
        </w:rPr>
      </w:pPr>
      <w:r>
        <w:rPr>
          <w:rFonts w:ascii="宋体" w:hAnsi="宋体" w:cs="宋体"/>
          <w:szCs w:val="21"/>
          <w:highlight w:val="none"/>
        </w:rPr>
        <w:t xml:space="preserve"> 14.</w:t>
      </w:r>
      <w:r>
        <w:rPr>
          <w:rFonts w:hint="eastAsia" w:ascii="宋体" w:hAnsi="宋体" w:cs="宋体"/>
          <w:szCs w:val="21"/>
          <w:highlight w:val="none"/>
        </w:rPr>
        <w:t>1、供应商有下列情形之一的，</w:t>
      </w:r>
      <w:r>
        <w:rPr>
          <w:rFonts w:hint="eastAsia" w:ascii="宋体" w:hAnsi="宋体" w:cs="宋体"/>
          <w:color w:val="000000"/>
          <w:szCs w:val="21"/>
          <w:highlight w:val="none"/>
        </w:rPr>
        <w:t>记入不良行为记录</w:t>
      </w:r>
      <w:r>
        <w:rPr>
          <w:rFonts w:hint="eastAsia" w:ascii="宋体" w:hAnsi="宋体" w:cs="宋体"/>
          <w:szCs w:val="21"/>
          <w:highlight w:val="none"/>
        </w:rPr>
        <w:t>：</w:t>
      </w:r>
    </w:p>
    <w:p>
      <w:pPr>
        <w:spacing w:line="420" w:lineRule="exact"/>
        <w:ind w:firstLine="315" w:firstLineChars="150"/>
        <w:rPr>
          <w:rFonts w:ascii="宋体" w:cs="宋体"/>
          <w:szCs w:val="21"/>
          <w:highlight w:val="none"/>
        </w:rPr>
      </w:pPr>
      <w:r>
        <w:rPr>
          <w:rFonts w:ascii="宋体" w:hAnsi="宋体" w:cs="宋体"/>
          <w:szCs w:val="21"/>
          <w:highlight w:val="none"/>
        </w:rPr>
        <w:t xml:space="preserve"> </w:t>
      </w: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）提交截止时间后，供应商在磋商有效期内撤销响应文件的；</w:t>
      </w:r>
    </w:p>
    <w:p>
      <w:pPr>
        <w:spacing w:line="420" w:lineRule="exact"/>
        <w:ind w:firstLine="315" w:firstLineChars="150"/>
        <w:rPr>
          <w:rFonts w:ascii="宋体" w:cs="宋体"/>
          <w:szCs w:val="21"/>
          <w:highlight w:val="none"/>
        </w:rPr>
      </w:pPr>
      <w:r>
        <w:rPr>
          <w:rFonts w:ascii="宋体" w:hAnsi="宋体" w:cs="宋体"/>
          <w:szCs w:val="21"/>
          <w:highlight w:val="none"/>
        </w:rPr>
        <w:t xml:space="preserve"> </w:t>
      </w: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）成交人无正当理由不与采购人订立合同的，或在签订合同时向采购人提出附加条件的；</w:t>
      </w:r>
    </w:p>
    <w:p>
      <w:pPr>
        <w:spacing w:line="420" w:lineRule="exact"/>
        <w:ind w:firstLine="315" w:firstLineChars="150"/>
        <w:rPr>
          <w:rFonts w:ascii="宋体" w:cs="宋体"/>
          <w:szCs w:val="21"/>
          <w:highlight w:val="none"/>
        </w:rPr>
      </w:pPr>
      <w:r>
        <w:rPr>
          <w:rFonts w:ascii="宋体" w:hAnsi="宋体" w:cs="宋体"/>
          <w:szCs w:val="21"/>
          <w:highlight w:val="none"/>
        </w:rPr>
        <w:t xml:space="preserve"> </w:t>
      </w:r>
      <w:r>
        <w:rPr>
          <w:rFonts w:hint="eastAsia" w:ascii="宋体" w:hAnsi="宋体" w:cs="宋体"/>
          <w:szCs w:val="21"/>
          <w:highlight w:val="none"/>
        </w:rPr>
        <w:t>（</w:t>
      </w:r>
      <w:r>
        <w:rPr>
          <w:rFonts w:ascii="宋体" w:hAnsi="宋体" w:cs="宋体"/>
          <w:szCs w:val="21"/>
          <w:highlight w:val="none"/>
        </w:rPr>
        <w:t>3</w:t>
      </w:r>
      <w:r>
        <w:rPr>
          <w:rFonts w:hint="eastAsia" w:ascii="宋体" w:hAnsi="宋体" w:cs="宋体"/>
          <w:szCs w:val="21"/>
          <w:highlight w:val="none"/>
        </w:rPr>
        <w:t>）不按照磋商文件要求提交履约保证金的；</w:t>
      </w:r>
    </w:p>
    <w:p>
      <w:pPr>
        <w:spacing w:line="420" w:lineRule="exact"/>
        <w:ind w:firstLine="315" w:firstLineChars="150"/>
        <w:rPr>
          <w:rFonts w:ascii="宋体" w:cs="宋体"/>
          <w:szCs w:val="21"/>
          <w:highlight w:val="none"/>
        </w:rPr>
      </w:pPr>
      <w:r>
        <w:rPr>
          <w:rFonts w:ascii="宋体" w:hAnsi="宋体" w:cs="宋体"/>
          <w:szCs w:val="21"/>
          <w:highlight w:val="none"/>
        </w:rPr>
        <w:t xml:space="preserve"> </w:t>
      </w:r>
      <w:r>
        <w:rPr>
          <w:rFonts w:hint="eastAsia" w:ascii="宋体" w:hAnsi="宋体" w:cs="宋体"/>
          <w:szCs w:val="21"/>
          <w:highlight w:val="none"/>
        </w:rPr>
        <w:t>（</w:t>
      </w:r>
      <w:r>
        <w:rPr>
          <w:rFonts w:ascii="宋体" w:hAnsi="宋体" w:cs="宋体"/>
          <w:szCs w:val="21"/>
          <w:highlight w:val="none"/>
        </w:rPr>
        <w:t>4</w:t>
      </w:r>
      <w:r>
        <w:rPr>
          <w:rFonts w:hint="eastAsia" w:ascii="宋体" w:hAnsi="宋体" w:cs="宋体"/>
          <w:szCs w:val="21"/>
          <w:highlight w:val="none"/>
        </w:rPr>
        <w:t>）</w:t>
      </w:r>
      <w:r>
        <w:rPr>
          <w:rFonts w:hint="eastAsia" w:ascii="宋体" w:hAnsi="宋体"/>
          <w:szCs w:val="21"/>
          <w:highlight w:val="none"/>
        </w:rPr>
        <w:t>将</w:t>
      </w:r>
      <w:r>
        <w:rPr>
          <w:rFonts w:hint="eastAsia" w:ascii="宋体" w:hAnsi="宋体"/>
          <w:szCs w:val="21"/>
          <w:highlight w:val="none"/>
          <w:lang w:eastAsia="zh-CN"/>
        </w:rPr>
        <w:t>成交</w:t>
      </w:r>
      <w:r>
        <w:rPr>
          <w:rFonts w:hint="eastAsia" w:ascii="宋体" w:hAnsi="宋体"/>
          <w:szCs w:val="21"/>
          <w:highlight w:val="none"/>
        </w:rPr>
        <w:t>项目转让给他人，或未按相关约定将</w:t>
      </w:r>
      <w:r>
        <w:rPr>
          <w:rFonts w:hint="eastAsia" w:ascii="宋体" w:hAnsi="宋体"/>
          <w:szCs w:val="21"/>
          <w:highlight w:val="none"/>
          <w:lang w:eastAsia="zh-CN"/>
        </w:rPr>
        <w:t>成交</w:t>
      </w:r>
      <w:r>
        <w:rPr>
          <w:rFonts w:hint="eastAsia" w:ascii="宋体" w:hAnsi="宋体"/>
          <w:szCs w:val="21"/>
          <w:highlight w:val="none"/>
        </w:rPr>
        <w:t>项目分包给他人的</w:t>
      </w:r>
      <w:r>
        <w:rPr>
          <w:rFonts w:hint="eastAsia" w:ascii="宋体" w:hAnsi="宋体" w:cs="宋体"/>
          <w:szCs w:val="21"/>
          <w:highlight w:val="none"/>
        </w:rPr>
        <w:t>；</w:t>
      </w:r>
    </w:p>
    <w:p>
      <w:pPr>
        <w:spacing w:line="360" w:lineRule="auto"/>
        <w:ind w:firstLine="315" w:firstLineChars="150"/>
        <w:rPr>
          <w:rFonts w:ascii="宋体" w:hAnsi="宋体" w:cs="宋体"/>
          <w:szCs w:val="21"/>
          <w:highlight w:val="none"/>
        </w:rPr>
      </w:pPr>
      <w:r>
        <w:rPr>
          <w:rFonts w:ascii="宋体" w:hAnsi="宋体" w:cs="宋体"/>
          <w:szCs w:val="21"/>
          <w:highlight w:val="none"/>
        </w:rPr>
        <w:t xml:space="preserve"> </w:t>
      </w: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）成交人拒绝履行合同义务的；</w:t>
      </w:r>
    </w:p>
    <w:p>
      <w:pPr>
        <w:spacing w:line="360" w:lineRule="auto"/>
        <w:ind w:left="420"/>
        <w:rPr>
          <w:rFonts w:ascii="宋体" w:hAnsi="宋体"/>
          <w:szCs w:val="21"/>
          <w:highlight w:val="none"/>
        </w:rPr>
      </w:pPr>
      <w:r>
        <w:rPr>
          <w:rFonts w:hint="eastAsia" w:ascii="宋体" w:hAnsi="宋体"/>
          <w:szCs w:val="21"/>
          <w:highlight w:val="none"/>
        </w:rPr>
        <w:t xml:space="preserve">（6）提供虚假材料谋取中标、成交的； </w:t>
      </w:r>
    </w:p>
    <w:p>
      <w:pPr>
        <w:spacing w:line="360" w:lineRule="auto"/>
        <w:ind w:firstLine="420" w:firstLineChars="200"/>
        <w:rPr>
          <w:rFonts w:ascii="宋体" w:hAnsi="宋体"/>
          <w:szCs w:val="21"/>
          <w:highlight w:val="none"/>
        </w:rPr>
      </w:pPr>
      <w:r>
        <w:rPr>
          <w:rFonts w:hint="eastAsia" w:ascii="宋体" w:hAnsi="宋体"/>
          <w:szCs w:val="21"/>
          <w:highlight w:val="none"/>
        </w:rPr>
        <w:t xml:space="preserve">（7）采取不正当手段诋毁、排挤其他供应商的； </w:t>
      </w:r>
    </w:p>
    <w:p>
      <w:pPr>
        <w:spacing w:line="360" w:lineRule="auto"/>
        <w:ind w:firstLine="420" w:firstLineChars="200"/>
        <w:rPr>
          <w:rFonts w:ascii="宋体" w:hAnsi="宋体"/>
          <w:szCs w:val="21"/>
          <w:highlight w:val="none"/>
        </w:rPr>
      </w:pPr>
      <w:r>
        <w:rPr>
          <w:rFonts w:hint="eastAsia" w:ascii="宋体" w:hAnsi="宋体"/>
          <w:szCs w:val="21"/>
          <w:highlight w:val="none"/>
        </w:rPr>
        <w:t>（8）与采购单位、其他供应商恶意串通的；</w:t>
      </w:r>
    </w:p>
    <w:p>
      <w:pPr>
        <w:spacing w:line="360" w:lineRule="auto"/>
        <w:ind w:firstLine="420" w:firstLineChars="200"/>
        <w:rPr>
          <w:rFonts w:ascii="宋体" w:hAnsi="宋体"/>
          <w:szCs w:val="21"/>
          <w:highlight w:val="none"/>
        </w:rPr>
      </w:pPr>
      <w:r>
        <w:rPr>
          <w:rFonts w:hint="eastAsia" w:ascii="宋体" w:hAnsi="宋体"/>
          <w:szCs w:val="21"/>
          <w:highlight w:val="none"/>
        </w:rPr>
        <w:t>（9）视为供应商串通投标的；</w:t>
      </w:r>
      <w:r>
        <w:rPr>
          <w:rFonts w:ascii="宋体" w:hAnsi="宋体"/>
          <w:szCs w:val="21"/>
          <w:highlight w:val="none"/>
        </w:rPr>
        <w:t xml:space="preserve"> </w:t>
      </w:r>
    </w:p>
    <w:p>
      <w:pPr>
        <w:spacing w:line="360" w:lineRule="auto"/>
        <w:ind w:firstLine="420" w:firstLineChars="200"/>
        <w:rPr>
          <w:rFonts w:ascii="宋体" w:hAnsi="宋体"/>
          <w:szCs w:val="21"/>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szCs w:val="21"/>
          <w:highlight w:val="none"/>
        </w:rPr>
        <w:t xml:space="preserve">）向采购单位行贿或者提供其他不正当利益的； </w:t>
      </w:r>
    </w:p>
    <w:p>
      <w:pPr>
        <w:spacing w:line="360" w:lineRule="auto"/>
        <w:ind w:firstLine="420" w:firstLineChars="200"/>
        <w:rPr>
          <w:rFonts w:ascii="宋体" w:hAnsi="宋体"/>
          <w:szCs w:val="21"/>
          <w:highlight w:val="none"/>
        </w:rPr>
      </w:pPr>
      <w:r>
        <w:rPr>
          <w:rFonts w:hint="eastAsia" w:ascii="宋体" w:hAnsi="宋体"/>
          <w:szCs w:val="21"/>
          <w:highlight w:val="none"/>
        </w:rPr>
        <w:t>（1</w:t>
      </w:r>
      <w:r>
        <w:rPr>
          <w:rFonts w:ascii="宋体" w:hAnsi="宋体"/>
          <w:szCs w:val="21"/>
          <w:highlight w:val="none"/>
        </w:rPr>
        <w:t>1</w:t>
      </w:r>
      <w:r>
        <w:rPr>
          <w:rFonts w:hint="eastAsia" w:ascii="宋体" w:hAnsi="宋体"/>
          <w:szCs w:val="21"/>
          <w:highlight w:val="none"/>
        </w:rPr>
        <w:t xml:space="preserve">）在招标采购过程中与采购人进行磋商、不按照磋商文件和成交供应商的响应文件订立合同，或者与采购人另行订立背离合同实质性内容的协议； </w:t>
      </w:r>
    </w:p>
    <w:p>
      <w:pPr>
        <w:spacing w:line="360" w:lineRule="auto"/>
        <w:ind w:firstLine="420" w:firstLineChars="200"/>
        <w:rPr>
          <w:rFonts w:ascii="宋体" w:hAnsi="宋体"/>
          <w:szCs w:val="21"/>
          <w:highlight w:val="none"/>
        </w:rPr>
      </w:pPr>
      <w:r>
        <w:rPr>
          <w:rFonts w:hint="eastAsia" w:ascii="宋体" w:hAnsi="宋体"/>
          <w:szCs w:val="21"/>
          <w:highlight w:val="none"/>
        </w:rPr>
        <w:t>（1</w:t>
      </w:r>
      <w:r>
        <w:rPr>
          <w:rFonts w:ascii="宋体" w:hAnsi="宋体"/>
          <w:szCs w:val="21"/>
          <w:highlight w:val="none"/>
        </w:rPr>
        <w:t>2</w:t>
      </w:r>
      <w:r>
        <w:rPr>
          <w:rFonts w:hint="eastAsia" w:ascii="宋体" w:hAnsi="宋体"/>
          <w:szCs w:val="21"/>
          <w:highlight w:val="none"/>
        </w:rPr>
        <w:t>）拒绝有关部门监督检查或者提供虚假情况的；</w:t>
      </w:r>
    </w:p>
    <w:p>
      <w:pPr>
        <w:spacing w:line="360" w:lineRule="auto"/>
        <w:ind w:left="420"/>
        <w:rPr>
          <w:rFonts w:ascii="宋体" w:hAnsi="宋体"/>
          <w:szCs w:val="21"/>
          <w:highlight w:val="none"/>
        </w:rPr>
      </w:pPr>
      <w:r>
        <w:rPr>
          <w:rFonts w:hint="eastAsia" w:ascii="宋体" w:hAnsi="宋体"/>
          <w:szCs w:val="21"/>
          <w:highlight w:val="none"/>
        </w:rPr>
        <w:t>（1</w:t>
      </w:r>
      <w:r>
        <w:rPr>
          <w:rFonts w:ascii="宋体" w:hAnsi="宋体"/>
          <w:szCs w:val="21"/>
          <w:highlight w:val="none"/>
        </w:rPr>
        <w:t>3</w:t>
      </w:r>
      <w:r>
        <w:rPr>
          <w:rFonts w:hint="eastAsia" w:ascii="宋体" w:hAnsi="宋体"/>
          <w:szCs w:val="21"/>
          <w:highlight w:val="none"/>
        </w:rPr>
        <w:t>）受到</w:t>
      </w:r>
      <w:r>
        <w:rPr>
          <w:rFonts w:ascii="宋体" w:hAnsi="宋体"/>
          <w:szCs w:val="21"/>
          <w:highlight w:val="none"/>
        </w:rPr>
        <w:t>财政部门依法</w:t>
      </w:r>
      <w:r>
        <w:rPr>
          <w:rFonts w:hint="eastAsia" w:ascii="宋体" w:hAnsi="宋体"/>
          <w:szCs w:val="21"/>
          <w:highlight w:val="none"/>
        </w:rPr>
        <w:t>作出的</w:t>
      </w:r>
      <w:r>
        <w:rPr>
          <w:rFonts w:ascii="宋体" w:hAnsi="宋体"/>
          <w:szCs w:val="21"/>
          <w:highlight w:val="none"/>
        </w:rPr>
        <w:t>禁止参加政府采购活动</w:t>
      </w:r>
      <w:r>
        <w:rPr>
          <w:rFonts w:hint="eastAsia" w:ascii="宋体" w:hAnsi="宋体"/>
          <w:szCs w:val="21"/>
          <w:highlight w:val="none"/>
        </w:rPr>
        <w:t>且在有效期内的</w:t>
      </w:r>
      <w:r>
        <w:rPr>
          <w:rFonts w:ascii="宋体" w:hAnsi="宋体"/>
          <w:szCs w:val="21"/>
          <w:highlight w:val="none"/>
        </w:rPr>
        <w:t>行政处罚</w:t>
      </w:r>
      <w:r>
        <w:rPr>
          <w:rFonts w:hint="eastAsia" w:ascii="宋体" w:hAnsi="宋体"/>
          <w:szCs w:val="21"/>
          <w:highlight w:val="none"/>
        </w:rPr>
        <w:t>；</w:t>
      </w:r>
    </w:p>
    <w:p>
      <w:pPr>
        <w:spacing w:line="360" w:lineRule="auto"/>
        <w:ind w:left="420"/>
        <w:rPr>
          <w:rFonts w:ascii="宋体" w:hAnsi="宋体"/>
          <w:szCs w:val="21"/>
          <w:highlight w:val="none"/>
        </w:rPr>
      </w:pPr>
      <w:r>
        <w:rPr>
          <w:rFonts w:hint="eastAsia" w:ascii="宋体" w:hAnsi="宋体"/>
          <w:szCs w:val="21"/>
          <w:highlight w:val="none"/>
        </w:rPr>
        <w:t>（1</w:t>
      </w:r>
      <w:r>
        <w:rPr>
          <w:rFonts w:ascii="宋体" w:hAnsi="宋体"/>
          <w:szCs w:val="21"/>
          <w:highlight w:val="none"/>
        </w:rPr>
        <w:t>4</w:t>
      </w:r>
      <w:r>
        <w:rPr>
          <w:rFonts w:hint="eastAsia" w:ascii="宋体" w:hAnsi="宋体"/>
          <w:szCs w:val="21"/>
          <w:highlight w:val="none"/>
        </w:rPr>
        <w:t>）提供中小企业声明函内容不实的，属于提供虚假材料谋取中标、成交；</w:t>
      </w:r>
    </w:p>
    <w:p>
      <w:pPr>
        <w:spacing w:line="360" w:lineRule="auto"/>
        <w:ind w:firstLine="420" w:firstLineChars="200"/>
        <w:rPr>
          <w:rFonts w:ascii="宋体" w:cs="宋体"/>
          <w:szCs w:val="21"/>
          <w:highlight w:val="none"/>
        </w:rPr>
      </w:pPr>
      <w:r>
        <w:rPr>
          <w:rFonts w:hint="eastAsia" w:ascii="宋体" w:hAnsi="宋体"/>
          <w:szCs w:val="21"/>
          <w:highlight w:val="none"/>
        </w:rPr>
        <w:t>（15）法律、法规约定及磋商文件约定的其他情形</w:t>
      </w: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供应商上述行为给采购人造成的损失，供应商应当予以赔偿。</w:t>
      </w:r>
    </w:p>
    <w:p>
      <w:pPr>
        <w:spacing w:line="360" w:lineRule="auto"/>
        <w:ind w:firstLine="420" w:firstLineChars="200"/>
        <w:rPr>
          <w:rFonts w:ascii="宋体" w:hAnsi="宋体"/>
          <w:szCs w:val="21"/>
          <w:highlight w:val="none"/>
        </w:rPr>
      </w:pPr>
      <w:r>
        <w:rPr>
          <w:rFonts w:hint="eastAsia" w:ascii="宋体" w:hAnsi="宋体"/>
          <w:szCs w:val="21"/>
          <w:highlight w:val="none"/>
        </w:rPr>
        <w:t>14.</w:t>
      </w:r>
      <w:r>
        <w:rPr>
          <w:rFonts w:ascii="宋体" w:hAnsi="宋体"/>
          <w:szCs w:val="21"/>
          <w:highlight w:val="none"/>
        </w:rPr>
        <w:t>2</w:t>
      </w:r>
      <w:r>
        <w:rPr>
          <w:rFonts w:hint="eastAsia" w:ascii="宋体" w:hAnsi="宋体"/>
          <w:szCs w:val="21"/>
          <w:highlight w:val="none"/>
        </w:rPr>
        <w:t>、有下列情形之一的，视为供应商串通投标，其磋商响应无效：</w:t>
      </w:r>
    </w:p>
    <w:p>
      <w:pPr>
        <w:spacing w:line="360" w:lineRule="auto"/>
        <w:ind w:firstLine="420" w:firstLineChars="200"/>
        <w:rPr>
          <w:rFonts w:ascii="宋体" w:hAnsi="宋体"/>
          <w:szCs w:val="21"/>
          <w:highlight w:val="none"/>
        </w:rPr>
      </w:pPr>
      <w:r>
        <w:rPr>
          <w:rFonts w:hint="eastAsia" w:ascii="宋体" w:hAnsi="宋体"/>
          <w:szCs w:val="21"/>
          <w:highlight w:val="none"/>
        </w:rPr>
        <w:t>（1）不同供应商的磋商响应文件由同一单位或者个人编制；</w:t>
      </w:r>
    </w:p>
    <w:p>
      <w:pPr>
        <w:spacing w:line="360" w:lineRule="auto"/>
        <w:ind w:firstLine="420" w:firstLineChars="200"/>
        <w:rPr>
          <w:rFonts w:ascii="宋体" w:hAnsi="宋体"/>
          <w:szCs w:val="21"/>
          <w:highlight w:val="none"/>
        </w:rPr>
      </w:pPr>
      <w:r>
        <w:rPr>
          <w:rFonts w:hint="eastAsia" w:ascii="宋体" w:hAnsi="宋体"/>
          <w:szCs w:val="21"/>
          <w:highlight w:val="none"/>
        </w:rPr>
        <w:t>（2）不同供应商委托同一单位或者个人办理磋商响应事宜；</w:t>
      </w:r>
    </w:p>
    <w:p>
      <w:pPr>
        <w:spacing w:line="360" w:lineRule="auto"/>
        <w:ind w:firstLine="420" w:firstLineChars="200"/>
        <w:rPr>
          <w:rFonts w:ascii="宋体" w:hAnsi="宋体"/>
          <w:szCs w:val="21"/>
          <w:highlight w:val="none"/>
        </w:rPr>
      </w:pPr>
      <w:r>
        <w:rPr>
          <w:rFonts w:hint="eastAsia" w:ascii="宋体" w:hAnsi="宋体"/>
          <w:szCs w:val="21"/>
          <w:highlight w:val="none"/>
        </w:rPr>
        <w:t>（3）不同供应商的磋商响应文件载明的项目管理成员或联系人员为同一人；</w:t>
      </w:r>
    </w:p>
    <w:p>
      <w:pPr>
        <w:spacing w:line="360" w:lineRule="auto"/>
        <w:ind w:firstLine="420" w:firstLineChars="200"/>
        <w:rPr>
          <w:rFonts w:ascii="宋体" w:hAnsi="宋体"/>
          <w:szCs w:val="21"/>
          <w:highlight w:val="none"/>
        </w:rPr>
      </w:pPr>
      <w:r>
        <w:rPr>
          <w:rFonts w:hint="eastAsia" w:ascii="宋体" w:hAnsi="宋体"/>
          <w:szCs w:val="21"/>
          <w:highlight w:val="none"/>
        </w:rPr>
        <w:t>（4）不同供应商的磋商响应文件异常一致或者磋商响应报价呈规律性差异；</w:t>
      </w:r>
    </w:p>
    <w:p>
      <w:pPr>
        <w:spacing w:line="360" w:lineRule="auto"/>
        <w:ind w:firstLine="420" w:firstLineChars="200"/>
        <w:rPr>
          <w:rFonts w:ascii="宋体" w:hAnsi="宋体"/>
          <w:szCs w:val="21"/>
          <w:highlight w:val="none"/>
        </w:rPr>
      </w:pPr>
      <w:r>
        <w:rPr>
          <w:rFonts w:hint="eastAsia" w:ascii="宋体" w:hAnsi="宋体"/>
          <w:szCs w:val="21"/>
          <w:highlight w:val="none"/>
        </w:rPr>
        <w:t>（5）不同供应商的磋商响应文件相互混装；</w:t>
      </w:r>
    </w:p>
    <w:p>
      <w:pPr>
        <w:spacing w:line="360" w:lineRule="auto"/>
        <w:ind w:firstLine="420" w:firstLineChars="200"/>
        <w:rPr>
          <w:rFonts w:ascii="宋体" w:hAnsi="宋体"/>
          <w:b/>
          <w:szCs w:val="21"/>
          <w:highlight w:val="none"/>
        </w:rPr>
      </w:pPr>
      <w:r>
        <w:rPr>
          <w:rFonts w:ascii="宋体" w:hAnsi="宋体" w:cs="宋体"/>
          <w:szCs w:val="21"/>
          <w:highlight w:val="none"/>
        </w:rPr>
        <w:t>14.3</w:t>
      </w:r>
      <w:r>
        <w:rPr>
          <w:rFonts w:hint="eastAsia" w:ascii="宋体" w:hAnsi="宋体" w:cs="宋体"/>
          <w:szCs w:val="21"/>
          <w:highlight w:val="none"/>
        </w:rPr>
        <w:t>、</w:t>
      </w:r>
      <w:r>
        <w:rPr>
          <w:rFonts w:hint="eastAsia" w:ascii="宋体" w:hAnsi="宋体"/>
          <w:b/>
          <w:szCs w:val="21"/>
          <w:highlight w:val="none"/>
        </w:rPr>
        <w:t>供应商在本项目招标过程中有下列行为之一的，成交无效，给采购人造成的损失，供应商还应予以赔偿。构成犯罪的，依法追究刑事责任。</w:t>
      </w:r>
    </w:p>
    <w:p>
      <w:pPr>
        <w:widowControl/>
        <w:spacing w:line="500" w:lineRule="exact"/>
        <w:ind w:firstLine="420" w:firstLineChars="200"/>
        <w:jc w:val="left"/>
        <w:rPr>
          <w:highlight w:val="none"/>
        </w:rPr>
      </w:pPr>
      <w:r>
        <w:rPr>
          <w:rFonts w:hint="eastAsia"/>
          <w:highlight w:val="none"/>
        </w:rPr>
        <w:t>（1）成交后无正当理由不与采购单位签订合同的；</w:t>
      </w:r>
    </w:p>
    <w:p>
      <w:pPr>
        <w:widowControl/>
        <w:spacing w:line="500" w:lineRule="exact"/>
        <w:ind w:firstLine="420" w:firstLineChars="200"/>
        <w:jc w:val="left"/>
        <w:rPr>
          <w:rFonts w:ascii="宋体" w:hAnsi="宋体"/>
          <w:szCs w:val="21"/>
          <w:highlight w:val="none"/>
        </w:rPr>
      </w:pPr>
      <w:r>
        <w:rPr>
          <w:rFonts w:hint="eastAsia"/>
          <w:highlight w:val="none"/>
        </w:rPr>
        <w:t>（2）</w:t>
      </w:r>
      <w:r>
        <w:rPr>
          <w:rFonts w:hint="eastAsia" w:ascii="宋体" w:hAnsi="宋体"/>
          <w:szCs w:val="21"/>
          <w:highlight w:val="none"/>
        </w:rPr>
        <w:t>在签订合同时向采购人提出附加条件，或者不按照磋商文件要求提交履约保证金的；</w:t>
      </w:r>
    </w:p>
    <w:p>
      <w:pPr>
        <w:widowControl/>
        <w:spacing w:line="500" w:lineRule="exact"/>
        <w:ind w:firstLine="420" w:firstLineChars="200"/>
        <w:jc w:val="left"/>
        <w:rPr>
          <w:highlight w:val="none"/>
        </w:rPr>
      </w:pPr>
      <w:r>
        <w:rPr>
          <w:rFonts w:hint="eastAsia"/>
          <w:highlight w:val="none"/>
        </w:rPr>
        <w:t>（3）将成交项目转让给他人，或在响应文件中未说明，将成交项目分包给他人的；</w:t>
      </w:r>
    </w:p>
    <w:p>
      <w:pPr>
        <w:spacing w:line="360" w:lineRule="auto"/>
        <w:ind w:firstLine="420" w:firstLineChars="200"/>
        <w:rPr>
          <w:highlight w:val="none"/>
        </w:rPr>
      </w:pPr>
      <w:r>
        <w:rPr>
          <w:rFonts w:hint="eastAsia"/>
          <w:highlight w:val="none"/>
        </w:rPr>
        <w:t>（4）</w:t>
      </w:r>
      <w:r>
        <w:rPr>
          <w:rFonts w:hint="eastAsia" w:ascii="宋体" w:hAnsi="宋体"/>
          <w:szCs w:val="21"/>
          <w:highlight w:val="none"/>
        </w:rPr>
        <w:t>供应商相互串通或者与采购人串通的；</w:t>
      </w:r>
    </w:p>
    <w:p>
      <w:pPr>
        <w:spacing w:line="360" w:lineRule="auto"/>
        <w:ind w:firstLine="420" w:firstLineChars="200"/>
        <w:rPr>
          <w:rFonts w:ascii="宋体" w:hAnsi="宋体"/>
          <w:szCs w:val="21"/>
          <w:highlight w:val="none"/>
        </w:rPr>
      </w:pPr>
      <w:r>
        <w:rPr>
          <w:rFonts w:hint="eastAsia" w:ascii="宋体" w:hAnsi="宋体"/>
          <w:szCs w:val="21"/>
          <w:highlight w:val="none"/>
        </w:rPr>
        <w:t>（5）供应商以向采购人或者</w:t>
      </w:r>
      <w:r>
        <w:rPr>
          <w:rFonts w:hint="eastAsia" w:ascii="宋体" w:hAnsi="宋体"/>
          <w:szCs w:val="21"/>
          <w:highlight w:val="none"/>
          <w:lang w:eastAsia="zh-CN"/>
        </w:rPr>
        <w:t>磋商小组</w:t>
      </w:r>
      <w:r>
        <w:rPr>
          <w:rFonts w:hint="eastAsia" w:ascii="宋体" w:hAnsi="宋体"/>
          <w:szCs w:val="21"/>
          <w:highlight w:val="none"/>
        </w:rPr>
        <w:t>成员行贿的手段谋取成交的；</w:t>
      </w:r>
    </w:p>
    <w:p>
      <w:pPr>
        <w:spacing w:line="360" w:lineRule="auto"/>
        <w:ind w:firstLine="420" w:firstLineChars="200"/>
        <w:rPr>
          <w:rFonts w:ascii="宋体" w:hAnsi="宋体"/>
          <w:szCs w:val="21"/>
          <w:highlight w:val="none"/>
        </w:rPr>
      </w:pPr>
      <w:r>
        <w:rPr>
          <w:rFonts w:hint="eastAsia" w:ascii="宋体" w:hAnsi="宋体"/>
          <w:szCs w:val="21"/>
          <w:highlight w:val="none"/>
        </w:rPr>
        <w:t>（6）供应商以他人名义磋商或者以其他方式弄虚作假，骗取成交的；</w:t>
      </w:r>
    </w:p>
    <w:p>
      <w:pPr>
        <w:spacing w:line="360" w:lineRule="auto"/>
        <w:ind w:firstLine="420" w:firstLineChars="200"/>
        <w:rPr>
          <w:rFonts w:ascii="宋体" w:hAnsi="宋体"/>
          <w:szCs w:val="21"/>
          <w:highlight w:val="none"/>
        </w:rPr>
      </w:pPr>
      <w:r>
        <w:rPr>
          <w:rFonts w:hint="eastAsia" w:ascii="宋体" w:hAnsi="宋体"/>
          <w:szCs w:val="21"/>
          <w:highlight w:val="none"/>
        </w:rPr>
        <w:t>（7）违法与采购人就磋商价格、服务方案等实质性内容进行磋商，影响成交结果的；</w:t>
      </w:r>
    </w:p>
    <w:p>
      <w:pPr>
        <w:widowControl/>
        <w:spacing w:line="500" w:lineRule="exact"/>
        <w:ind w:firstLine="420" w:firstLineChars="200"/>
        <w:jc w:val="left"/>
        <w:rPr>
          <w:rFonts w:ascii="宋体" w:cs="宋体"/>
          <w:highlight w:val="none"/>
        </w:rPr>
      </w:pPr>
      <w:r>
        <w:rPr>
          <w:rFonts w:hint="eastAsia" w:ascii="宋体" w:hAnsi="宋体"/>
          <w:szCs w:val="21"/>
          <w:highlight w:val="none"/>
        </w:rPr>
        <w:t>（8）法律、法规规定及磋商文件约定的其他情形</w:t>
      </w:r>
      <w:r>
        <w:rPr>
          <w:rFonts w:hint="eastAsia" w:ascii="宋体" w:hAnsi="宋体" w:cs="宋体"/>
          <w:highlight w:val="none"/>
        </w:rPr>
        <w:t>。</w:t>
      </w:r>
    </w:p>
    <w:p>
      <w:pPr>
        <w:spacing w:line="360" w:lineRule="auto"/>
        <w:ind w:firstLine="422" w:firstLineChars="200"/>
        <w:rPr>
          <w:rFonts w:ascii="宋体" w:cs="宋体"/>
          <w:b/>
          <w:szCs w:val="21"/>
          <w:highlight w:val="none"/>
        </w:rPr>
      </w:pPr>
      <w:r>
        <w:rPr>
          <w:rFonts w:ascii="宋体" w:hAnsi="宋体" w:cs="宋体"/>
          <w:b/>
          <w:szCs w:val="21"/>
          <w:highlight w:val="none"/>
        </w:rPr>
        <w:t>15</w:t>
      </w:r>
      <w:r>
        <w:rPr>
          <w:rFonts w:hint="eastAsia" w:ascii="宋体" w:hAnsi="宋体" w:cs="宋体"/>
          <w:b/>
          <w:szCs w:val="21"/>
          <w:highlight w:val="none"/>
        </w:rPr>
        <w:t>、磋商有效期</w:t>
      </w:r>
    </w:p>
    <w:p>
      <w:pPr>
        <w:spacing w:line="360" w:lineRule="auto"/>
        <w:ind w:firstLine="420" w:firstLineChars="200"/>
        <w:rPr>
          <w:rFonts w:ascii="宋体" w:cs="宋体"/>
          <w:szCs w:val="21"/>
          <w:highlight w:val="none"/>
        </w:rPr>
      </w:pPr>
      <w:r>
        <w:rPr>
          <w:rFonts w:ascii="宋体" w:hAnsi="宋体" w:cs="宋体"/>
          <w:szCs w:val="21"/>
          <w:highlight w:val="none"/>
        </w:rPr>
        <w:t>15.1</w:t>
      </w:r>
      <w:r>
        <w:rPr>
          <w:rFonts w:hint="eastAsia" w:ascii="宋体" w:hAnsi="宋体" w:cs="宋体"/>
          <w:szCs w:val="21"/>
          <w:highlight w:val="none"/>
        </w:rPr>
        <w:t>、磋商有效期见“磋商须知前附表”的约定。</w:t>
      </w:r>
    </w:p>
    <w:p>
      <w:pPr>
        <w:spacing w:line="360" w:lineRule="auto"/>
        <w:ind w:firstLine="420" w:firstLineChars="200"/>
        <w:rPr>
          <w:rFonts w:ascii="宋体" w:cs="宋体"/>
          <w:szCs w:val="21"/>
          <w:highlight w:val="none"/>
        </w:rPr>
      </w:pPr>
      <w:r>
        <w:rPr>
          <w:rFonts w:ascii="宋体" w:hAnsi="宋体" w:cs="宋体"/>
          <w:szCs w:val="21"/>
          <w:highlight w:val="none"/>
        </w:rPr>
        <w:t>15.2</w:t>
      </w:r>
      <w:r>
        <w:rPr>
          <w:rFonts w:hint="eastAsia" w:ascii="宋体" w:hAnsi="宋体" w:cs="宋体"/>
          <w:szCs w:val="21"/>
          <w:highlight w:val="none"/>
        </w:rPr>
        <w:t>、在磋商有效期内，供应商不得要求撤销或修改其响应文件。</w:t>
      </w:r>
    </w:p>
    <w:p>
      <w:pPr>
        <w:spacing w:line="360" w:lineRule="auto"/>
        <w:ind w:firstLine="420" w:firstLineChars="200"/>
        <w:rPr>
          <w:rFonts w:ascii="宋体" w:cs="宋体"/>
          <w:szCs w:val="21"/>
          <w:highlight w:val="none"/>
        </w:rPr>
      </w:pPr>
      <w:r>
        <w:rPr>
          <w:rFonts w:ascii="宋体" w:hAnsi="宋体" w:cs="宋体"/>
          <w:szCs w:val="21"/>
          <w:highlight w:val="none"/>
        </w:rPr>
        <w:t>15.3</w:t>
      </w:r>
      <w:r>
        <w:rPr>
          <w:rFonts w:hint="eastAsia" w:ascii="宋体" w:hAnsi="宋体" w:cs="宋体"/>
          <w:szCs w:val="21"/>
          <w:highlight w:val="none"/>
        </w:rPr>
        <w:t>、磋商有效期从响应文件提交截止时间算起。</w:t>
      </w:r>
    </w:p>
    <w:p>
      <w:pPr>
        <w:spacing w:line="360" w:lineRule="auto"/>
        <w:ind w:firstLine="420" w:firstLineChars="200"/>
        <w:rPr>
          <w:rFonts w:ascii="宋体" w:cs="宋体"/>
          <w:szCs w:val="21"/>
          <w:highlight w:val="none"/>
        </w:rPr>
      </w:pPr>
      <w:r>
        <w:rPr>
          <w:rFonts w:ascii="宋体" w:hAnsi="宋体" w:cs="宋体"/>
          <w:szCs w:val="21"/>
          <w:highlight w:val="none"/>
        </w:rPr>
        <w:t>15.4</w:t>
      </w:r>
      <w:r>
        <w:rPr>
          <w:rFonts w:hint="eastAsia" w:ascii="宋体" w:hAnsi="宋体" w:cs="宋体"/>
          <w:szCs w:val="21"/>
          <w:highlight w:val="none"/>
        </w:rPr>
        <w:t>、在特殊情况下，采购单位可于原磋商有效期满之前，向成交候选人提出延长磋商有效期的要求。成交候选人可以拒绝采购单位的这种要求，但是对拒绝延长磋商有效期的成交候选人，采购单位有权利拒绝其响应文件。同意延长磋商有效期的成交候选人既不能要求也不允许修改磋商文件和其响应文件所有内容。提出磋商有效期的延长要求和成交候选人对该要求的答复均须采用书面形式。</w:t>
      </w:r>
    </w:p>
    <w:p>
      <w:pPr>
        <w:pStyle w:val="33"/>
        <w:spacing w:line="360" w:lineRule="exact"/>
        <w:ind w:firstLine="422" w:firstLineChars="200"/>
        <w:rPr>
          <w:rFonts w:hAnsi="宋体" w:cs="宋体"/>
          <w:b/>
          <w:highlight w:val="none"/>
        </w:rPr>
      </w:pPr>
      <w:r>
        <w:rPr>
          <w:rFonts w:hAnsi="宋体" w:cs="宋体"/>
          <w:b/>
          <w:highlight w:val="none"/>
        </w:rPr>
        <w:t>16</w:t>
      </w:r>
      <w:r>
        <w:rPr>
          <w:rFonts w:hint="eastAsia" w:hAnsi="宋体" w:cs="宋体"/>
          <w:b/>
          <w:highlight w:val="none"/>
        </w:rPr>
        <w:t>、响应文件的签署</w:t>
      </w:r>
    </w:p>
    <w:p>
      <w:pPr>
        <w:widowControl/>
        <w:spacing w:line="500" w:lineRule="exact"/>
        <w:ind w:firstLine="420" w:firstLineChars="200"/>
        <w:jc w:val="left"/>
        <w:rPr>
          <w:rFonts w:hint="eastAsia" w:ascii="宋体" w:hAnsi="宋体" w:cs="宋体"/>
          <w:szCs w:val="21"/>
          <w:highlight w:val="none"/>
        </w:rPr>
      </w:pPr>
      <w:bookmarkStart w:id="78" w:name="_Toc476584424"/>
      <w:r>
        <w:rPr>
          <w:rFonts w:hint="eastAsia" w:ascii="宋体" w:hAnsi="宋体" w:cs="宋体"/>
          <w:szCs w:val="21"/>
          <w:highlight w:val="none"/>
        </w:rPr>
        <w:t>1</w:t>
      </w:r>
      <w:r>
        <w:rPr>
          <w:rFonts w:hint="eastAsia" w:ascii="宋体" w:hAnsi="宋体" w:cs="宋体"/>
          <w:szCs w:val="21"/>
          <w:highlight w:val="none"/>
          <w:lang w:val="en-US" w:eastAsia="zh-CN"/>
        </w:rPr>
        <w:t>6</w:t>
      </w:r>
      <w:r>
        <w:rPr>
          <w:rFonts w:hint="eastAsia" w:ascii="宋体" w:hAnsi="宋体" w:cs="宋体"/>
          <w:szCs w:val="21"/>
          <w:highlight w:val="none"/>
        </w:rPr>
        <w:t>.1</w:t>
      </w:r>
      <w:r>
        <w:rPr>
          <w:rFonts w:hint="eastAsia" w:ascii="宋体" w:hAnsi="宋体" w:cs="宋体"/>
          <w:szCs w:val="21"/>
          <w:highlight w:val="none"/>
          <w:lang w:eastAsia="zh-CN"/>
        </w:rPr>
        <w:t>供应商</w:t>
      </w:r>
      <w:r>
        <w:rPr>
          <w:rFonts w:hint="eastAsia" w:ascii="宋体" w:hAnsi="宋体" w:cs="宋体"/>
          <w:szCs w:val="21"/>
          <w:highlight w:val="none"/>
        </w:rPr>
        <w:t>应按本须知前附表规定的格式，编制并提交</w:t>
      </w:r>
      <w:r>
        <w:rPr>
          <w:rFonts w:hint="eastAsia" w:ascii="宋体" w:hAnsi="宋体" w:cs="宋体"/>
          <w:szCs w:val="21"/>
          <w:highlight w:val="none"/>
          <w:lang w:eastAsia="zh-CN"/>
        </w:rPr>
        <w:t>磋商响应文件</w:t>
      </w:r>
      <w:r>
        <w:rPr>
          <w:rFonts w:hint="eastAsia" w:ascii="宋体" w:hAnsi="宋体" w:cs="宋体"/>
          <w:szCs w:val="21"/>
          <w:highlight w:val="none"/>
        </w:rPr>
        <w:t>。</w:t>
      </w:r>
    </w:p>
    <w:p>
      <w:pPr>
        <w:widowControl/>
        <w:spacing w:line="5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6</w:t>
      </w:r>
      <w:r>
        <w:rPr>
          <w:rFonts w:hint="eastAsia" w:ascii="宋体" w:hAnsi="宋体" w:cs="宋体"/>
          <w:szCs w:val="21"/>
          <w:highlight w:val="none"/>
        </w:rPr>
        <w:t>.2</w:t>
      </w:r>
      <w:r>
        <w:rPr>
          <w:rFonts w:hint="eastAsia" w:ascii="宋体" w:hAnsi="宋体" w:cs="宋体"/>
          <w:szCs w:val="21"/>
          <w:highlight w:val="none"/>
          <w:lang w:eastAsia="zh-CN"/>
        </w:rPr>
        <w:t>供应商</w:t>
      </w:r>
      <w:r>
        <w:rPr>
          <w:rFonts w:hint="eastAsia" w:ascii="宋体" w:hAnsi="宋体" w:cs="宋体"/>
          <w:szCs w:val="21"/>
          <w:highlight w:val="none"/>
        </w:rPr>
        <w:t>应按照</w:t>
      </w:r>
      <w:r>
        <w:rPr>
          <w:rFonts w:hint="eastAsia" w:ascii="宋体" w:hAnsi="宋体" w:cs="宋体"/>
          <w:szCs w:val="21"/>
          <w:highlight w:val="none"/>
          <w:lang w:eastAsia="zh-CN"/>
        </w:rPr>
        <w:t>竞争性磋商文件</w:t>
      </w:r>
      <w:r>
        <w:rPr>
          <w:rFonts w:hint="eastAsia" w:ascii="宋体" w:hAnsi="宋体" w:cs="宋体"/>
          <w:szCs w:val="21"/>
          <w:highlight w:val="none"/>
        </w:rPr>
        <w:t>第四章响应文件格式的要求签字或盖章。</w:t>
      </w:r>
    </w:p>
    <w:p>
      <w:pPr>
        <w:widowControl/>
        <w:spacing w:line="5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6</w:t>
      </w:r>
      <w:r>
        <w:rPr>
          <w:rFonts w:hint="eastAsia" w:ascii="宋体" w:hAnsi="宋体" w:cs="宋体"/>
          <w:szCs w:val="21"/>
          <w:highlight w:val="none"/>
        </w:rPr>
        <w:t>.3</w:t>
      </w:r>
      <w:r>
        <w:rPr>
          <w:rFonts w:hint="eastAsia" w:ascii="宋体" w:hAnsi="宋体" w:cs="宋体"/>
          <w:szCs w:val="21"/>
          <w:highlight w:val="none"/>
          <w:lang w:eastAsia="zh-CN"/>
        </w:rPr>
        <w:t>供应商</w:t>
      </w:r>
      <w:r>
        <w:rPr>
          <w:rFonts w:hint="eastAsia" w:ascii="宋体" w:hAnsi="宋体" w:cs="宋体"/>
          <w:szCs w:val="21"/>
          <w:highlight w:val="none"/>
        </w:rPr>
        <w:t>按照本须知第19.4条款规定对其响应文件相关内容签署盖章后，其响应文件所有内容均视为确认，对</w:t>
      </w:r>
      <w:r>
        <w:rPr>
          <w:rFonts w:hint="eastAsia" w:ascii="宋体" w:hAnsi="宋体" w:cs="宋体"/>
          <w:szCs w:val="21"/>
          <w:highlight w:val="none"/>
          <w:lang w:eastAsia="zh-CN"/>
        </w:rPr>
        <w:t>供应商</w:t>
      </w:r>
      <w:r>
        <w:rPr>
          <w:rFonts w:hint="eastAsia" w:ascii="宋体" w:hAnsi="宋体" w:cs="宋体"/>
          <w:szCs w:val="21"/>
          <w:highlight w:val="none"/>
        </w:rPr>
        <w:t>起约束作用。</w:t>
      </w:r>
    </w:p>
    <w:p>
      <w:pPr>
        <w:widowControl/>
        <w:spacing w:line="500" w:lineRule="exact"/>
        <w:ind w:firstLine="420" w:firstLineChars="200"/>
        <w:jc w:val="left"/>
        <w:rPr>
          <w:rFonts w:hAnsi="宋体" w:cs="宋体"/>
          <w:spacing w:val="-2"/>
          <w:highlight w:val="none"/>
        </w:rPr>
      </w:pPr>
      <w:r>
        <w:rPr>
          <w:rFonts w:hint="eastAsia" w:ascii="宋体" w:hAnsi="宋体" w:cs="宋体"/>
          <w:szCs w:val="21"/>
          <w:highlight w:val="none"/>
        </w:rPr>
        <w:t>1</w:t>
      </w:r>
      <w:r>
        <w:rPr>
          <w:rFonts w:hint="eastAsia" w:ascii="宋体" w:hAnsi="宋体" w:cs="宋体"/>
          <w:szCs w:val="21"/>
          <w:highlight w:val="none"/>
          <w:lang w:val="en-US" w:eastAsia="zh-CN"/>
        </w:rPr>
        <w:t>6</w:t>
      </w:r>
      <w:r>
        <w:rPr>
          <w:rFonts w:hint="eastAsia" w:ascii="宋体" w:hAnsi="宋体" w:cs="宋体"/>
          <w:szCs w:val="21"/>
          <w:highlight w:val="none"/>
        </w:rPr>
        <w:t>.4除</w:t>
      </w:r>
      <w:r>
        <w:rPr>
          <w:rFonts w:hint="eastAsia" w:ascii="宋体" w:hAnsi="宋体" w:cs="宋体"/>
          <w:szCs w:val="21"/>
          <w:highlight w:val="none"/>
          <w:lang w:eastAsia="zh-CN"/>
        </w:rPr>
        <w:t>供应商</w:t>
      </w:r>
      <w:r>
        <w:rPr>
          <w:rFonts w:hint="eastAsia" w:ascii="宋体" w:hAnsi="宋体" w:cs="宋体"/>
          <w:szCs w:val="21"/>
          <w:highlight w:val="none"/>
        </w:rPr>
        <w:t>对错误处须修改外，全套</w:t>
      </w:r>
      <w:r>
        <w:rPr>
          <w:rFonts w:hint="eastAsia" w:ascii="宋体" w:hAnsi="宋体" w:cs="宋体"/>
          <w:szCs w:val="21"/>
          <w:highlight w:val="none"/>
          <w:lang w:eastAsia="zh-CN"/>
        </w:rPr>
        <w:t>响应文件</w:t>
      </w:r>
      <w:r>
        <w:rPr>
          <w:rFonts w:hint="eastAsia" w:ascii="宋体" w:hAnsi="宋体" w:cs="宋体"/>
          <w:szCs w:val="21"/>
          <w:highlight w:val="none"/>
        </w:rPr>
        <w:t>应无涂改或行间插字和增删。如有修改，修改处应由</w:t>
      </w:r>
      <w:r>
        <w:rPr>
          <w:rFonts w:hint="eastAsia" w:ascii="宋体" w:hAnsi="宋体" w:cs="宋体"/>
          <w:szCs w:val="21"/>
          <w:highlight w:val="none"/>
          <w:lang w:eastAsia="zh-CN"/>
        </w:rPr>
        <w:t>供应商</w:t>
      </w:r>
      <w:r>
        <w:rPr>
          <w:rFonts w:hint="eastAsia" w:ascii="宋体" w:hAnsi="宋体" w:cs="宋体"/>
          <w:szCs w:val="21"/>
          <w:highlight w:val="none"/>
        </w:rPr>
        <w:t>加盖</w:t>
      </w:r>
      <w:r>
        <w:rPr>
          <w:rFonts w:hint="eastAsia" w:ascii="宋体" w:hAnsi="宋体" w:cs="宋体"/>
          <w:szCs w:val="21"/>
          <w:highlight w:val="none"/>
          <w:lang w:eastAsia="zh-CN"/>
        </w:rPr>
        <w:t>供应商</w:t>
      </w:r>
      <w:r>
        <w:rPr>
          <w:rFonts w:hint="eastAsia" w:ascii="宋体" w:hAnsi="宋体" w:cs="宋体"/>
          <w:szCs w:val="21"/>
          <w:highlight w:val="none"/>
        </w:rPr>
        <w:t>公章并经法定代表人或其委托代理人加盖印章。</w:t>
      </w:r>
      <w:r>
        <w:rPr>
          <w:rFonts w:hint="eastAsia" w:ascii="宋体" w:hAnsi="宋体" w:cs="宋体"/>
          <w:szCs w:val="21"/>
          <w:highlight w:val="none"/>
          <w:lang w:eastAsia="zh-CN"/>
        </w:rPr>
        <w:t>响应文件</w:t>
      </w:r>
      <w:r>
        <w:rPr>
          <w:rFonts w:hint="eastAsia" w:ascii="宋体" w:hAnsi="宋体" w:cs="宋体"/>
          <w:szCs w:val="21"/>
          <w:highlight w:val="none"/>
        </w:rPr>
        <w:t>应尽量避免以涂改及行间插字方式进行修改，若</w:t>
      </w:r>
      <w:r>
        <w:rPr>
          <w:rFonts w:hint="eastAsia" w:ascii="宋体" w:hAnsi="宋体" w:cs="宋体"/>
          <w:szCs w:val="21"/>
          <w:highlight w:val="none"/>
          <w:lang w:eastAsia="zh-CN"/>
        </w:rPr>
        <w:t>响应文件</w:t>
      </w:r>
      <w:r>
        <w:rPr>
          <w:rFonts w:hint="eastAsia" w:ascii="宋体" w:hAnsi="宋体" w:cs="宋体"/>
          <w:szCs w:val="21"/>
          <w:highlight w:val="none"/>
        </w:rPr>
        <w:t>存在涂改及行间插字，采购人不承担任何可能因此而造成的辨识错误。</w:t>
      </w:r>
    </w:p>
    <w:p>
      <w:pPr>
        <w:pStyle w:val="5"/>
        <w:ind w:firstLine="422" w:firstLineChars="200"/>
        <w:rPr>
          <w:rFonts w:cs="宋体"/>
          <w:highlight w:val="none"/>
        </w:rPr>
      </w:pPr>
      <w:bookmarkStart w:id="79" w:name="_Toc54941335"/>
      <w:r>
        <w:rPr>
          <w:rFonts w:hint="eastAsia" w:cs="宋体"/>
          <w:highlight w:val="none"/>
        </w:rPr>
        <w:t>四、响应文件的</w:t>
      </w:r>
      <w:bookmarkEnd w:id="78"/>
      <w:r>
        <w:rPr>
          <w:rFonts w:hint="eastAsia" w:cs="宋体"/>
          <w:highlight w:val="none"/>
        </w:rPr>
        <w:t>提交</w:t>
      </w:r>
      <w:bookmarkEnd w:id="79"/>
    </w:p>
    <w:p>
      <w:pPr>
        <w:spacing w:line="360" w:lineRule="auto"/>
        <w:ind w:firstLine="422" w:firstLineChars="200"/>
        <w:rPr>
          <w:rFonts w:ascii="宋体" w:hAnsi="宋体" w:cs="宋体"/>
          <w:b/>
          <w:szCs w:val="21"/>
          <w:highlight w:val="none"/>
        </w:rPr>
      </w:pPr>
      <w:r>
        <w:rPr>
          <w:rFonts w:ascii="宋体" w:hAnsi="宋体" w:cs="宋体"/>
          <w:b/>
          <w:szCs w:val="21"/>
          <w:highlight w:val="none"/>
        </w:rPr>
        <w:t>17</w:t>
      </w:r>
      <w:r>
        <w:rPr>
          <w:rFonts w:hint="eastAsia" w:ascii="宋体" w:hAnsi="宋体" w:cs="宋体"/>
          <w:b/>
          <w:szCs w:val="21"/>
          <w:highlight w:val="none"/>
        </w:rPr>
        <w:t>、提交说明</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17.1、供应商须按磋商须知前附表要求上传加密电子磋商响应文件。</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17.2、未按磋商须知要求上传的磋商响应文件，将不被接受。</w:t>
      </w:r>
    </w:p>
    <w:p>
      <w:pPr>
        <w:spacing w:line="360" w:lineRule="auto"/>
        <w:ind w:firstLine="422" w:firstLineChars="200"/>
        <w:rPr>
          <w:rFonts w:ascii="宋体" w:cs="宋体"/>
          <w:b/>
          <w:szCs w:val="21"/>
          <w:highlight w:val="none"/>
        </w:rPr>
      </w:pPr>
      <w:r>
        <w:rPr>
          <w:rFonts w:ascii="宋体" w:hAnsi="宋体" w:cs="宋体"/>
          <w:b/>
          <w:szCs w:val="21"/>
          <w:highlight w:val="none"/>
        </w:rPr>
        <w:t>18</w:t>
      </w:r>
      <w:r>
        <w:rPr>
          <w:rFonts w:hint="eastAsia" w:ascii="宋体" w:hAnsi="宋体" w:cs="宋体"/>
          <w:b/>
          <w:szCs w:val="21"/>
          <w:highlight w:val="none"/>
        </w:rPr>
        <w:t>、磋商时间</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18.1、供应商应在磋商须知前附表中约定的提交响应文件截止时间前将加密电子磋商响应文件（.AQTF格式）上传。逾期上传的磋商响应文件，采购单位不予受理。</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18.2、采购人有权按本须知的约定，通过修改竞争性磋商文件相关条款以延长提交响应文件截止时间。在此情况下，采购人和供应商受提交响应文件截止时间制约的所有权利和义务均应延长至新的提交响应文件截止时间。</w:t>
      </w:r>
    </w:p>
    <w:p>
      <w:pPr>
        <w:spacing w:line="360" w:lineRule="auto"/>
        <w:ind w:firstLine="422" w:firstLineChars="200"/>
        <w:rPr>
          <w:rFonts w:ascii="宋体" w:cs="宋体"/>
          <w:b/>
          <w:szCs w:val="21"/>
          <w:highlight w:val="none"/>
        </w:rPr>
      </w:pPr>
      <w:r>
        <w:rPr>
          <w:rFonts w:ascii="宋体" w:hAnsi="宋体" w:cs="宋体"/>
          <w:b/>
          <w:szCs w:val="21"/>
          <w:highlight w:val="none"/>
        </w:rPr>
        <w:t>19</w:t>
      </w:r>
      <w:r>
        <w:rPr>
          <w:rFonts w:hint="eastAsia" w:ascii="宋体" w:hAnsi="宋体" w:cs="宋体"/>
          <w:b/>
          <w:szCs w:val="21"/>
          <w:highlight w:val="none"/>
        </w:rPr>
        <w:t>、响应文件的修改与撤回</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19.1、供应商提交磋商响应文件以后，在约定的提交响应文件截止时间之前，可以撤回已提交的磋商响应文件，补充修改后重新上传。</w:t>
      </w:r>
    </w:p>
    <w:p>
      <w:pPr>
        <w:spacing w:line="360" w:lineRule="auto"/>
        <w:ind w:firstLine="420" w:firstLineChars="200"/>
        <w:rPr>
          <w:rFonts w:ascii="宋体" w:cs="宋体"/>
          <w:szCs w:val="21"/>
          <w:highlight w:val="none"/>
        </w:rPr>
      </w:pPr>
      <w:r>
        <w:rPr>
          <w:rFonts w:ascii="宋体" w:hAnsi="宋体" w:cs="宋体"/>
          <w:szCs w:val="21"/>
          <w:highlight w:val="none"/>
        </w:rPr>
        <w:t>19.</w:t>
      </w:r>
      <w:r>
        <w:rPr>
          <w:rFonts w:hint="eastAsia" w:ascii="宋体" w:hAnsi="宋体" w:cs="宋体"/>
          <w:szCs w:val="21"/>
          <w:highlight w:val="none"/>
        </w:rPr>
        <w:t>2、在磋商时间之后，供应商不得对其响应文件做任何修改。</w:t>
      </w:r>
    </w:p>
    <w:p>
      <w:pPr>
        <w:spacing w:line="360" w:lineRule="auto"/>
        <w:ind w:firstLine="420" w:firstLineChars="200"/>
        <w:rPr>
          <w:rFonts w:ascii="宋体" w:cs="宋体"/>
          <w:szCs w:val="21"/>
          <w:highlight w:val="none"/>
        </w:rPr>
      </w:pPr>
      <w:r>
        <w:rPr>
          <w:rFonts w:ascii="宋体" w:hAnsi="宋体" w:cs="宋体"/>
          <w:szCs w:val="21"/>
          <w:highlight w:val="none"/>
        </w:rPr>
        <w:t>19.</w:t>
      </w:r>
      <w:r>
        <w:rPr>
          <w:rFonts w:hint="eastAsia" w:ascii="宋体" w:hAnsi="宋体" w:cs="宋体"/>
          <w:szCs w:val="21"/>
          <w:highlight w:val="none"/>
        </w:rPr>
        <w:t>3、在约定的磋商有效期内，供应商不得撤回其响应文件。</w:t>
      </w:r>
    </w:p>
    <w:p>
      <w:pPr>
        <w:pStyle w:val="5"/>
        <w:spacing w:line="360" w:lineRule="auto"/>
        <w:ind w:firstLine="413" w:firstLineChars="196"/>
        <w:rPr>
          <w:rFonts w:cs="宋体"/>
          <w:highlight w:val="none"/>
        </w:rPr>
      </w:pPr>
      <w:bookmarkStart w:id="80" w:name="_Toc476584425"/>
      <w:bookmarkStart w:id="81" w:name="_Toc54941336"/>
      <w:r>
        <w:rPr>
          <w:rFonts w:hint="eastAsia" w:cs="宋体"/>
          <w:highlight w:val="none"/>
        </w:rPr>
        <w:t>五、</w:t>
      </w:r>
      <w:bookmarkEnd w:id="80"/>
      <w:r>
        <w:rPr>
          <w:rFonts w:hint="eastAsia" w:cs="宋体"/>
          <w:highlight w:val="none"/>
        </w:rPr>
        <w:t>磋商</w:t>
      </w:r>
      <w:bookmarkEnd w:id="81"/>
    </w:p>
    <w:p>
      <w:pPr>
        <w:spacing w:line="360" w:lineRule="auto"/>
        <w:ind w:firstLine="422" w:firstLineChars="200"/>
        <w:rPr>
          <w:rFonts w:ascii="宋体" w:cs="宋体"/>
          <w:szCs w:val="21"/>
          <w:highlight w:val="none"/>
        </w:rPr>
      </w:pPr>
      <w:r>
        <w:rPr>
          <w:rFonts w:ascii="宋体" w:hAnsi="宋体" w:cs="宋体"/>
          <w:b/>
          <w:szCs w:val="21"/>
          <w:highlight w:val="none"/>
        </w:rPr>
        <w:t>20</w:t>
      </w:r>
      <w:r>
        <w:rPr>
          <w:rFonts w:hint="eastAsia" w:ascii="宋体" w:hAnsi="宋体" w:cs="宋体"/>
          <w:b/>
          <w:szCs w:val="21"/>
          <w:highlight w:val="none"/>
        </w:rPr>
        <w:t>、磋商时间和地点：</w:t>
      </w:r>
      <w:r>
        <w:rPr>
          <w:rFonts w:hint="eastAsia" w:ascii="宋体" w:hAnsi="宋体" w:cs="宋体"/>
          <w:szCs w:val="21"/>
          <w:highlight w:val="none"/>
        </w:rPr>
        <w:t>采购单位将在“磋商须知前附表”约定的时间，</w:t>
      </w:r>
      <w:r>
        <w:rPr>
          <w:rFonts w:hint="eastAsia" w:ascii="宋体" w:hAnsi="宋体"/>
          <w:szCs w:val="21"/>
          <w:highlight w:val="none"/>
        </w:rPr>
        <w:t>通过安庆市公共资源电子交易平台实行线上磋商，项目监督人员、所有投标人的法定代表人或其委托代理人必须准时在线参加。</w:t>
      </w:r>
    </w:p>
    <w:p>
      <w:pPr>
        <w:spacing w:line="360" w:lineRule="auto"/>
        <w:ind w:firstLine="422" w:firstLineChars="200"/>
        <w:rPr>
          <w:rFonts w:ascii="宋体" w:hAnsi="宋体" w:cs="宋体"/>
          <w:b/>
          <w:szCs w:val="21"/>
          <w:highlight w:val="none"/>
        </w:rPr>
      </w:pPr>
      <w:r>
        <w:rPr>
          <w:rFonts w:ascii="宋体" w:hAnsi="宋体" w:cs="宋体"/>
          <w:b/>
          <w:szCs w:val="21"/>
          <w:highlight w:val="none"/>
        </w:rPr>
        <w:t>21</w:t>
      </w:r>
      <w:r>
        <w:rPr>
          <w:rFonts w:hint="eastAsia" w:ascii="宋体" w:hAnsi="宋体" w:cs="宋体"/>
          <w:b/>
          <w:szCs w:val="21"/>
          <w:highlight w:val="none"/>
        </w:rPr>
        <w:t>、开标程序</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21.1、磋商由采购单位代表主持，主持人按下列程序进行：</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21.1.1、宣布项目名称、介绍参会人员；</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21.1.2、宣布开标纪律；</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21.1.3、由采购人代表查验磋商供应商获取磋商文件情况并记录；</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21.1.4、各磋商供应商在提交响应文件截止时间后60分钟内自行在电子交易系统完成磋商响应文件的解密工作；</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21.1.5、采购单位解密；　</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21.1.6、采购人代表、监督人、记录人等有关人员在开标记录表上签字确认；</w:t>
      </w:r>
      <w:r>
        <w:rPr>
          <w:rFonts w:hint="eastAsia" w:ascii="宋体" w:hAnsi="宋体" w:cs="宋体"/>
          <w:color w:val="000000"/>
          <w:szCs w:val="21"/>
          <w:highlight w:val="none"/>
        </w:rPr>
        <w:cr/>
      </w:r>
      <w:r>
        <w:rPr>
          <w:rFonts w:hint="eastAsia" w:ascii="宋体" w:hAnsi="宋体" w:cs="宋体"/>
          <w:color w:val="000000"/>
          <w:szCs w:val="21"/>
          <w:highlight w:val="none"/>
        </w:rPr>
        <w:t xml:space="preserve">    21.1.7、进入评审阶段；</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21.1.8、磋商小组与各个磋商供应商进行线上磋商；</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21.1.9、邀请通过符合性审查的磋商供应商限时进行线上最终报价；待所有有效磋商供应商的报价上传电子交易平台完成后，统一开启磋商供应商最终报价。</w:t>
      </w:r>
    </w:p>
    <w:p>
      <w:pPr>
        <w:widowControl/>
        <w:spacing w:line="500" w:lineRule="exact"/>
        <w:ind w:firstLine="420" w:firstLineChars="200"/>
        <w:jc w:val="left"/>
        <w:rPr>
          <w:rFonts w:ascii="宋体" w:hAnsi="宋体" w:cs="宋体"/>
          <w:b/>
          <w:szCs w:val="21"/>
          <w:highlight w:val="none"/>
        </w:rPr>
      </w:pPr>
      <w:r>
        <w:rPr>
          <w:rFonts w:hint="eastAsia" w:ascii="宋体" w:hAnsi="宋体" w:cs="宋体"/>
          <w:color w:val="000000"/>
          <w:szCs w:val="21"/>
          <w:highlight w:val="none"/>
        </w:rPr>
        <w:t>21.1.10、宣布评审结果，并公布磋商供应商名称、磋商最终报价，评审总分，并记录在案，同时上传至电子交易系统供各磋商供应商查阅。</w:t>
      </w:r>
    </w:p>
    <w:p>
      <w:pPr>
        <w:spacing w:line="360" w:lineRule="auto"/>
        <w:ind w:firstLine="422" w:firstLineChars="200"/>
        <w:rPr>
          <w:rFonts w:ascii="宋体" w:hAnsi="宋体" w:cs="宋体"/>
          <w:szCs w:val="21"/>
          <w:highlight w:val="none"/>
        </w:rPr>
      </w:pPr>
      <w:r>
        <w:rPr>
          <w:rFonts w:ascii="宋体" w:hAnsi="宋体" w:cs="宋体"/>
          <w:b/>
          <w:szCs w:val="21"/>
          <w:highlight w:val="none"/>
        </w:rPr>
        <w:t>21.2</w:t>
      </w:r>
      <w:r>
        <w:rPr>
          <w:rFonts w:hint="eastAsia" w:ascii="宋体" w:hAnsi="宋体" w:cs="宋体"/>
          <w:b/>
          <w:szCs w:val="21"/>
          <w:highlight w:val="none"/>
        </w:rPr>
        <w:t>、</w:t>
      </w:r>
      <w:r>
        <w:rPr>
          <w:rFonts w:hint="eastAsia" w:ascii="宋体" w:hAnsi="宋体" w:cs="宋体"/>
          <w:szCs w:val="21"/>
          <w:highlight w:val="none"/>
        </w:rPr>
        <w:t>供应商必须对其响应文件中所有资料的真实性负责。若发现供应商有弄虚作假行为的，响应无效，由相关管理部门按照磋商文件相应条款对其做相应处罚。</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21.3供应商应当在提交响应文件截止时间前完成响应文件的传输提交，未在提交响应文件截止时间前通过安庆市公共资源交易服务网提交有效电子响应文件的，系统不予接收，视为未提交响应文件。</w:t>
      </w:r>
    </w:p>
    <w:p>
      <w:pPr>
        <w:pStyle w:val="33"/>
        <w:spacing w:line="360" w:lineRule="auto"/>
        <w:ind w:firstLine="420" w:firstLineChars="200"/>
        <w:rPr>
          <w:rFonts w:cs="宋体"/>
          <w:highlight w:val="none"/>
        </w:rPr>
      </w:pPr>
      <w:r>
        <w:rPr>
          <w:rFonts w:hint="eastAsia" w:hAnsi="宋体" w:cs="宋体"/>
          <w:color w:val="000000"/>
          <w:highlight w:val="none"/>
        </w:rPr>
        <w:t>21.4</w:t>
      </w:r>
      <w:r>
        <w:rPr>
          <w:rFonts w:hint="eastAsia" w:hAnsi="宋体"/>
          <w:highlight w:val="none"/>
        </w:rPr>
        <w:t>各供应商在解密开始时间（提交响应文件截止时间）后，60分钟内自行在电子交易系统完成磋商响应文件的解密工作，因供应商自身原因导致磋商响应文件在规定时间内未能解密、解密失败或解密超时，磋商响应文件无效；因电子交易系统发生故障或其他不可抗力情况，导致无法按时完成磋商响应文件解密的，工作人员可延迟解密时间。</w:t>
      </w:r>
    </w:p>
    <w:p>
      <w:pPr>
        <w:spacing w:line="360" w:lineRule="auto"/>
        <w:ind w:left="420" w:leftChars="200"/>
        <w:rPr>
          <w:rFonts w:ascii="宋体" w:cs="宋体"/>
          <w:b/>
          <w:szCs w:val="21"/>
          <w:highlight w:val="none"/>
        </w:rPr>
      </w:pPr>
      <w:r>
        <w:rPr>
          <w:rFonts w:ascii="宋体" w:hAnsi="宋体" w:cs="宋体"/>
          <w:b/>
          <w:szCs w:val="21"/>
          <w:highlight w:val="none"/>
        </w:rPr>
        <w:t>22</w:t>
      </w:r>
      <w:r>
        <w:rPr>
          <w:rFonts w:hint="eastAsia" w:ascii="宋体" w:hAnsi="宋体" w:cs="宋体"/>
          <w:b/>
          <w:szCs w:val="21"/>
          <w:highlight w:val="none"/>
        </w:rPr>
        <w:t>、响应文件的有效性</w:t>
      </w:r>
    </w:p>
    <w:p>
      <w:pPr>
        <w:spacing w:line="360" w:lineRule="auto"/>
        <w:ind w:firstLine="420" w:firstLineChars="200"/>
        <w:rPr>
          <w:rFonts w:ascii="宋体" w:cs="宋体"/>
          <w:szCs w:val="21"/>
          <w:highlight w:val="none"/>
        </w:rPr>
      </w:pPr>
      <w:r>
        <w:rPr>
          <w:rFonts w:ascii="宋体" w:hAnsi="宋体" w:cs="宋体"/>
          <w:szCs w:val="21"/>
          <w:highlight w:val="none"/>
        </w:rPr>
        <w:t>22.1</w:t>
      </w:r>
      <w:r>
        <w:rPr>
          <w:rFonts w:hint="eastAsia" w:ascii="宋体" w:hAnsi="宋体" w:cs="宋体"/>
          <w:szCs w:val="21"/>
          <w:highlight w:val="none"/>
        </w:rPr>
        <w:t>、响应文件逾期上传的，将不予受理：</w:t>
      </w:r>
      <w:r>
        <w:rPr>
          <w:rFonts w:ascii="宋体" w:hAnsi="宋体" w:cs="宋体"/>
          <w:szCs w:val="21"/>
          <w:highlight w:val="none"/>
        </w:rPr>
        <w:t xml:space="preserve"> </w:t>
      </w:r>
    </w:p>
    <w:p>
      <w:pPr>
        <w:spacing w:line="420" w:lineRule="exact"/>
        <w:ind w:firstLine="420" w:firstLineChars="200"/>
        <w:rPr>
          <w:rFonts w:ascii="宋体" w:cs="宋体"/>
          <w:szCs w:val="21"/>
          <w:highlight w:val="none"/>
        </w:rPr>
      </w:pPr>
      <w:r>
        <w:rPr>
          <w:rFonts w:ascii="宋体" w:hAnsi="宋体" w:cs="宋体"/>
          <w:szCs w:val="21"/>
          <w:highlight w:val="none"/>
        </w:rPr>
        <w:t>22.2</w:t>
      </w:r>
      <w:r>
        <w:rPr>
          <w:rFonts w:hint="eastAsia" w:ascii="宋体" w:hAnsi="宋体" w:cs="宋体"/>
          <w:szCs w:val="21"/>
          <w:highlight w:val="none"/>
        </w:rPr>
        <w:t>、磋商过程中发现有下列情况的，由磋商小组评审后，认定为磋商响应无效：</w:t>
      </w:r>
    </w:p>
    <w:p>
      <w:pPr>
        <w:spacing w:line="420" w:lineRule="exact"/>
        <w:ind w:firstLine="420" w:firstLineChars="200"/>
        <w:rPr>
          <w:rFonts w:ascii="宋体" w:cs="宋体"/>
          <w:szCs w:val="21"/>
          <w:highlight w:val="none"/>
        </w:rPr>
      </w:pPr>
      <w:r>
        <w:rPr>
          <w:rFonts w:ascii="宋体" w:hAnsi="宋体" w:cs="宋体"/>
          <w:szCs w:val="21"/>
          <w:highlight w:val="none"/>
        </w:rPr>
        <w:t>22.2.1</w:t>
      </w:r>
      <w:r>
        <w:rPr>
          <w:rFonts w:hint="eastAsia" w:ascii="宋体" w:hAnsi="宋体" w:cs="宋体"/>
          <w:szCs w:val="21"/>
          <w:highlight w:val="none"/>
        </w:rPr>
        <w:t>、</w:t>
      </w:r>
      <w:r>
        <w:rPr>
          <w:rFonts w:hint="eastAsia" w:ascii="宋体" w:hAnsi="宋体" w:cs="宋体"/>
          <w:color w:val="000000"/>
          <w:szCs w:val="21"/>
          <w:highlight w:val="none"/>
        </w:rPr>
        <w:t>未按规定格式提供、填写</w:t>
      </w:r>
      <w:r>
        <w:rPr>
          <w:rFonts w:hint="eastAsia" w:ascii="宋体" w:hAnsi="宋体" w:cs="宋体"/>
          <w:color w:val="000000"/>
          <w:highlight w:val="none"/>
        </w:rPr>
        <w:t>磋商响应函</w:t>
      </w:r>
      <w:r>
        <w:rPr>
          <w:rFonts w:hint="eastAsia" w:ascii="宋体" w:hAnsi="宋体" w:cs="宋体"/>
          <w:color w:val="000000"/>
          <w:szCs w:val="21"/>
          <w:highlight w:val="none"/>
        </w:rPr>
        <w:t>，或</w:t>
      </w:r>
      <w:r>
        <w:rPr>
          <w:rFonts w:hint="eastAsia" w:ascii="宋体" w:hAnsi="宋体" w:cs="宋体"/>
          <w:color w:val="000000"/>
          <w:highlight w:val="none"/>
        </w:rPr>
        <w:t>磋商响应函</w:t>
      </w:r>
      <w:r>
        <w:rPr>
          <w:rFonts w:hint="eastAsia" w:ascii="宋体" w:hAnsi="宋体" w:cs="宋体"/>
          <w:color w:val="000000"/>
          <w:szCs w:val="21"/>
          <w:highlight w:val="none"/>
        </w:rPr>
        <w:t>未按要求盖章的；</w:t>
      </w:r>
      <w:r>
        <w:rPr>
          <w:rFonts w:ascii="宋体" w:cs="宋体"/>
          <w:szCs w:val="21"/>
          <w:highlight w:val="none"/>
        </w:rPr>
        <w:t xml:space="preserve"> </w:t>
      </w:r>
    </w:p>
    <w:p>
      <w:pPr>
        <w:spacing w:line="420" w:lineRule="exact"/>
        <w:ind w:firstLine="420" w:firstLineChars="200"/>
        <w:rPr>
          <w:rFonts w:ascii="宋体" w:cs="宋体"/>
          <w:szCs w:val="21"/>
          <w:highlight w:val="none"/>
        </w:rPr>
      </w:pPr>
      <w:r>
        <w:rPr>
          <w:rFonts w:ascii="宋体" w:hAnsi="宋体" w:cs="宋体"/>
          <w:szCs w:val="21"/>
          <w:highlight w:val="none"/>
        </w:rPr>
        <w:t>22.2.</w:t>
      </w:r>
      <w:r>
        <w:rPr>
          <w:rFonts w:hint="eastAsia" w:ascii="宋体" w:hAnsi="宋体" w:cs="宋体"/>
          <w:szCs w:val="21"/>
          <w:highlight w:val="none"/>
          <w:lang w:val="en-US" w:eastAsia="zh-CN"/>
        </w:rPr>
        <w:t>2</w:t>
      </w:r>
      <w:r>
        <w:rPr>
          <w:rFonts w:hint="eastAsia" w:ascii="宋体" w:hAnsi="宋体" w:cs="宋体"/>
          <w:szCs w:val="21"/>
          <w:highlight w:val="none"/>
        </w:rPr>
        <w:t>、磋商报价高于最高磋商限价的；</w:t>
      </w:r>
    </w:p>
    <w:p>
      <w:pPr>
        <w:spacing w:line="420" w:lineRule="exact"/>
        <w:ind w:firstLine="420" w:firstLineChars="200"/>
        <w:rPr>
          <w:rFonts w:ascii="宋体" w:cs="宋体"/>
          <w:szCs w:val="21"/>
          <w:highlight w:val="none"/>
        </w:rPr>
      </w:pPr>
      <w:r>
        <w:rPr>
          <w:rFonts w:ascii="宋体" w:hAnsi="宋体" w:cs="宋体"/>
          <w:szCs w:val="21"/>
          <w:highlight w:val="none"/>
        </w:rPr>
        <w:t>22.2.</w:t>
      </w:r>
      <w:r>
        <w:rPr>
          <w:rFonts w:hint="eastAsia" w:ascii="宋体" w:hAnsi="宋体" w:cs="宋体"/>
          <w:szCs w:val="21"/>
          <w:highlight w:val="none"/>
          <w:lang w:val="en-US" w:eastAsia="zh-CN"/>
        </w:rPr>
        <w:t>3</w:t>
      </w:r>
      <w:r>
        <w:rPr>
          <w:rFonts w:hint="eastAsia" w:ascii="宋体" w:hAnsi="宋体" w:cs="宋体"/>
          <w:szCs w:val="21"/>
          <w:highlight w:val="none"/>
        </w:rPr>
        <w:t>、法律、法规及竞争性磋商文件约定的其它情形。</w:t>
      </w:r>
    </w:p>
    <w:p>
      <w:pPr>
        <w:widowControl/>
        <w:spacing w:line="500" w:lineRule="exact"/>
        <w:ind w:firstLine="420" w:firstLineChars="200"/>
        <w:jc w:val="left"/>
        <w:rPr>
          <w:rFonts w:ascii="宋体" w:hAnsi="宋体"/>
          <w:szCs w:val="21"/>
          <w:highlight w:val="none"/>
        </w:rPr>
      </w:pPr>
      <w:r>
        <w:rPr>
          <w:rFonts w:ascii="宋体" w:hAnsi="宋体" w:cs="宋体"/>
          <w:szCs w:val="21"/>
          <w:highlight w:val="none"/>
        </w:rPr>
        <w:t>22.3</w:t>
      </w:r>
      <w:r>
        <w:rPr>
          <w:rFonts w:hint="eastAsia" w:ascii="宋体" w:hAnsi="宋体" w:cs="宋体"/>
          <w:szCs w:val="21"/>
          <w:highlight w:val="none"/>
        </w:rPr>
        <w:t>、</w:t>
      </w:r>
      <w:r>
        <w:rPr>
          <w:rFonts w:hint="eastAsia" w:ascii="宋体" w:hAnsi="宋体"/>
          <w:szCs w:val="21"/>
          <w:highlight w:val="none"/>
        </w:rPr>
        <w:t>供应商存在下列情形之一，经磋商小组评审后，认定为响应无效：</w:t>
      </w:r>
    </w:p>
    <w:p>
      <w:pPr>
        <w:widowControl/>
        <w:spacing w:line="500" w:lineRule="exact"/>
        <w:jc w:val="left"/>
        <w:rPr>
          <w:rFonts w:ascii="宋体" w:hAnsi="宋体"/>
          <w:szCs w:val="21"/>
          <w:highlight w:val="none"/>
        </w:rPr>
      </w:pPr>
      <w:r>
        <w:rPr>
          <w:rFonts w:hint="eastAsia" w:ascii="宋体" w:hAnsi="宋体"/>
          <w:szCs w:val="21"/>
          <w:highlight w:val="none"/>
        </w:rPr>
        <w:t xml:space="preserve">    (1)</w:t>
      </w:r>
      <w:r>
        <w:rPr>
          <w:rFonts w:hAnsi="宋体"/>
          <w:szCs w:val="21"/>
          <w:highlight w:val="none"/>
        </w:rPr>
        <w:t>被责令停业</w:t>
      </w:r>
      <w:r>
        <w:rPr>
          <w:rFonts w:hint="eastAsia" w:hAnsi="宋体"/>
          <w:szCs w:val="21"/>
          <w:highlight w:val="none"/>
        </w:rPr>
        <w:t>且处于有效期内</w:t>
      </w:r>
      <w:r>
        <w:rPr>
          <w:rFonts w:hAnsi="宋体"/>
          <w:szCs w:val="21"/>
          <w:highlight w:val="none"/>
        </w:rPr>
        <w:t>的</w:t>
      </w:r>
      <w:r>
        <w:rPr>
          <w:rFonts w:hint="eastAsia" w:ascii="宋体" w:hAnsi="宋体"/>
          <w:szCs w:val="21"/>
          <w:highlight w:val="none"/>
        </w:rPr>
        <w:t>；</w:t>
      </w:r>
    </w:p>
    <w:p>
      <w:pPr>
        <w:widowControl/>
        <w:spacing w:line="500" w:lineRule="exact"/>
        <w:jc w:val="left"/>
        <w:rPr>
          <w:rFonts w:ascii="宋体" w:hAnsi="宋体"/>
          <w:szCs w:val="21"/>
          <w:highlight w:val="none"/>
        </w:rPr>
      </w:pPr>
      <w:r>
        <w:rPr>
          <w:rFonts w:hint="eastAsia" w:ascii="宋体" w:hAnsi="宋体"/>
          <w:szCs w:val="21"/>
          <w:highlight w:val="none"/>
        </w:rPr>
        <w:t xml:space="preserve">    (2)被安庆市行政区域内公共资源交易监管部门限制投标资格且处于有效期内；</w:t>
      </w:r>
    </w:p>
    <w:p>
      <w:pPr>
        <w:widowControl/>
        <w:spacing w:line="500" w:lineRule="exact"/>
        <w:jc w:val="left"/>
        <w:rPr>
          <w:rFonts w:ascii="宋体" w:hAnsi="宋体"/>
          <w:szCs w:val="21"/>
          <w:highlight w:val="none"/>
        </w:rPr>
      </w:pPr>
      <w:r>
        <w:rPr>
          <w:rFonts w:hint="eastAsia" w:ascii="宋体" w:hAnsi="宋体"/>
          <w:szCs w:val="21"/>
          <w:highlight w:val="none"/>
        </w:rPr>
        <w:t xml:space="preserve">    (3)财产被接管或冻结可能影响本项目正常实施的；</w:t>
      </w:r>
    </w:p>
    <w:p>
      <w:pPr>
        <w:spacing w:line="360" w:lineRule="auto"/>
        <w:ind w:firstLine="420" w:firstLineChars="200"/>
        <w:rPr>
          <w:rFonts w:ascii="宋体" w:hAnsi="宋体" w:cs="宋体"/>
          <w:szCs w:val="21"/>
          <w:highlight w:val="none"/>
        </w:rPr>
      </w:pPr>
      <w:r>
        <w:rPr>
          <w:rFonts w:hint="eastAsia" w:ascii="宋体" w:hAnsi="宋体"/>
          <w:szCs w:val="21"/>
          <w:highlight w:val="none"/>
        </w:rPr>
        <w:t>(4)法律、法规规定及磋商文件约定的其他情形</w:t>
      </w:r>
      <w:r>
        <w:rPr>
          <w:rFonts w:hint="eastAsia" w:ascii="宋体" w:hAnsi="宋体" w:cs="宋体"/>
          <w:szCs w:val="21"/>
          <w:highlight w:val="none"/>
        </w:rPr>
        <w:t>。</w:t>
      </w:r>
    </w:p>
    <w:p>
      <w:pPr>
        <w:widowControl/>
        <w:spacing w:line="500" w:lineRule="exact"/>
        <w:ind w:firstLine="420"/>
        <w:jc w:val="left"/>
        <w:rPr>
          <w:rFonts w:ascii="宋体" w:cs="宋体"/>
          <w:szCs w:val="21"/>
          <w:highlight w:val="none"/>
        </w:rPr>
      </w:pPr>
      <w:r>
        <w:rPr>
          <w:rFonts w:ascii="宋体" w:hAnsi="宋体"/>
          <w:szCs w:val="21"/>
          <w:highlight w:val="none"/>
        </w:rPr>
        <w:t>22.4 各级人民政府财政部门依法对参加政府采购活动的供应商作出的禁止参加政府采购活动等行政处罚决定在全国范围内生效。</w:t>
      </w:r>
      <w:r>
        <w:rPr>
          <w:rFonts w:hint="eastAsia" w:ascii="宋体" w:hAnsi="宋体"/>
          <w:szCs w:val="21"/>
          <w:highlight w:val="none"/>
        </w:rPr>
        <w:t>供应商受到</w:t>
      </w:r>
      <w:r>
        <w:rPr>
          <w:rFonts w:ascii="宋体" w:hAnsi="宋体"/>
          <w:szCs w:val="21"/>
          <w:highlight w:val="none"/>
        </w:rPr>
        <w:t>财政部门依法</w:t>
      </w:r>
      <w:r>
        <w:rPr>
          <w:rFonts w:hint="eastAsia" w:ascii="宋体" w:hAnsi="宋体"/>
          <w:szCs w:val="21"/>
          <w:highlight w:val="none"/>
        </w:rPr>
        <w:t>作出的</w:t>
      </w:r>
      <w:r>
        <w:rPr>
          <w:rFonts w:ascii="宋体" w:hAnsi="宋体"/>
          <w:szCs w:val="21"/>
          <w:highlight w:val="none"/>
        </w:rPr>
        <w:t>禁止参加政府采购活动</w:t>
      </w:r>
      <w:r>
        <w:rPr>
          <w:rFonts w:hint="eastAsia" w:ascii="宋体" w:hAnsi="宋体"/>
          <w:szCs w:val="21"/>
          <w:highlight w:val="none"/>
        </w:rPr>
        <w:t>且在有效期内的</w:t>
      </w:r>
      <w:r>
        <w:rPr>
          <w:rFonts w:ascii="宋体" w:hAnsi="宋体"/>
          <w:szCs w:val="21"/>
          <w:highlight w:val="none"/>
        </w:rPr>
        <w:t>行政处罚</w:t>
      </w:r>
      <w:r>
        <w:rPr>
          <w:rFonts w:hint="eastAsia" w:ascii="宋体" w:hAnsi="宋体"/>
          <w:szCs w:val="21"/>
          <w:highlight w:val="none"/>
        </w:rPr>
        <w:t>，其响应无效。</w:t>
      </w:r>
    </w:p>
    <w:p>
      <w:pPr>
        <w:pStyle w:val="5"/>
        <w:ind w:firstLine="413" w:firstLineChars="196"/>
        <w:rPr>
          <w:rFonts w:cs="宋体"/>
          <w:highlight w:val="none"/>
        </w:rPr>
      </w:pPr>
      <w:bookmarkStart w:id="82" w:name="_Toc476584426"/>
      <w:bookmarkStart w:id="83" w:name="_Toc54941337"/>
      <w:r>
        <w:rPr>
          <w:rFonts w:hint="eastAsia" w:cs="宋体"/>
          <w:highlight w:val="none"/>
        </w:rPr>
        <w:t>六、评标</w:t>
      </w:r>
      <w:bookmarkEnd w:id="82"/>
      <w:bookmarkEnd w:id="83"/>
    </w:p>
    <w:p>
      <w:pPr>
        <w:spacing w:line="360" w:lineRule="auto"/>
        <w:ind w:firstLine="422" w:firstLineChars="200"/>
        <w:rPr>
          <w:rFonts w:ascii="宋体" w:cs="宋体"/>
          <w:szCs w:val="21"/>
          <w:highlight w:val="none"/>
        </w:rPr>
      </w:pPr>
      <w:r>
        <w:rPr>
          <w:rFonts w:ascii="宋体" w:hAnsi="宋体" w:cs="宋体"/>
          <w:b/>
          <w:szCs w:val="21"/>
          <w:highlight w:val="none"/>
        </w:rPr>
        <w:t>23</w:t>
      </w:r>
      <w:r>
        <w:rPr>
          <w:rFonts w:hint="eastAsia" w:ascii="宋体" w:hAnsi="宋体" w:cs="宋体"/>
          <w:b/>
          <w:szCs w:val="21"/>
          <w:highlight w:val="none"/>
        </w:rPr>
        <w:t>、磋商小组</w:t>
      </w:r>
      <w:r>
        <w:rPr>
          <w:rFonts w:hint="eastAsia" w:ascii="宋体" w:hAnsi="宋体" w:cs="宋体"/>
          <w:szCs w:val="21"/>
          <w:highlight w:val="none"/>
        </w:rPr>
        <w:t>：磋商</w:t>
      </w:r>
      <w:r>
        <w:rPr>
          <w:rFonts w:hint="eastAsia" w:ascii="宋体" w:hAnsi="宋体"/>
          <w:szCs w:val="21"/>
          <w:highlight w:val="none"/>
        </w:rPr>
        <w:t>小组依法组建，其中采购人代表</w:t>
      </w:r>
      <w:r>
        <w:rPr>
          <w:rFonts w:ascii="宋体" w:hAnsi="宋体"/>
          <w:szCs w:val="21"/>
          <w:highlight w:val="none"/>
          <w:u w:val="single"/>
        </w:rPr>
        <w:t>1</w:t>
      </w:r>
      <w:r>
        <w:rPr>
          <w:rFonts w:hint="eastAsia" w:ascii="宋体" w:hAnsi="宋体"/>
          <w:szCs w:val="21"/>
          <w:highlight w:val="none"/>
        </w:rPr>
        <w:t>人。</w:t>
      </w:r>
      <w:r>
        <w:rPr>
          <w:rFonts w:hint="eastAsia" w:ascii="宋体" w:hAnsi="宋体" w:cs="宋体"/>
          <w:szCs w:val="21"/>
          <w:highlight w:val="none"/>
        </w:rPr>
        <w:t>采购人代表不得担任磋商小组组长。磋商由磋商小组进行，评委应坚持公正、公平、诚实守信、实事求是、独立评标的原则。</w:t>
      </w:r>
    </w:p>
    <w:p>
      <w:pPr>
        <w:spacing w:line="360" w:lineRule="auto"/>
        <w:ind w:firstLine="422" w:firstLineChars="200"/>
        <w:rPr>
          <w:rFonts w:ascii="宋体" w:cs="宋体"/>
          <w:szCs w:val="21"/>
          <w:highlight w:val="none"/>
        </w:rPr>
      </w:pPr>
      <w:r>
        <w:rPr>
          <w:rFonts w:ascii="宋体" w:hAnsi="宋体" w:cs="宋体"/>
          <w:b/>
          <w:szCs w:val="21"/>
          <w:highlight w:val="none"/>
        </w:rPr>
        <w:t>24</w:t>
      </w:r>
      <w:r>
        <w:rPr>
          <w:rFonts w:hint="eastAsia" w:ascii="宋体" w:hAnsi="宋体" w:cs="宋体"/>
          <w:b/>
          <w:szCs w:val="21"/>
          <w:highlight w:val="none"/>
        </w:rPr>
        <w:t>、评标方法：</w:t>
      </w:r>
      <w:r>
        <w:rPr>
          <w:rFonts w:hint="eastAsia" w:ascii="宋体" w:hAnsi="宋体" w:cs="宋体"/>
          <w:szCs w:val="21"/>
          <w:highlight w:val="none"/>
        </w:rPr>
        <w:t>采用综合评分方法。</w:t>
      </w:r>
    </w:p>
    <w:p>
      <w:pPr>
        <w:spacing w:line="360" w:lineRule="auto"/>
        <w:ind w:firstLine="440"/>
        <w:jc w:val="left"/>
        <w:rPr>
          <w:rFonts w:ascii="宋体" w:cs="宋体"/>
          <w:b/>
          <w:szCs w:val="21"/>
          <w:highlight w:val="none"/>
        </w:rPr>
      </w:pPr>
      <w:r>
        <w:rPr>
          <w:rFonts w:ascii="宋体" w:hAnsi="宋体" w:cs="宋体"/>
          <w:b/>
          <w:szCs w:val="21"/>
          <w:highlight w:val="none"/>
        </w:rPr>
        <w:t>25</w:t>
      </w:r>
      <w:r>
        <w:rPr>
          <w:rFonts w:hint="eastAsia" w:ascii="宋体" w:hAnsi="宋体" w:cs="宋体"/>
          <w:b/>
          <w:szCs w:val="21"/>
          <w:highlight w:val="none"/>
        </w:rPr>
        <w:t>、评标程序：</w:t>
      </w:r>
      <w:r>
        <w:rPr>
          <w:rFonts w:hint="eastAsia" w:ascii="宋体" w:hAnsi="宋体" w:cs="宋体"/>
          <w:szCs w:val="21"/>
          <w:highlight w:val="none"/>
        </w:rPr>
        <w:t>评标包括响应文件符合性审查、磋商、最后报价、综合评分和确定成交候选人排序。</w:t>
      </w:r>
    </w:p>
    <w:p>
      <w:pPr>
        <w:spacing w:line="360" w:lineRule="auto"/>
        <w:rPr>
          <w:rFonts w:ascii="宋体" w:cs="宋体"/>
          <w:szCs w:val="21"/>
          <w:highlight w:val="none"/>
        </w:rPr>
      </w:pPr>
      <w:r>
        <w:rPr>
          <w:rFonts w:ascii="宋体" w:hAnsi="宋体" w:cs="宋体"/>
          <w:szCs w:val="21"/>
          <w:highlight w:val="none"/>
        </w:rPr>
        <w:t xml:space="preserve">    </w:t>
      </w:r>
      <w:r>
        <w:rPr>
          <w:rFonts w:ascii="宋体" w:hAnsi="宋体" w:cs="宋体"/>
          <w:b/>
          <w:bCs/>
          <w:szCs w:val="21"/>
          <w:highlight w:val="none"/>
        </w:rPr>
        <w:t>25.1</w:t>
      </w:r>
      <w:r>
        <w:rPr>
          <w:rFonts w:hint="eastAsia" w:ascii="宋体" w:hAnsi="宋体" w:cs="宋体"/>
          <w:b/>
          <w:bCs/>
          <w:szCs w:val="21"/>
          <w:highlight w:val="none"/>
        </w:rPr>
        <w:t>、响应文件</w:t>
      </w:r>
      <w:r>
        <w:rPr>
          <w:rFonts w:hint="eastAsia" w:ascii="宋体" w:hAnsi="宋体" w:cs="宋体"/>
          <w:b/>
          <w:bCs/>
          <w:highlight w:val="none"/>
        </w:rPr>
        <w:t>符合性审查</w:t>
      </w:r>
      <w:r>
        <w:rPr>
          <w:rFonts w:hint="eastAsia" w:ascii="宋体" w:hAnsi="宋体" w:cs="宋体"/>
          <w:b/>
          <w:bCs/>
          <w:szCs w:val="21"/>
          <w:highlight w:val="none"/>
        </w:rPr>
        <w:t>，包括但不限于以下内容：</w:t>
      </w:r>
    </w:p>
    <w:tbl>
      <w:tblPr>
        <w:tblStyle w:val="63"/>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847"/>
        <w:gridCol w:w="4462"/>
        <w:gridCol w:w="1115"/>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jc w:val="center"/>
        </w:trPr>
        <w:tc>
          <w:tcPr>
            <w:tcW w:w="706" w:type="dxa"/>
            <w:vMerge w:val="restart"/>
            <w:noWrap w:val="0"/>
            <w:vAlign w:val="center"/>
          </w:tcPr>
          <w:p>
            <w:pPr>
              <w:pageBreakBefore w:val="0"/>
              <w:kinsoku/>
              <w:wordWrap/>
              <w:overflowPunct/>
              <w:topLinePunct w:val="0"/>
              <w:autoSpaceDE/>
              <w:autoSpaceDN/>
              <w:bidi w:val="0"/>
              <w:spacing w:line="400" w:lineRule="exact"/>
              <w:jc w:val="center"/>
              <w:textAlignment w:val="auto"/>
              <w:rPr>
                <w:b/>
                <w:color w:val="auto"/>
                <w:szCs w:val="21"/>
                <w:highlight w:val="none"/>
              </w:rPr>
            </w:pPr>
            <w:r>
              <w:rPr>
                <w:rFonts w:hAnsi="宋体"/>
                <w:b/>
                <w:color w:val="auto"/>
                <w:szCs w:val="21"/>
                <w:highlight w:val="none"/>
              </w:rPr>
              <w:t>序号</w:t>
            </w:r>
          </w:p>
        </w:tc>
        <w:tc>
          <w:tcPr>
            <w:tcW w:w="1847" w:type="dxa"/>
            <w:vMerge w:val="restart"/>
            <w:noWrap w:val="0"/>
            <w:vAlign w:val="center"/>
          </w:tcPr>
          <w:p>
            <w:pPr>
              <w:pageBreakBefore w:val="0"/>
              <w:kinsoku/>
              <w:wordWrap/>
              <w:overflowPunct/>
              <w:topLinePunct w:val="0"/>
              <w:autoSpaceDE/>
              <w:autoSpaceDN/>
              <w:bidi w:val="0"/>
              <w:spacing w:line="400" w:lineRule="exact"/>
              <w:jc w:val="center"/>
              <w:textAlignment w:val="auto"/>
              <w:rPr>
                <w:rFonts w:hint="eastAsia"/>
                <w:b/>
                <w:color w:val="auto"/>
                <w:szCs w:val="21"/>
                <w:highlight w:val="none"/>
              </w:rPr>
            </w:pPr>
            <w:r>
              <w:rPr>
                <w:rFonts w:hint="eastAsia"/>
                <w:b/>
                <w:color w:val="auto"/>
                <w:szCs w:val="21"/>
                <w:highlight w:val="none"/>
              </w:rPr>
              <w:t>评审指标</w:t>
            </w:r>
          </w:p>
        </w:tc>
        <w:tc>
          <w:tcPr>
            <w:tcW w:w="4462" w:type="dxa"/>
            <w:vMerge w:val="restart"/>
            <w:noWrap w:val="0"/>
            <w:vAlign w:val="center"/>
          </w:tcPr>
          <w:p>
            <w:pPr>
              <w:pageBreakBefore w:val="0"/>
              <w:kinsoku/>
              <w:wordWrap/>
              <w:overflowPunct/>
              <w:topLinePunct w:val="0"/>
              <w:autoSpaceDE/>
              <w:autoSpaceDN/>
              <w:bidi w:val="0"/>
              <w:spacing w:line="400" w:lineRule="exact"/>
              <w:jc w:val="center"/>
              <w:textAlignment w:val="auto"/>
              <w:rPr>
                <w:b/>
                <w:color w:val="auto"/>
                <w:szCs w:val="21"/>
                <w:highlight w:val="none"/>
              </w:rPr>
            </w:pPr>
            <w:r>
              <w:rPr>
                <w:rFonts w:hAnsi="宋体"/>
                <w:b/>
                <w:color w:val="auto"/>
                <w:szCs w:val="21"/>
                <w:highlight w:val="none"/>
              </w:rPr>
              <w:t>评</w:t>
            </w:r>
            <w:r>
              <w:rPr>
                <w:b/>
                <w:color w:val="auto"/>
                <w:szCs w:val="21"/>
                <w:highlight w:val="none"/>
              </w:rPr>
              <w:t xml:space="preserve"> </w:t>
            </w:r>
            <w:r>
              <w:rPr>
                <w:rFonts w:hAnsi="宋体"/>
                <w:b/>
                <w:color w:val="auto"/>
                <w:szCs w:val="21"/>
                <w:highlight w:val="none"/>
              </w:rPr>
              <w:t>审</w:t>
            </w:r>
            <w:r>
              <w:rPr>
                <w:b/>
                <w:color w:val="auto"/>
                <w:szCs w:val="21"/>
                <w:highlight w:val="none"/>
              </w:rPr>
              <w:t xml:space="preserve"> </w:t>
            </w:r>
            <w:r>
              <w:rPr>
                <w:rFonts w:hAnsi="宋体"/>
                <w:b/>
                <w:color w:val="auto"/>
                <w:szCs w:val="21"/>
                <w:highlight w:val="none"/>
              </w:rPr>
              <w:t>内</w:t>
            </w:r>
            <w:r>
              <w:rPr>
                <w:b/>
                <w:color w:val="auto"/>
                <w:szCs w:val="21"/>
                <w:highlight w:val="none"/>
              </w:rPr>
              <w:t xml:space="preserve"> </w:t>
            </w:r>
            <w:r>
              <w:rPr>
                <w:rFonts w:hAnsi="宋体"/>
                <w:b/>
                <w:color w:val="auto"/>
                <w:szCs w:val="21"/>
                <w:highlight w:val="none"/>
              </w:rPr>
              <w:t>容</w:t>
            </w:r>
            <w:r>
              <w:rPr>
                <w:b/>
                <w:color w:val="auto"/>
                <w:szCs w:val="21"/>
                <w:highlight w:val="none"/>
              </w:rPr>
              <w:t xml:space="preserve"> </w:t>
            </w:r>
            <w:r>
              <w:rPr>
                <w:rFonts w:hAnsi="宋体"/>
                <w:b/>
                <w:color w:val="auto"/>
                <w:szCs w:val="21"/>
                <w:highlight w:val="none"/>
              </w:rPr>
              <w:t>及</w:t>
            </w:r>
            <w:r>
              <w:rPr>
                <w:b/>
                <w:color w:val="auto"/>
                <w:szCs w:val="21"/>
                <w:highlight w:val="none"/>
              </w:rPr>
              <w:t xml:space="preserve"> </w:t>
            </w:r>
            <w:r>
              <w:rPr>
                <w:rFonts w:hAnsi="宋体"/>
                <w:b/>
                <w:color w:val="auto"/>
                <w:szCs w:val="21"/>
                <w:highlight w:val="none"/>
              </w:rPr>
              <w:t>要</w:t>
            </w:r>
            <w:r>
              <w:rPr>
                <w:b/>
                <w:color w:val="auto"/>
                <w:szCs w:val="21"/>
                <w:highlight w:val="none"/>
              </w:rPr>
              <w:t xml:space="preserve"> </w:t>
            </w:r>
            <w:r>
              <w:rPr>
                <w:rFonts w:hAnsi="宋体"/>
                <w:b/>
                <w:color w:val="auto"/>
                <w:szCs w:val="21"/>
                <w:highlight w:val="none"/>
              </w:rPr>
              <w:t>求</w:t>
            </w:r>
          </w:p>
        </w:tc>
        <w:tc>
          <w:tcPr>
            <w:tcW w:w="2185" w:type="dxa"/>
            <w:gridSpan w:val="2"/>
            <w:noWrap w:val="0"/>
            <w:vAlign w:val="center"/>
          </w:tcPr>
          <w:p>
            <w:pPr>
              <w:pageBreakBefore w:val="0"/>
              <w:kinsoku/>
              <w:wordWrap/>
              <w:overflowPunct/>
              <w:topLinePunct w:val="0"/>
              <w:autoSpaceDE/>
              <w:autoSpaceDN/>
              <w:bidi w:val="0"/>
              <w:spacing w:line="400" w:lineRule="exact"/>
              <w:jc w:val="center"/>
              <w:textAlignment w:val="auto"/>
              <w:rPr>
                <w:b/>
                <w:color w:val="auto"/>
                <w:szCs w:val="21"/>
                <w:highlight w:val="none"/>
              </w:rPr>
            </w:pPr>
            <w:r>
              <w:rPr>
                <w:rFonts w:hAnsi="宋体"/>
                <w:b/>
                <w:color w:val="auto"/>
                <w:szCs w:val="21"/>
                <w:highlight w:val="none"/>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exact"/>
          <w:jc w:val="center"/>
        </w:trPr>
        <w:tc>
          <w:tcPr>
            <w:tcW w:w="706" w:type="dxa"/>
            <w:vMerge w:val="continue"/>
            <w:noWrap w:val="0"/>
            <w:vAlign w:val="center"/>
          </w:tcPr>
          <w:p>
            <w:pPr>
              <w:pageBreakBefore w:val="0"/>
              <w:kinsoku/>
              <w:wordWrap/>
              <w:overflowPunct/>
              <w:topLinePunct w:val="0"/>
              <w:autoSpaceDE/>
              <w:autoSpaceDN/>
              <w:bidi w:val="0"/>
              <w:spacing w:line="400" w:lineRule="exact"/>
              <w:jc w:val="center"/>
              <w:textAlignment w:val="auto"/>
              <w:rPr>
                <w:b/>
                <w:color w:val="auto"/>
                <w:szCs w:val="21"/>
                <w:highlight w:val="none"/>
              </w:rPr>
            </w:pPr>
          </w:p>
        </w:tc>
        <w:tc>
          <w:tcPr>
            <w:tcW w:w="1847" w:type="dxa"/>
            <w:vMerge w:val="continue"/>
            <w:noWrap w:val="0"/>
            <w:vAlign w:val="center"/>
          </w:tcPr>
          <w:p>
            <w:pPr>
              <w:pageBreakBefore w:val="0"/>
              <w:kinsoku/>
              <w:wordWrap/>
              <w:overflowPunct/>
              <w:topLinePunct w:val="0"/>
              <w:autoSpaceDE/>
              <w:autoSpaceDN/>
              <w:bidi w:val="0"/>
              <w:spacing w:line="400" w:lineRule="exact"/>
              <w:jc w:val="center"/>
              <w:textAlignment w:val="auto"/>
              <w:rPr>
                <w:b/>
                <w:color w:val="auto"/>
                <w:szCs w:val="21"/>
                <w:highlight w:val="none"/>
              </w:rPr>
            </w:pPr>
          </w:p>
        </w:tc>
        <w:tc>
          <w:tcPr>
            <w:tcW w:w="4462" w:type="dxa"/>
            <w:vMerge w:val="continue"/>
            <w:noWrap w:val="0"/>
            <w:vAlign w:val="center"/>
          </w:tcPr>
          <w:p>
            <w:pPr>
              <w:pageBreakBefore w:val="0"/>
              <w:kinsoku/>
              <w:wordWrap/>
              <w:overflowPunct/>
              <w:topLinePunct w:val="0"/>
              <w:autoSpaceDE/>
              <w:autoSpaceDN/>
              <w:bidi w:val="0"/>
              <w:spacing w:line="400" w:lineRule="exact"/>
              <w:jc w:val="center"/>
              <w:textAlignment w:val="auto"/>
              <w:rPr>
                <w:b/>
                <w:color w:val="auto"/>
                <w:szCs w:val="21"/>
                <w:highlight w:val="none"/>
              </w:rPr>
            </w:pPr>
          </w:p>
        </w:tc>
        <w:tc>
          <w:tcPr>
            <w:tcW w:w="1115" w:type="dxa"/>
            <w:noWrap w:val="0"/>
            <w:vAlign w:val="center"/>
          </w:tcPr>
          <w:p>
            <w:pPr>
              <w:pageBreakBefore w:val="0"/>
              <w:tabs>
                <w:tab w:val="left" w:pos="972"/>
              </w:tabs>
              <w:kinsoku/>
              <w:wordWrap/>
              <w:overflowPunct/>
              <w:topLinePunct w:val="0"/>
              <w:autoSpaceDE/>
              <w:autoSpaceDN/>
              <w:bidi w:val="0"/>
              <w:spacing w:line="400" w:lineRule="exact"/>
              <w:jc w:val="center"/>
              <w:textAlignment w:val="auto"/>
              <w:rPr>
                <w:b/>
                <w:color w:val="auto"/>
                <w:szCs w:val="21"/>
                <w:highlight w:val="none"/>
              </w:rPr>
            </w:pPr>
            <w:r>
              <w:rPr>
                <w:rFonts w:hAnsi="宋体"/>
                <w:b/>
                <w:color w:val="auto"/>
                <w:szCs w:val="21"/>
                <w:highlight w:val="none"/>
              </w:rPr>
              <w:t>通过</w:t>
            </w:r>
          </w:p>
          <w:p>
            <w:pPr>
              <w:pageBreakBefore w:val="0"/>
              <w:tabs>
                <w:tab w:val="left" w:pos="972"/>
              </w:tabs>
              <w:kinsoku/>
              <w:wordWrap/>
              <w:overflowPunct/>
              <w:topLinePunct w:val="0"/>
              <w:autoSpaceDE/>
              <w:autoSpaceDN/>
              <w:bidi w:val="0"/>
              <w:spacing w:line="400" w:lineRule="exact"/>
              <w:jc w:val="center"/>
              <w:textAlignment w:val="auto"/>
              <w:rPr>
                <w:b/>
                <w:color w:val="auto"/>
                <w:szCs w:val="21"/>
                <w:highlight w:val="none"/>
              </w:rPr>
            </w:pPr>
            <w:r>
              <w:rPr>
                <w:rFonts w:hAnsi="宋体"/>
                <w:b/>
                <w:color w:val="auto"/>
                <w:szCs w:val="21"/>
                <w:highlight w:val="none"/>
              </w:rPr>
              <w:t>（</w:t>
            </w:r>
            <w:r>
              <w:rPr>
                <w:b/>
                <w:color w:val="auto"/>
                <w:szCs w:val="21"/>
                <w:highlight w:val="none"/>
              </w:rPr>
              <w:t>√</w:t>
            </w:r>
            <w:r>
              <w:rPr>
                <w:rFonts w:hAnsi="宋体"/>
                <w:b/>
                <w:color w:val="auto"/>
                <w:szCs w:val="21"/>
                <w:highlight w:val="none"/>
              </w:rPr>
              <w:t>）</w:t>
            </w:r>
          </w:p>
        </w:tc>
        <w:tc>
          <w:tcPr>
            <w:tcW w:w="1070" w:type="dxa"/>
            <w:noWrap w:val="0"/>
            <w:vAlign w:val="center"/>
          </w:tcPr>
          <w:p>
            <w:pPr>
              <w:pageBreakBefore w:val="0"/>
              <w:tabs>
                <w:tab w:val="left" w:pos="972"/>
              </w:tabs>
              <w:kinsoku/>
              <w:wordWrap/>
              <w:overflowPunct/>
              <w:topLinePunct w:val="0"/>
              <w:autoSpaceDE/>
              <w:autoSpaceDN/>
              <w:bidi w:val="0"/>
              <w:spacing w:line="400" w:lineRule="exact"/>
              <w:jc w:val="center"/>
              <w:textAlignment w:val="auto"/>
              <w:rPr>
                <w:b/>
                <w:color w:val="auto"/>
                <w:szCs w:val="21"/>
                <w:highlight w:val="none"/>
              </w:rPr>
            </w:pPr>
            <w:r>
              <w:rPr>
                <w:rFonts w:hAnsi="宋体"/>
                <w:b/>
                <w:color w:val="auto"/>
                <w:szCs w:val="21"/>
                <w:highlight w:val="none"/>
              </w:rPr>
              <w:t>不通过</w:t>
            </w:r>
          </w:p>
          <w:p>
            <w:pPr>
              <w:pageBreakBefore w:val="0"/>
              <w:tabs>
                <w:tab w:val="left" w:pos="972"/>
              </w:tabs>
              <w:kinsoku/>
              <w:wordWrap/>
              <w:overflowPunct/>
              <w:topLinePunct w:val="0"/>
              <w:autoSpaceDE/>
              <w:autoSpaceDN/>
              <w:bidi w:val="0"/>
              <w:spacing w:line="400" w:lineRule="exact"/>
              <w:jc w:val="center"/>
              <w:textAlignment w:val="auto"/>
              <w:rPr>
                <w:b/>
                <w:color w:val="auto"/>
                <w:szCs w:val="21"/>
                <w:highlight w:val="none"/>
              </w:rPr>
            </w:pPr>
            <w:r>
              <w:rPr>
                <w:rFonts w:hAnsi="宋体"/>
                <w:b/>
                <w:color w:val="auto"/>
                <w:szCs w:val="21"/>
                <w:highlight w:val="none"/>
              </w:rPr>
              <w:t>（</w:t>
            </w:r>
            <w:r>
              <w:rPr>
                <w:b/>
                <w:color w:val="auto"/>
                <w:szCs w:val="21"/>
                <w:highlight w:val="none"/>
              </w:rPr>
              <w:t>×</w:t>
            </w:r>
            <w:r>
              <w:rPr>
                <w:rFonts w:hAnsi="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exact"/>
          <w:jc w:val="center"/>
        </w:trPr>
        <w:tc>
          <w:tcPr>
            <w:tcW w:w="706" w:type="dxa"/>
            <w:noWrap w:val="0"/>
            <w:vAlign w:val="center"/>
          </w:tcPr>
          <w:p>
            <w:pPr>
              <w:pageBreakBefore w:val="0"/>
              <w:kinsoku/>
              <w:wordWrap/>
              <w:overflowPunct/>
              <w:topLinePunct w:val="0"/>
              <w:autoSpaceDE/>
              <w:autoSpaceDN/>
              <w:bidi w:val="0"/>
              <w:adjustRightInd w:val="0"/>
              <w:snapToGrid w:val="0"/>
              <w:spacing w:line="400" w:lineRule="exact"/>
              <w:ind w:right="-11"/>
              <w:jc w:val="center"/>
              <w:textAlignment w:val="auto"/>
              <w:rPr>
                <w:rFonts w:ascii="宋体" w:hAnsi="宋体"/>
                <w:color w:val="auto"/>
                <w:szCs w:val="21"/>
                <w:highlight w:val="none"/>
              </w:rPr>
            </w:pPr>
            <w:r>
              <w:rPr>
                <w:rFonts w:hint="eastAsia" w:ascii="宋体" w:hAnsi="宋体"/>
                <w:color w:val="auto"/>
                <w:szCs w:val="21"/>
                <w:highlight w:val="none"/>
              </w:rPr>
              <w:t>1</w:t>
            </w:r>
          </w:p>
        </w:tc>
        <w:tc>
          <w:tcPr>
            <w:tcW w:w="1847" w:type="dxa"/>
            <w:noWrap w:val="0"/>
            <w:vAlign w:val="center"/>
          </w:tcPr>
          <w:p>
            <w:pPr>
              <w:pageBreakBefore w:val="0"/>
              <w:kinsoku/>
              <w:wordWrap/>
              <w:overflowPunct/>
              <w:topLinePunct w:val="0"/>
              <w:autoSpaceDE/>
              <w:autoSpaceDN/>
              <w:bidi w:val="0"/>
              <w:adjustRightInd w:val="0"/>
              <w:snapToGrid w:val="0"/>
              <w:spacing w:line="400" w:lineRule="exact"/>
              <w:ind w:right="-11"/>
              <w:jc w:val="center"/>
              <w:textAlignment w:val="auto"/>
              <w:rPr>
                <w:rFonts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名称</w:t>
            </w:r>
          </w:p>
        </w:tc>
        <w:tc>
          <w:tcPr>
            <w:tcW w:w="4462" w:type="dxa"/>
            <w:noWrap w:val="0"/>
            <w:vAlign w:val="center"/>
          </w:tcPr>
          <w:p>
            <w:pPr>
              <w:pageBreakBefore w:val="0"/>
              <w:kinsoku/>
              <w:wordWrap/>
              <w:overflowPunct/>
              <w:topLinePunct w:val="0"/>
              <w:autoSpaceDE/>
              <w:autoSpaceDN/>
              <w:bidi w:val="0"/>
              <w:adjustRightInd w:val="0"/>
              <w:snapToGrid w:val="0"/>
              <w:spacing w:line="400" w:lineRule="exact"/>
              <w:ind w:right="-11"/>
              <w:textAlignment w:val="auto"/>
              <w:rPr>
                <w:rFonts w:hint="default" w:ascii="宋体" w:hAnsi="宋体" w:eastAsia="宋体"/>
                <w:color w:val="auto"/>
                <w:szCs w:val="21"/>
                <w:highlight w:val="none"/>
                <w:lang w:val="en-US" w:eastAsia="zh-CN"/>
              </w:rPr>
            </w:pPr>
            <w:r>
              <w:rPr>
                <w:rFonts w:ascii="宋体" w:hAnsi="宋体"/>
                <w:color w:val="auto"/>
                <w:szCs w:val="21"/>
                <w:highlight w:val="none"/>
              </w:rPr>
              <w:t>是否与营业执照、资质证书、安全生产许可证一致</w:t>
            </w:r>
          </w:p>
        </w:tc>
        <w:tc>
          <w:tcPr>
            <w:tcW w:w="1115" w:type="dxa"/>
            <w:noWrap w:val="0"/>
            <w:vAlign w:val="top"/>
          </w:tcPr>
          <w:p>
            <w:pPr>
              <w:pageBreakBefore w:val="0"/>
              <w:kinsoku/>
              <w:wordWrap/>
              <w:overflowPunct/>
              <w:topLinePunct w:val="0"/>
              <w:autoSpaceDE/>
              <w:autoSpaceDN/>
              <w:bidi w:val="0"/>
              <w:spacing w:line="400" w:lineRule="exact"/>
              <w:jc w:val="center"/>
              <w:textAlignment w:val="auto"/>
              <w:rPr>
                <w:rFonts w:ascii="宋体" w:hAnsi="宋体"/>
                <w:bCs/>
                <w:color w:val="auto"/>
                <w:szCs w:val="21"/>
                <w:highlight w:val="none"/>
              </w:rPr>
            </w:pPr>
          </w:p>
        </w:tc>
        <w:tc>
          <w:tcPr>
            <w:tcW w:w="1070" w:type="dxa"/>
            <w:noWrap w:val="0"/>
            <w:vAlign w:val="center"/>
          </w:tcPr>
          <w:p>
            <w:pPr>
              <w:pageBreakBefore w:val="0"/>
              <w:kinsoku/>
              <w:wordWrap/>
              <w:overflowPunct/>
              <w:topLinePunct w:val="0"/>
              <w:autoSpaceDE/>
              <w:autoSpaceDN/>
              <w:bidi w:val="0"/>
              <w:spacing w:line="400" w:lineRule="exact"/>
              <w:jc w:val="center"/>
              <w:textAlignment w:val="auto"/>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exact"/>
          <w:jc w:val="center"/>
        </w:trPr>
        <w:tc>
          <w:tcPr>
            <w:tcW w:w="706" w:type="dxa"/>
            <w:noWrap w:val="0"/>
            <w:vAlign w:val="center"/>
          </w:tcPr>
          <w:p>
            <w:pPr>
              <w:pageBreakBefore w:val="0"/>
              <w:kinsoku/>
              <w:wordWrap/>
              <w:overflowPunct/>
              <w:topLinePunct w:val="0"/>
              <w:autoSpaceDE/>
              <w:autoSpaceDN/>
              <w:bidi w:val="0"/>
              <w:adjustRightInd w:val="0"/>
              <w:snapToGrid w:val="0"/>
              <w:spacing w:line="400" w:lineRule="exact"/>
              <w:ind w:right="-11"/>
              <w:jc w:val="center"/>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w:t>
            </w:r>
          </w:p>
        </w:tc>
        <w:tc>
          <w:tcPr>
            <w:tcW w:w="1847" w:type="dxa"/>
            <w:noWrap w:val="0"/>
            <w:vAlign w:val="center"/>
          </w:tcPr>
          <w:p>
            <w:pPr>
              <w:pageBreakBefore w:val="0"/>
              <w:kinsoku/>
              <w:wordWrap/>
              <w:overflowPunct/>
              <w:topLinePunct w:val="0"/>
              <w:autoSpaceDE/>
              <w:autoSpaceDN/>
              <w:bidi w:val="0"/>
              <w:adjustRightInd w:val="0"/>
              <w:snapToGrid w:val="0"/>
              <w:spacing w:line="400" w:lineRule="exact"/>
              <w:ind w:right="-11"/>
              <w:jc w:val="center"/>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声明函</w:t>
            </w:r>
          </w:p>
        </w:tc>
        <w:tc>
          <w:tcPr>
            <w:tcW w:w="4462" w:type="dxa"/>
            <w:noWrap w:val="0"/>
            <w:vAlign w:val="center"/>
          </w:tcPr>
          <w:p>
            <w:pPr>
              <w:pageBreakBefore w:val="0"/>
              <w:kinsoku/>
              <w:wordWrap/>
              <w:overflowPunct/>
              <w:topLinePunct w:val="0"/>
              <w:autoSpaceDE/>
              <w:autoSpaceDN/>
              <w:bidi w:val="0"/>
              <w:adjustRightInd w:val="0"/>
              <w:snapToGrid w:val="0"/>
              <w:spacing w:line="400" w:lineRule="exact"/>
              <w:ind w:right="-11"/>
              <w:textAlignment w:val="auto"/>
              <w:rPr>
                <w:rFonts w:ascii="宋体" w:hAnsi="宋体"/>
                <w:color w:val="auto"/>
                <w:szCs w:val="21"/>
                <w:highlight w:val="none"/>
              </w:rPr>
            </w:pPr>
            <w:r>
              <w:rPr>
                <w:rFonts w:hint="eastAsia" w:ascii="宋体" w:hAnsi="宋体"/>
                <w:color w:val="auto"/>
                <w:szCs w:val="21"/>
                <w:highlight w:val="none"/>
              </w:rPr>
              <w:t>供应商声明函符合规定格式</w:t>
            </w:r>
          </w:p>
        </w:tc>
        <w:tc>
          <w:tcPr>
            <w:tcW w:w="1115" w:type="dxa"/>
            <w:noWrap w:val="0"/>
            <w:vAlign w:val="top"/>
          </w:tcPr>
          <w:p>
            <w:pPr>
              <w:pageBreakBefore w:val="0"/>
              <w:kinsoku/>
              <w:wordWrap/>
              <w:overflowPunct/>
              <w:topLinePunct w:val="0"/>
              <w:autoSpaceDE/>
              <w:autoSpaceDN/>
              <w:bidi w:val="0"/>
              <w:spacing w:line="400" w:lineRule="exact"/>
              <w:jc w:val="center"/>
              <w:textAlignment w:val="auto"/>
              <w:rPr>
                <w:rFonts w:ascii="宋体" w:hAnsi="宋体"/>
                <w:bCs/>
                <w:color w:val="auto"/>
                <w:szCs w:val="21"/>
                <w:highlight w:val="none"/>
              </w:rPr>
            </w:pPr>
          </w:p>
        </w:tc>
        <w:tc>
          <w:tcPr>
            <w:tcW w:w="1070" w:type="dxa"/>
            <w:noWrap w:val="0"/>
            <w:vAlign w:val="center"/>
          </w:tcPr>
          <w:p>
            <w:pPr>
              <w:pageBreakBefore w:val="0"/>
              <w:kinsoku/>
              <w:wordWrap/>
              <w:overflowPunct/>
              <w:topLinePunct w:val="0"/>
              <w:autoSpaceDE/>
              <w:autoSpaceDN/>
              <w:bidi w:val="0"/>
              <w:spacing w:line="400" w:lineRule="exact"/>
              <w:jc w:val="center"/>
              <w:textAlignment w:val="auto"/>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6" w:type="dxa"/>
            <w:noWrap w:val="0"/>
            <w:vAlign w:val="center"/>
          </w:tcPr>
          <w:p>
            <w:pPr>
              <w:pageBreakBefore w:val="0"/>
              <w:kinsoku/>
              <w:wordWrap/>
              <w:overflowPunct/>
              <w:topLinePunct w:val="0"/>
              <w:autoSpaceDE/>
              <w:autoSpaceDN/>
              <w:bidi w:val="0"/>
              <w:adjustRightInd w:val="0"/>
              <w:snapToGrid w:val="0"/>
              <w:spacing w:line="400" w:lineRule="exact"/>
              <w:ind w:right="-11" w:rightChars="0"/>
              <w:jc w:val="center"/>
              <w:textAlignment w:val="auto"/>
              <w:rPr>
                <w:rFonts w:ascii="宋体" w:hAnsi="宋体"/>
                <w:color w:val="auto"/>
                <w:szCs w:val="21"/>
                <w:highlight w:val="none"/>
              </w:rPr>
            </w:pPr>
            <w:r>
              <w:rPr>
                <w:rFonts w:hint="eastAsia" w:ascii="宋体" w:hAnsi="宋体"/>
                <w:color w:val="auto"/>
                <w:szCs w:val="21"/>
                <w:highlight w:val="none"/>
              </w:rPr>
              <w:t>3</w:t>
            </w:r>
          </w:p>
        </w:tc>
        <w:tc>
          <w:tcPr>
            <w:tcW w:w="1847" w:type="dxa"/>
            <w:noWrap w:val="0"/>
            <w:vAlign w:val="center"/>
          </w:tcPr>
          <w:p>
            <w:pPr>
              <w:pageBreakBefore w:val="0"/>
              <w:kinsoku/>
              <w:wordWrap/>
              <w:overflowPunct/>
              <w:topLinePunct w:val="0"/>
              <w:autoSpaceDE/>
              <w:autoSpaceDN/>
              <w:bidi w:val="0"/>
              <w:adjustRightInd w:val="0"/>
              <w:snapToGrid w:val="0"/>
              <w:spacing w:line="400" w:lineRule="exact"/>
              <w:ind w:right="-11"/>
              <w:jc w:val="center"/>
              <w:textAlignment w:val="auto"/>
              <w:rPr>
                <w:rFonts w:ascii="宋体" w:hAnsi="宋体"/>
                <w:color w:val="auto"/>
                <w:szCs w:val="21"/>
                <w:highlight w:val="none"/>
              </w:rPr>
            </w:pPr>
            <w:r>
              <w:rPr>
                <w:rFonts w:ascii="宋体" w:hAnsi="宋体"/>
                <w:color w:val="auto"/>
                <w:szCs w:val="21"/>
                <w:highlight w:val="none"/>
              </w:rPr>
              <w:t>营业执照</w:t>
            </w:r>
          </w:p>
        </w:tc>
        <w:tc>
          <w:tcPr>
            <w:tcW w:w="4462" w:type="dxa"/>
            <w:noWrap w:val="0"/>
            <w:vAlign w:val="center"/>
          </w:tcPr>
          <w:p>
            <w:pPr>
              <w:pageBreakBefore w:val="0"/>
              <w:kinsoku/>
              <w:wordWrap/>
              <w:overflowPunct/>
              <w:topLinePunct w:val="0"/>
              <w:autoSpaceDE/>
              <w:autoSpaceDN/>
              <w:bidi w:val="0"/>
              <w:adjustRightInd w:val="0"/>
              <w:snapToGrid w:val="0"/>
              <w:spacing w:line="400" w:lineRule="exact"/>
              <w:ind w:right="-11"/>
              <w:textAlignment w:val="auto"/>
              <w:rPr>
                <w:rFonts w:ascii="宋体" w:hAnsi="宋体"/>
                <w:color w:val="auto"/>
                <w:szCs w:val="21"/>
                <w:highlight w:val="none"/>
              </w:rPr>
            </w:pPr>
            <w:r>
              <w:rPr>
                <w:rFonts w:ascii="宋体" w:hAnsi="宋体"/>
                <w:color w:val="auto"/>
                <w:szCs w:val="21"/>
                <w:highlight w:val="none"/>
              </w:rPr>
              <w:t>是否具备有效的营业执照</w:t>
            </w:r>
          </w:p>
        </w:tc>
        <w:tc>
          <w:tcPr>
            <w:tcW w:w="1115" w:type="dxa"/>
            <w:noWrap w:val="0"/>
            <w:vAlign w:val="top"/>
          </w:tcPr>
          <w:p>
            <w:pPr>
              <w:pageBreakBefore w:val="0"/>
              <w:kinsoku/>
              <w:wordWrap/>
              <w:overflowPunct/>
              <w:topLinePunct w:val="0"/>
              <w:autoSpaceDE/>
              <w:autoSpaceDN/>
              <w:bidi w:val="0"/>
              <w:spacing w:line="400" w:lineRule="exact"/>
              <w:jc w:val="center"/>
              <w:textAlignment w:val="auto"/>
              <w:rPr>
                <w:rFonts w:ascii="宋体" w:hAnsi="宋体"/>
                <w:bCs/>
                <w:color w:val="auto"/>
                <w:szCs w:val="21"/>
                <w:highlight w:val="none"/>
              </w:rPr>
            </w:pPr>
          </w:p>
        </w:tc>
        <w:tc>
          <w:tcPr>
            <w:tcW w:w="1070" w:type="dxa"/>
            <w:noWrap w:val="0"/>
            <w:vAlign w:val="center"/>
          </w:tcPr>
          <w:p>
            <w:pPr>
              <w:pageBreakBefore w:val="0"/>
              <w:kinsoku/>
              <w:wordWrap/>
              <w:overflowPunct/>
              <w:topLinePunct w:val="0"/>
              <w:autoSpaceDE/>
              <w:autoSpaceDN/>
              <w:bidi w:val="0"/>
              <w:spacing w:line="400" w:lineRule="exact"/>
              <w:jc w:val="center"/>
              <w:textAlignment w:val="auto"/>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6" w:type="dxa"/>
            <w:noWrap w:val="0"/>
            <w:vAlign w:val="center"/>
          </w:tcPr>
          <w:p>
            <w:pPr>
              <w:pageBreakBefore w:val="0"/>
              <w:kinsoku/>
              <w:wordWrap/>
              <w:overflowPunct/>
              <w:topLinePunct w:val="0"/>
              <w:autoSpaceDE/>
              <w:autoSpaceDN/>
              <w:bidi w:val="0"/>
              <w:adjustRightInd w:val="0"/>
              <w:snapToGrid w:val="0"/>
              <w:spacing w:line="400" w:lineRule="exact"/>
              <w:ind w:right="-11" w:rightChars="0"/>
              <w:jc w:val="center"/>
              <w:textAlignment w:val="auto"/>
              <w:rPr>
                <w:rFonts w:ascii="宋体" w:hAnsi="宋体"/>
                <w:color w:val="auto"/>
                <w:szCs w:val="21"/>
                <w:highlight w:val="none"/>
              </w:rPr>
            </w:pPr>
            <w:r>
              <w:rPr>
                <w:rFonts w:hint="eastAsia" w:ascii="宋体" w:hAnsi="宋体"/>
                <w:color w:val="auto"/>
                <w:szCs w:val="21"/>
                <w:highlight w:val="none"/>
              </w:rPr>
              <w:t>4</w:t>
            </w:r>
          </w:p>
        </w:tc>
        <w:tc>
          <w:tcPr>
            <w:tcW w:w="1847" w:type="dxa"/>
            <w:noWrap w:val="0"/>
            <w:vAlign w:val="center"/>
          </w:tcPr>
          <w:p>
            <w:pPr>
              <w:pageBreakBefore w:val="0"/>
              <w:kinsoku/>
              <w:wordWrap/>
              <w:overflowPunct/>
              <w:topLinePunct w:val="0"/>
              <w:autoSpaceDE/>
              <w:autoSpaceDN/>
              <w:bidi w:val="0"/>
              <w:adjustRightInd w:val="0"/>
              <w:snapToGrid w:val="0"/>
              <w:spacing w:line="400" w:lineRule="exact"/>
              <w:ind w:right="-11"/>
              <w:jc w:val="center"/>
              <w:textAlignment w:val="auto"/>
              <w:rPr>
                <w:rFonts w:ascii="宋体" w:hAnsi="宋体"/>
                <w:color w:val="auto"/>
                <w:szCs w:val="21"/>
                <w:highlight w:val="none"/>
              </w:rPr>
            </w:pPr>
            <w:r>
              <w:rPr>
                <w:rFonts w:ascii="宋体" w:hAnsi="宋体"/>
                <w:color w:val="auto"/>
                <w:szCs w:val="21"/>
                <w:highlight w:val="none"/>
              </w:rPr>
              <w:t>安全生产许可证</w:t>
            </w:r>
          </w:p>
        </w:tc>
        <w:tc>
          <w:tcPr>
            <w:tcW w:w="4462" w:type="dxa"/>
            <w:noWrap w:val="0"/>
            <w:vAlign w:val="center"/>
          </w:tcPr>
          <w:p>
            <w:pPr>
              <w:pageBreakBefore w:val="0"/>
              <w:kinsoku/>
              <w:wordWrap/>
              <w:overflowPunct/>
              <w:topLinePunct w:val="0"/>
              <w:autoSpaceDE/>
              <w:autoSpaceDN/>
              <w:bidi w:val="0"/>
              <w:adjustRightInd w:val="0"/>
              <w:snapToGrid w:val="0"/>
              <w:spacing w:line="400" w:lineRule="exact"/>
              <w:ind w:right="-11"/>
              <w:textAlignment w:val="auto"/>
              <w:rPr>
                <w:rFonts w:ascii="宋体" w:hAnsi="宋体"/>
                <w:color w:val="auto"/>
                <w:szCs w:val="21"/>
                <w:highlight w:val="none"/>
              </w:rPr>
            </w:pPr>
            <w:r>
              <w:rPr>
                <w:rFonts w:ascii="宋体" w:hAnsi="宋体"/>
                <w:color w:val="auto"/>
                <w:szCs w:val="21"/>
                <w:highlight w:val="none"/>
              </w:rPr>
              <w:t>是否具备有效的生产许可证</w:t>
            </w:r>
          </w:p>
        </w:tc>
        <w:tc>
          <w:tcPr>
            <w:tcW w:w="1115" w:type="dxa"/>
            <w:noWrap w:val="0"/>
            <w:vAlign w:val="top"/>
          </w:tcPr>
          <w:p>
            <w:pPr>
              <w:pageBreakBefore w:val="0"/>
              <w:kinsoku/>
              <w:wordWrap/>
              <w:overflowPunct/>
              <w:topLinePunct w:val="0"/>
              <w:autoSpaceDE/>
              <w:autoSpaceDN/>
              <w:bidi w:val="0"/>
              <w:spacing w:line="400" w:lineRule="exact"/>
              <w:jc w:val="center"/>
              <w:textAlignment w:val="auto"/>
              <w:rPr>
                <w:rFonts w:ascii="宋体" w:hAnsi="宋体"/>
                <w:bCs/>
                <w:color w:val="auto"/>
                <w:szCs w:val="21"/>
                <w:highlight w:val="none"/>
              </w:rPr>
            </w:pPr>
          </w:p>
        </w:tc>
        <w:tc>
          <w:tcPr>
            <w:tcW w:w="1070" w:type="dxa"/>
            <w:noWrap w:val="0"/>
            <w:vAlign w:val="center"/>
          </w:tcPr>
          <w:p>
            <w:pPr>
              <w:pageBreakBefore w:val="0"/>
              <w:kinsoku/>
              <w:wordWrap/>
              <w:overflowPunct/>
              <w:topLinePunct w:val="0"/>
              <w:autoSpaceDE/>
              <w:autoSpaceDN/>
              <w:bidi w:val="0"/>
              <w:spacing w:line="400" w:lineRule="exact"/>
              <w:jc w:val="center"/>
              <w:textAlignment w:val="auto"/>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6" w:type="dxa"/>
            <w:noWrap w:val="0"/>
            <w:vAlign w:val="center"/>
          </w:tcPr>
          <w:p>
            <w:pPr>
              <w:pageBreakBefore w:val="0"/>
              <w:kinsoku/>
              <w:wordWrap/>
              <w:overflowPunct/>
              <w:topLinePunct w:val="0"/>
              <w:autoSpaceDE/>
              <w:autoSpaceDN/>
              <w:bidi w:val="0"/>
              <w:adjustRightInd w:val="0"/>
              <w:snapToGrid w:val="0"/>
              <w:spacing w:line="400" w:lineRule="exact"/>
              <w:ind w:right="-11" w:rightChars="0"/>
              <w:jc w:val="center"/>
              <w:textAlignment w:val="auto"/>
              <w:rPr>
                <w:rFonts w:ascii="宋体" w:hAnsi="宋体"/>
                <w:color w:val="auto"/>
                <w:szCs w:val="21"/>
                <w:highlight w:val="none"/>
              </w:rPr>
            </w:pPr>
            <w:r>
              <w:rPr>
                <w:rFonts w:hint="eastAsia" w:ascii="宋体" w:hAnsi="宋体"/>
                <w:color w:val="auto"/>
                <w:szCs w:val="21"/>
                <w:highlight w:val="none"/>
              </w:rPr>
              <w:t>5</w:t>
            </w:r>
          </w:p>
        </w:tc>
        <w:tc>
          <w:tcPr>
            <w:tcW w:w="1847" w:type="dxa"/>
            <w:noWrap w:val="0"/>
            <w:vAlign w:val="center"/>
          </w:tcPr>
          <w:p>
            <w:pPr>
              <w:pageBreakBefore w:val="0"/>
              <w:kinsoku/>
              <w:wordWrap/>
              <w:overflowPunct/>
              <w:topLinePunct w:val="0"/>
              <w:autoSpaceDE/>
              <w:autoSpaceDN/>
              <w:bidi w:val="0"/>
              <w:adjustRightInd w:val="0"/>
              <w:snapToGrid w:val="0"/>
              <w:spacing w:line="400" w:lineRule="exact"/>
              <w:ind w:right="-11"/>
              <w:jc w:val="center"/>
              <w:textAlignment w:val="auto"/>
              <w:rPr>
                <w:rFonts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资格</w:t>
            </w:r>
            <w:r>
              <w:rPr>
                <w:rFonts w:ascii="宋体" w:hAnsi="宋体"/>
                <w:color w:val="auto"/>
                <w:szCs w:val="21"/>
                <w:highlight w:val="none"/>
              </w:rPr>
              <w:t>条件</w:t>
            </w:r>
          </w:p>
        </w:tc>
        <w:tc>
          <w:tcPr>
            <w:tcW w:w="4462" w:type="dxa"/>
            <w:noWrap w:val="0"/>
            <w:vAlign w:val="center"/>
          </w:tcPr>
          <w:p>
            <w:pPr>
              <w:pageBreakBefore w:val="0"/>
              <w:kinsoku/>
              <w:wordWrap/>
              <w:overflowPunct/>
              <w:topLinePunct w:val="0"/>
              <w:autoSpaceDE/>
              <w:autoSpaceDN/>
              <w:bidi w:val="0"/>
              <w:adjustRightInd w:val="0"/>
              <w:snapToGrid w:val="0"/>
              <w:spacing w:line="400" w:lineRule="exact"/>
              <w:ind w:right="-11"/>
              <w:textAlignment w:val="auto"/>
              <w:rPr>
                <w:rFonts w:ascii="宋体" w:hAnsi="宋体"/>
                <w:color w:val="auto"/>
                <w:szCs w:val="21"/>
                <w:highlight w:val="none"/>
              </w:rPr>
            </w:pPr>
            <w:r>
              <w:rPr>
                <w:rFonts w:ascii="宋体" w:hAnsi="宋体"/>
                <w:color w:val="auto"/>
                <w:szCs w:val="21"/>
                <w:highlight w:val="none"/>
              </w:rPr>
              <w:t>是否符合</w:t>
            </w:r>
            <w:r>
              <w:rPr>
                <w:rFonts w:hint="eastAsia" w:ascii="宋体" w:hAnsi="宋体"/>
                <w:color w:val="auto"/>
                <w:szCs w:val="21"/>
                <w:highlight w:val="none"/>
              </w:rPr>
              <w:t>“</w:t>
            </w:r>
            <w:r>
              <w:rPr>
                <w:rFonts w:hint="eastAsia" w:ascii="宋体" w:hAnsi="宋体"/>
                <w:color w:val="auto"/>
                <w:szCs w:val="21"/>
                <w:highlight w:val="none"/>
                <w:lang w:val="en-US" w:eastAsia="zh-CN"/>
              </w:rPr>
              <w:t>磋商</w:t>
            </w:r>
            <w:r>
              <w:rPr>
                <w:rFonts w:hint="eastAsia" w:ascii="宋体" w:hAnsi="宋体"/>
                <w:color w:val="auto"/>
                <w:szCs w:val="21"/>
                <w:highlight w:val="none"/>
              </w:rPr>
              <w:t>须知前附表”</w:t>
            </w:r>
            <w:r>
              <w:rPr>
                <w:rFonts w:ascii="宋体" w:hAnsi="宋体"/>
                <w:color w:val="auto"/>
                <w:szCs w:val="21"/>
                <w:highlight w:val="none"/>
              </w:rPr>
              <w:t>规定</w:t>
            </w:r>
          </w:p>
        </w:tc>
        <w:tc>
          <w:tcPr>
            <w:tcW w:w="1115" w:type="dxa"/>
            <w:noWrap w:val="0"/>
            <w:vAlign w:val="top"/>
          </w:tcPr>
          <w:p>
            <w:pPr>
              <w:pageBreakBefore w:val="0"/>
              <w:kinsoku/>
              <w:wordWrap/>
              <w:overflowPunct/>
              <w:topLinePunct w:val="0"/>
              <w:autoSpaceDE/>
              <w:autoSpaceDN/>
              <w:bidi w:val="0"/>
              <w:spacing w:line="400" w:lineRule="exact"/>
              <w:jc w:val="center"/>
              <w:textAlignment w:val="auto"/>
              <w:rPr>
                <w:rFonts w:ascii="宋体" w:hAnsi="宋体"/>
                <w:bCs/>
                <w:color w:val="auto"/>
                <w:szCs w:val="21"/>
                <w:highlight w:val="none"/>
              </w:rPr>
            </w:pPr>
          </w:p>
        </w:tc>
        <w:tc>
          <w:tcPr>
            <w:tcW w:w="1070" w:type="dxa"/>
            <w:noWrap w:val="0"/>
            <w:vAlign w:val="center"/>
          </w:tcPr>
          <w:p>
            <w:pPr>
              <w:pageBreakBefore w:val="0"/>
              <w:kinsoku/>
              <w:wordWrap/>
              <w:overflowPunct/>
              <w:topLinePunct w:val="0"/>
              <w:autoSpaceDE/>
              <w:autoSpaceDN/>
              <w:bidi w:val="0"/>
              <w:spacing w:line="400" w:lineRule="exact"/>
              <w:jc w:val="center"/>
              <w:textAlignment w:val="auto"/>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6" w:type="dxa"/>
            <w:noWrap w:val="0"/>
            <w:vAlign w:val="center"/>
          </w:tcPr>
          <w:p>
            <w:pPr>
              <w:pageBreakBefore w:val="0"/>
              <w:kinsoku/>
              <w:wordWrap/>
              <w:overflowPunct/>
              <w:topLinePunct w:val="0"/>
              <w:autoSpaceDE/>
              <w:autoSpaceDN/>
              <w:bidi w:val="0"/>
              <w:adjustRightInd w:val="0"/>
              <w:snapToGrid w:val="0"/>
              <w:spacing w:line="400" w:lineRule="exact"/>
              <w:ind w:right="-11" w:rightChars="0"/>
              <w:jc w:val="center"/>
              <w:textAlignment w:val="auto"/>
              <w:rPr>
                <w:rFonts w:ascii="宋体" w:hAnsi="宋体"/>
                <w:color w:val="auto"/>
                <w:szCs w:val="21"/>
                <w:highlight w:val="none"/>
              </w:rPr>
            </w:pPr>
            <w:r>
              <w:rPr>
                <w:rFonts w:hint="eastAsia" w:ascii="宋体" w:hAnsi="宋体"/>
                <w:color w:val="auto"/>
                <w:szCs w:val="21"/>
                <w:highlight w:val="none"/>
                <w:lang w:val="en-US" w:eastAsia="zh-CN"/>
              </w:rPr>
              <w:t>6</w:t>
            </w:r>
          </w:p>
        </w:tc>
        <w:tc>
          <w:tcPr>
            <w:tcW w:w="1847" w:type="dxa"/>
            <w:noWrap w:val="0"/>
            <w:vAlign w:val="center"/>
          </w:tcPr>
          <w:p>
            <w:pPr>
              <w:pageBreakBefore w:val="0"/>
              <w:kinsoku/>
              <w:wordWrap/>
              <w:overflowPunct/>
              <w:topLinePunct w:val="0"/>
              <w:autoSpaceDE/>
              <w:autoSpaceDN/>
              <w:bidi w:val="0"/>
              <w:adjustRightInd w:val="0"/>
              <w:snapToGrid w:val="0"/>
              <w:spacing w:line="400" w:lineRule="exact"/>
              <w:ind w:right="-11"/>
              <w:jc w:val="center"/>
              <w:textAlignment w:val="auto"/>
              <w:rPr>
                <w:rFonts w:ascii="宋体" w:hAnsi="宋体"/>
                <w:color w:val="auto"/>
                <w:szCs w:val="21"/>
                <w:highlight w:val="none"/>
              </w:rPr>
            </w:pPr>
            <w:r>
              <w:rPr>
                <w:rFonts w:ascii="宋体" w:hAnsi="宋体"/>
                <w:color w:val="auto"/>
                <w:szCs w:val="21"/>
                <w:highlight w:val="none"/>
              </w:rPr>
              <w:t>项目经理资格</w:t>
            </w:r>
          </w:p>
        </w:tc>
        <w:tc>
          <w:tcPr>
            <w:tcW w:w="4462" w:type="dxa"/>
            <w:noWrap w:val="0"/>
            <w:vAlign w:val="center"/>
          </w:tcPr>
          <w:p>
            <w:pPr>
              <w:pageBreakBefore w:val="0"/>
              <w:kinsoku/>
              <w:wordWrap/>
              <w:overflowPunct/>
              <w:topLinePunct w:val="0"/>
              <w:autoSpaceDE/>
              <w:autoSpaceDN/>
              <w:bidi w:val="0"/>
              <w:adjustRightInd w:val="0"/>
              <w:snapToGrid w:val="0"/>
              <w:spacing w:line="400" w:lineRule="exact"/>
              <w:ind w:right="-11"/>
              <w:textAlignment w:val="auto"/>
              <w:rPr>
                <w:rFonts w:ascii="宋体" w:hAnsi="宋体"/>
                <w:color w:val="auto"/>
                <w:szCs w:val="21"/>
                <w:highlight w:val="none"/>
              </w:rPr>
            </w:pPr>
            <w:r>
              <w:rPr>
                <w:rFonts w:ascii="宋体" w:hAnsi="宋体"/>
                <w:color w:val="auto"/>
                <w:szCs w:val="21"/>
                <w:highlight w:val="none"/>
              </w:rPr>
              <w:t>是否符合</w:t>
            </w:r>
            <w:r>
              <w:rPr>
                <w:rFonts w:hint="eastAsia" w:ascii="宋体" w:hAnsi="宋体"/>
                <w:color w:val="auto"/>
                <w:szCs w:val="21"/>
                <w:highlight w:val="none"/>
              </w:rPr>
              <w:t>“</w:t>
            </w:r>
            <w:r>
              <w:rPr>
                <w:rFonts w:hint="eastAsia" w:ascii="宋体" w:hAnsi="宋体"/>
                <w:color w:val="auto"/>
                <w:szCs w:val="21"/>
                <w:highlight w:val="none"/>
                <w:lang w:val="en-US" w:eastAsia="zh-CN"/>
              </w:rPr>
              <w:t>磋商</w:t>
            </w:r>
            <w:r>
              <w:rPr>
                <w:rFonts w:hint="eastAsia" w:ascii="宋体" w:hAnsi="宋体"/>
                <w:color w:val="auto"/>
                <w:szCs w:val="21"/>
                <w:highlight w:val="none"/>
              </w:rPr>
              <w:t>须知前附表”</w:t>
            </w:r>
            <w:r>
              <w:rPr>
                <w:rFonts w:ascii="宋体" w:hAnsi="宋体"/>
                <w:color w:val="auto"/>
                <w:szCs w:val="21"/>
                <w:highlight w:val="none"/>
              </w:rPr>
              <w:t>规定</w:t>
            </w:r>
          </w:p>
        </w:tc>
        <w:tc>
          <w:tcPr>
            <w:tcW w:w="1115" w:type="dxa"/>
            <w:noWrap w:val="0"/>
            <w:vAlign w:val="top"/>
          </w:tcPr>
          <w:p>
            <w:pPr>
              <w:pageBreakBefore w:val="0"/>
              <w:kinsoku/>
              <w:wordWrap/>
              <w:overflowPunct/>
              <w:topLinePunct w:val="0"/>
              <w:autoSpaceDE/>
              <w:autoSpaceDN/>
              <w:bidi w:val="0"/>
              <w:spacing w:line="400" w:lineRule="exact"/>
              <w:jc w:val="center"/>
              <w:textAlignment w:val="auto"/>
              <w:rPr>
                <w:rFonts w:ascii="宋体" w:hAnsi="宋体"/>
                <w:bCs/>
                <w:color w:val="auto"/>
                <w:szCs w:val="21"/>
                <w:highlight w:val="none"/>
              </w:rPr>
            </w:pPr>
          </w:p>
        </w:tc>
        <w:tc>
          <w:tcPr>
            <w:tcW w:w="1070" w:type="dxa"/>
            <w:noWrap w:val="0"/>
            <w:vAlign w:val="center"/>
          </w:tcPr>
          <w:p>
            <w:pPr>
              <w:pageBreakBefore w:val="0"/>
              <w:kinsoku/>
              <w:wordWrap/>
              <w:overflowPunct/>
              <w:topLinePunct w:val="0"/>
              <w:autoSpaceDE/>
              <w:autoSpaceDN/>
              <w:bidi w:val="0"/>
              <w:spacing w:line="400" w:lineRule="exact"/>
              <w:jc w:val="center"/>
              <w:textAlignment w:val="auto"/>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exact"/>
          <w:jc w:val="center"/>
        </w:trPr>
        <w:tc>
          <w:tcPr>
            <w:tcW w:w="706" w:type="dxa"/>
            <w:noWrap w:val="0"/>
            <w:vAlign w:val="center"/>
          </w:tcPr>
          <w:p>
            <w:pPr>
              <w:adjustRightInd w:val="0"/>
              <w:snapToGrid w:val="0"/>
              <w:ind w:right="-11" w:rightChars="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1847" w:type="dxa"/>
            <w:noWrap w:val="0"/>
            <w:vAlign w:val="center"/>
          </w:tcPr>
          <w:p>
            <w:pPr>
              <w:pageBreakBefore w:val="0"/>
              <w:kinsoku/>
              <w:wordWrap/>
              <w:overflowPunct/>
              <w:topLinePunct w:val="0"/>
              <w:autoSpaceDE/>
              <w:autoSpaceDN/>
              <w:bidi w:val="0"/>
              <w:adjustRightInd w:val="0"/>
              <w:snapToGrid w:val="0"/>
              <w:spacing w:line="400" w:lineRule="exact"/>
              <w:ind w:right="-11"/>
              <w:jc w:val="center"/>
              <w:textAlignment w:val="auto"/>
              <w:rPr>
                <w:rFonts w:hint="eastAsia" w:ascii="宋体" w:hAnsi="宋体"/>
                <w:color w:val="auto"/>
                <w:szCs w:val="21"/>
                <w:highlight w:val="none"/>
              </w:rPr>
            </w:pPr>
            <w:r>
              <w:rPr>
                <w:rFonts w:hint="eastAsia" w:ascii="宋体" w:hAnsi="宋体"/>
                <w:color w:val="auto"/>
                <w:szCs w:val="21"/>
                <w:highlight w:val="none"/>
                <w:lang w:eastAsia="zh-CN"/>
              </w:rPr>
              <w:t>磋商响应文件</w:t>
            </w:r>
            <w:r>
              <w:rPr>
                <w:rFonts w:hint="eastAsia" w:ascii="宋体" w:hAnsi="宋体"/>
                <w:color w:val="auto"/>
                <w:szCs w:val="21"/>
                <w:highlight w:val="none"/>
              </w:rPr>
              <w:t>格式</w:t>
            </w:r>
          </w:p>
        </w:tc>
        <w:tc>
          <w:tcPr>
            <w:tcW w:w="4462" w:type="dxa"/>
            <w:noWrap w:val="0"/>
            <w:vAlign w:val="top"/>
          </w:tcPr>
          <w:p>
            <w:pPr>
              <w:pageBreakBefore w:val="0"/>
              <w:kinsoku/>
              <w:wordWrap/>
              <w:overflowPunct/>
              <w:topLinePunct w:val="0"/>
              <w:autoSpaceDE/>
              <w:autoSpaceDN/>
              <w:bidi w:val="0"/>
              <w:adjustRightInd w:val="0"/>
              <w:snapToGrid w:val="0"/>
              <w:spacing w:line="400" w:lineRule="exact"/>
              <w:ind w:right="-11"/>
              <w:textAlignment w:val="auto"/>
              <w:rPr>
                <w:rFonts w:hint="eastAsia" w:ascii="宋体" w:hAnsi="宋体"/>
                <w:color w:val="auto"/>
                <w:szCs w:val="21"/>
                <w:highlight w:val="none"/>
              </w:rPr>
            </w:pPr>
            <w:r>
              <w:rPr>
                <w:rFonts w:hint="eastAsia" w:ascii="宋体" w:hAnsi="宋体"/>
                <w:color w:val="auto"/>
                <w:szCs w:val="21"/>
                <w:highlight w:val="none"/>
                <w:lang w:eastAsia="zh-CN"/>
              </w:rPr>
              <w:t>磋商响应文件</w:t>
            </w:r>
            <w:r>
              <w:rPr>
                <w:rFonts w:hint="eastAsia" w:ascii="宋体" w:hAnsi="宋体"/>
                <w:color w:val="auto"/>
                <w:szCs w:val="21"/>
                <w:highlight w:val="none"/>
              </w:rPr>
              <w:t>按</w:t>
            </w:r>
            <w:r>
              <w:rPr>
                <w:rFonts w:hint="eastAsia" w:ascii="宋体" w:hAnsi="宋体"/>
                <w:color w:val="auto"/>
                <w:szCs w:val="21"/>
                <w:highlight w:val="none"/>
                <w:lang w:eastAsia="zh-CN"/>
              </w:rPr>
              <w:t>竞争性磋商文件</w:t>
            </w:r>
            <w:r>
              <w:rPr>
                <w:rFonts w:hint="eastAsia" w:ascii="宋体" w:hAnsi="宋体"/>
                <w:color w:val="auto"/>
                <w:szCs w:val="21"/>
                <w:highlight w:val="none"/>
              </w:rPr>
              <w:t>规定的格式填写，内容完整不得影响</w:t>
            </w:r>
            <w:r>
              <w:rPr>
                <w:rFonts w:hint="eastAsia" w:ascii="宋体" w:hAnsi="宋体"/>
                <w:color w:val="auto"/>
                <w:szCs w:val="21"/>
                <w:highlight w:val="none"/>
                <w:lang w:eastAsia="zh-CN"/>
              </w:rPr>
              <w:t>磋商响应文件</w:t>
            </w:r>
            <w:r>
              <w:rPr>
                <w:rFonts w:hint="eastAsia" w:ascii="宋体" w:hAnsi="宋体"/>
                <w:color w:val="auto"/>
                <w:szCs w:val="21"/>
                <w:highlight w:val="none"/>
              </w:rPr>
              <w:t>评审，且不得出现关键字迹模糊、无法辨认等情况。签字或盖章要求应符合</w:t>
            </w:r>
            <w:r>
              <w:rPr>
                <w:rFonts w:hint="eastAsia" w:ascii="宋体" w:hAnsi="宋体"/>
                <w:color w:val="auto"/>
                <w:szCs w:val="21"/>
                <w:highlight w:val="none"/>
                <w:lang w:eastAsia="zh-CN"/>
              </w:rPr>
              <w:t>竞争性磋商文件</w:t>
            </w:r>
            <w:r>
              <w:rPr>
                <w:rFonts w:hint="eastAsia" w:ascii="宋体" w:hAnsi="宋体"/>
                <w:color w:val="auto"/>
                <w:szCs w:val="21"/>
                <w:highlight w:val="none"/>
              </w:rPr>
              <w:t>规定的签字或盖章要求。</w:t>
            </w:r>
          </w:p>
        </w:tc>
        <w:tc>
          <w:tcPr>
            <w:tcW w:w="1115" w:type="dxa"/>
            <w:noWrap w:val="0"/>
            <w:vAlign w:val="center"/>
          </w:tcPr>
          <w:p>
            <w:pPr>
              <w:pageBreakBefore w:val="0"/>
              <w:kinsoku/>
              <w:wordWrap/>
              <w:overflowPunct/>
              <w:topLinePunct w:val="0"/>
              <w:autoSpaceDE/>
              <w:autoSpaceDN/>
              <w:bidi w:val="0"/>
              <w:spacing w:line="400" w:lineRule="exact"/>
              <w:jc w:val="center"/>
              <w:textAlignment w:val="auto"/>
              <w:rPr>
                <w:rFonts w:hint="eastAsia" w:ascii="Verdana" w:hAnsi="Verdana"/>
                <w:b/>
                <w:bCs/>
                <w:color w:val="auto"/>
                <w:szCs w:val="21"/>
                <w:highlight w:val="none"/>
              </w:rPr>
            </w:pPr>
          </w:p>
        </w:tc>
        <w:tc>
          <w:tcPr>
            <w:tcW w:w="1070" w:type="dxa"/>
            <w:noWrap w:val="0"/>
            <w:vAlign w:val="center"/>
          </w:tcPr>
          <w:p>
            <w:pPr>
              <w:pageBreakBefore w:val="0"/>
              <w:kinsoku/>
              <w:wordWrap/>
              <w:overflowPunct/>
              <w:topLinePunct w:val="0"/>
              <w:autoSpaceDE/>
              <w:autoSpaceDN/>
              <w:bidi w:val="0"/>
              <w:spacing w:line="400" w:lineRule="exact"/>
              <w:jc w:val="center"/>
              <w:textAlignment w:val="auto"/>
              <w:rPr>
                <w:rFonts w:hint="eastAsia" w:ascii="Verdana" w:hAnsi="Verdana"/>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exact"/>
          <w:jc w:val="center"/>
        </w:trPr>
        <w:tc>
          <w:tcPr>
            <w:tcW w:w="706" w:type="dxa"/>
            <w:noWrap w:val="0"/>
            <w:vAlign w:val="center"/>
          </w:tcPr>
          <w:p>
            <w:pPr>
              <w:adjustRightInd w:val="0"/>
              <w:snapToGrid w:val="0"/>
              <w:ind w:right="-11" w:rightChars="0"/>
              <w:jc w:val="center"/>
              <w:rPr>
                <w:rFonts w:hint="eastAsia" w:ascii="宋体" w:hAnsi="宋体"/>
                <w:color w:val="auto"/>
                <w:szCs w:val="21"/>
                <w:highlight w:val="none"/>
              </w:rPr>
            </w:pPr>
            <w:r>
              <w:rPr>
                <w:rFonts w:hint="eastAsia" w:ascii="宋体" w:hAnsi="宋体"/>
                <w:color w:val="auto"/>
                <w:szCs w:val="21"/>
                <w:highlight w:val="none"/>
                <w:lang w:val="en-US" w:eastAsia="zh-CN"/>
              </w:rPr>
              <w:t>8</w:t>
            </w:r>
          </w:p>
        </w:tc>
        <w:tc>
          <w:tcPr>
            <w:tcW w:w="1847" w:type="dxa"/>
            <w:noWrap w:val="0"/>
            <w:vAlign w:val="center"/>
          </w:tcPr>
          <w:p>
            <w:pPr>
              <w:adjustRightInd w:val="0"/>
              <w:snapToGrid w:val="0"/>
              <w:ind w:right="-11" w:rightChars="0"/>
              <w:jc w:val="center"/>
              <w:rPr>
                <w:rFonts w:hint="eastAsia" w:ascii="宋体" w:hAnsi="宋体"/>
                <w:color w:val="auto"/>
                <w:szCs w:val="21"/>
                <w:highlight w:val="none"/>
              </w:rPr>
            </w:pPr>
            <w:r>
              <w:rPr>
                <w:rFonts w:hint="eastAsia" w:ascii="宋体" w:hAnsi="宋体"/>
                <w:color w:val="auto"/>
                <w:szCs w:val="21"/>
                <w:highlight w:val="none"/>
              </w:rPr>
              <w:t>雷同性分析</w:t>
            </w:r>
          </w:p>
        </w:tc>
        <w:tc>
          <w:tcPr>
            <w:tcW w:w="446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right="-11" w:rightChars="0"/>
              <w:textAlignment w:val="auto"/>
              <w:rPr>
                <w:rFonts w:hint="eastAsia" w:ascii="宋体" w:hAnsi="宋体"/>
                <w:color w:val="auto"/>
                <w:szCs w:val="21"/>
                <w:highlight w:val="none"/>
              </w:rPr>
            </w:pPr>
            <w:r>
              <w:rPr>
                <w:rFonts w:hint="eastAsia" w:ascii="宋体" w:hAnsi="宋体"/>
                <w:color w:val="auto"/>
                <w:szCs w:val="21"/>
                <w:highlight w:val="none"/>
                <w:lang w:eastAsia="zh-CN"/>
              </w:rPr>
              <w:t>供应商磋商响应文件</w:t>
            </w:r>
            <w:r>
              <w:rPr>
                <w:rFonts w:hint="eastAsia" w:ascii="宋体" w:hAnsi="宋体"/>
                <w:color w:val="auto"/>
                <w:szCs w:val="21"/>
                <w:highlight w:val="none"/>
              </w:rPr>
              <w:t>制作机器码一致或</w:t>
            </w:r>
            <w:r>
              <w:rPr>
                <w:rFonts w:hint="eastAsia" w:ascii="宋体" w:hAnsi="宋体"/>
                <w:color w:val="auto"/>
                <w:szCs w:val="21"/>
                <w:highlight w:val="none"/>
                <w:lang w:eastAsia="zh-CN"/>
              </w:rPr>
              <w:t>磋商响应文件</w:t>
            </w:r>
            <w:r>
              <w:rPr>
                <w:rFonts w:hint="eastAsia" w:ascii="宋体" w:hAnsi="宋体"/>
                <w:color w:val="auto"/>
                <w:szCs w:val="21"/>
                <w:highlight w:val="none"/>
              </w:rPr>
              <w:t>创建标识码一致或造价软件加密锁号一致的将不予通过。</w:t>
            </w:r>
          </w:p>
        </w:tc>
        <w:tc>
          <w:tcPr>
            <w:tcW w:w="1115" w:type="dxa"/>
            <w:noWrap w:val="0"/>
            <w:vAlign w:val="center"/>
          </w:tcPr>
          <w:p>
            <w:pPr>
              <w:spacing w:line="300" w:lineRule="exact"/>
              <w:jc w:val="center"/>
              <w:rPr>
                <w:rFonts w:hint="eastAsia" w:ascii="Verdana" w:hAnsi="Verdana"/>
                <w:b/>
                <w:bCs/>
                <w:color w:val="auto"/>
                <w:szCs w:val="21"/>
                <w:highlight w:val="none"/>
              </w:rPr>
            </w:pPr>
          </w:p>
        </w:tc>
        <w:tc>
          <w:tcPr>
            <w:tcW w:w="1070" w:type="dxa"/>
            <w:noWrap w:val="0"/>
            <w:vAlign w:val="center"/>
          </w:tcPr>
          <w:p>
            <w:pPr>
              <w:spacing w:line="300" w:lineRule="exact"/>
              <w:jc w:val="center"/>
              <w:rPr>
                <w:rFonts w:hint="eastAsia" w:ascii="Verdana" w:hAnsi="Verdana"/>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exact"/>
          <w:jc w:val="center"/>
        </w:trPr>
        <w:tc>
          <w:tcPr>
            <w:tcW w:w="706" w:type="dxa"/>
            <w:noWrap w:val="0"/>
            <w:vAlign w:val="center"/>
          </w:tcPr>
          <w:p>
            <w:pPr>
              <w:adjustRightInd w:val="0"/>
              <w:snapToGrid w:val="0"/>
              <w:ind w:right="-11" w:rightChars="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9</w:t>
            </w:r>
          </w:p>
        </w:tc>
        <w:tc>
          <w:tcPr>
            <w:tcW w:w="1847"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auto"/>
                <w:kern w:val="10"/>
                <w:sz w:val="21"/>
                <w:szCs w:val="21"/>
                <w:highlight w:val="none"/>
                <w:lang w:val="en-US" w:eastAsia="zh-CN" w:bidi="ar-SA"/>
              </w:rPr>
            </w:pPr>
            <w:r>
              <w:rPr>
                <w:rFonts w:hint="eastAsia" w:ascii="宋体" w:hAnsi="宋体" w:cs="宋体"/>
                <w:color w:val="auto"/>
                <w:kern w:val="10"/>
                <w:sz w:val="21"/>
                <w:szCs w:val="21"/>
                <w:highlight w:val="none"/>
                <w:lang w:val="en-US" w:eastAsia="zh-CN"/>
              </w:rPr>
              <w:t>其他</w:t>
            </w:r>
          </w:p>
        </w:tc>
        <w:tc>
          <w:tcPr>
            <w:tcW w:w="44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color w:val="auto"/>
                <w:kern w:val="10"/>
                <w:sz w:val="21"/>
                <w:szCs w:val="21"/>
                <w:highlight w:val="none"/>
                <w:lang w:val="en-US" w:eastAsia="zh-CN" w:bidi="ar-SA"/>
              </w:rPr>
            </w:pPr>
            <w:r>
              <w:rPr>
                <w:rFonts w:hint="eastAsia" w:ascii="宋体" w:hAnsi="宋体"/>
                <w:szCs w:val="21"/>
                <w:highlight w:val="none"/>
              </w:rPr>
              <w:t>是否符合供应商资格中落实政府采购政策需满足的资格要求，提供中小企业声明函（见</w:t>
            </w:r>
            <w:r>
              <w:rPr>
                <w:rFonts w:hint="eastAsia" w:ascii="宋体" w:hAnsi="宋体"/>
                <w:szCs w:val="21"/>
                <w:highlight w:val="none"/>
                <w:lang w:eastAsia="zh-CN"/>
              </w:rPr>
              <w:t>磋商响应文件</w:t>
            </w:r>
            <w:r>
              <w:rPr>
                <w:rFonts w:hint="eastAsia" w:ascii="宋体" w:hAnsi="宋体"/>
                <w:szCs w:val="21"/>
                <w:highlight w:val="none"/>
              </w:rPr>
              <w:t>格式中）或残疾人福利性单位声明函或省级以上监狱管理局、戒毒管理局（含新疆生产建设兵团）出具的属于监狱企业的证明文件扫描件；若</w:t>
            </w:r>
            <w:r>
              <w:rPr>
                <w:rFonts w:hint="eastAsia" w:ascii="宋体" w:hAnsi="宋体"/>
                <w:szCs w:val="21"/>
                <w:highlight w:val="none"/>
                <w:lang w:eastAsia="zh-CN"/>
              </w:rPr>
              <w:t>供应商</w:t>
            </w:r>
            <w:r>
              <w:rPr>
                <w:rFonts w:hint="eastAsia" w:ascii="宋体" w:hAnsi="宋体"/>
                <w:szCs w:val="21"/>
                <w:highlight w:val="none"/>
              </w:rPr>
              <w:t>须知前附表中写明专门面向中小企业采购的，如</w:t>
            </w:r>
            <w:r>
              <w:rPr>
                <w:rFonts w:hint="eastAsia" w:ascii="宋体" w:hAnsi="宋体"/>
                <w:szCs w:val="21"/>
                <w:highlight w:val="none"/>
                <w:lang w:eastAsia="zh-CN"/>
              </w:rPr>
              <w:t>供应商</w:t>
            </w:r>
            <w:r>
              <w:rPr>
                <w:rFonts w:hint="eastAsia" w:ascii="宋体" w:hAnsi="宋体"/>
                <w:szCs w:val="21"/>
                <w:highlight w:val="none"/>
              </w:rPr>
              <w:t>提供的货物非中小微企业制造的，其</w:t>
            </w:r>
            <w:r>
              <w:rPr>
                <w:rFonts w:hint="eastAsia" w:ascii="宋体" w:hAnsi="宋体"/>
                <w:szCs w:val="21"/>
                <w:highlight w:val="none"/>
                <w:lang w:eastAsia="zh-CN"/>
              </w:rPr>
              <w:t>磋商响应</w:t>
            </w:r>
            <w:r>
              <w:rPr>
                <w:rFonts w:hint="eastAsia" w:ascii="宋体" w:hAnsi="宋体"/>
                <w:szCs w:val="21"/>
                <w:highlight w:val="none"/>
              </w:rPr>
              <w:t>将被认定为响应无效。对符合政府采购政策规定的监狱企业、残疾人福利单位，在政府采购活动中视同小微企业。</w:t>
            </w:r>
          </w:p>
        </w:tc>
        <w:tc>
          <w:tcPr>
            <w:tcW w:w="1115" w:type="dxa"/>
            <w:noWrap w:val="0"/>
            <w:vAlign w:val="center"/>
          </w:tcPr>
          <w:p>
            <w:pPr>
              <w:spacing w:line="300" w:lineRule="exact"/>
              <w:jc w:val="center"/>
              <w:rPr>
                <w:rFonts w:hint="eastAsia" w:ascii="Verdana" w:hAnsi="Verdana"/>
                <w:b/>
                <w:bCs/>
                <w:color w:val="auto"/>
                <w:szCs w:val="21"/>
                <w:highlight w:val="none"/>
              </w:rPr>
            </w:pPr>
          </w:p>
        </w:tc>
        <w:tc>
          <w:tcPr>
            <w:tcW w:w="1070" w:type="dxa"/>
            <w:noWrap w:val="0"/>
            <w:vAlign w:val="center"/>
          </w:tcPr>
          <w:p>
            <w:pPr>
              <w:spacing w:line="300" w:lineRule="exact"/>
              <w:jc w:val="center"/>
              <w:rPr>
                <w:rFonts w:hint="eastAsia" w:ascii="Verdana" w:hAnsi="Verdana"/>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exact"/>
          <w:jc w:val="center"/>
        </w:trPr>
        <w:tc>
          <w:tcPr>
            <w:tcW w:w="706" w:type="dxa"/>
            <w:noWrap w:val="0"/>
            <w:vAlign w:val="center"/>
          </w:tcPr>
          <w:p>
            <w:pPr>
              <w:adjustRightInd w:val="0"/>
              <w:snapToGrid w:val="0"/>
              <w:ind w:right="-11" w:rightChars="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10</w:t>
            </w:r>
          </w:p>
        </w:tc>
        <w:tc>
          <w:tcPr>
            <w:tcW w:w="1847" w:type="dxa"/>
            <w:noWrap w:val="0"/>
            <w:vAlign w:val="center"/>
          </w:tcPr>
          <w:p>
            <w:pPr>
              <w:pageBreakBefore w:val="0"/>
              <w:kinsoku/>
              <w:wordWrap/>
              <w:overflowPunct/>
              <w:topLinePunct w:val="0"/>
              <w:autoSpaceDE/>
              <w:autoSpaceDN/>
              <w:bidi w:val="0"/>
              <w:spacing w:line="400" w:lineRule="exact"/>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报价唯一</w:t>
            </w:r>
          </w:p>
        </w:tc>
        <w:tc>
          <w:tcPr>
            <w:tcW w:w="4462" w:type="dxa"/>
            <w:noWrap w:val="0"/>
            <w:vAlign w:val="center"/>
          </w:tcPr>
          <w:p>
            <w:pPr>
              <w:pageBreakBefore w:val="0"/>
              <w:kinsoku/>
              <w:wordWrap/>
              <w:overflowPunct/>
              <w:topLinePunct w:val="0"/>
              <w:autoSpaceDE/>
              <w:autoSpaceDN/>
              <w:bidi w:val="0"/>
              <w:spacing w:line="400" w:lineRule="exact"/>
              <w:textAlignment w:val="auto"/>
              <w:rPr>
                <w:rFonts w:hint="eastAsia" w:ascii="Times New Roman" w:hAnsi="Times New Roman" w:eastAsia="宋体" w:cs="Times New Roman"/>
                <w:color w:val="auto"/>
                <w:kern w:val="2"/>
                <w:sz w:val="20"/>
                <w:szCs w:val="22"/>
                <w:highlight w:val="none"/>
                <w:lang w:val="en-US" w:eastAsia="zh-CN" w:bidi="ar-SA"/>
              </w:rPr>
            </w:pPr>
            <w:r>
              <w:rPr>
                <w:rFonts w:hint="eastAsia"/>
                <w:color w:val="auto"/>
                <w:highlight w:val="none"/>
              </w:rPr>
              <w:t>只能有一个有效报价</w:t>
            </w:r>
          </w:p>
        </w:tc>
        <w:tc>
          <w:tcPr>
            <w:tcW w:w="1115" w:type="dxa"/>
            <w:noWrap w:val="0"/>
            <w:vAlign w:val="center"/>
          </w:tcPr>
          <w:p>
            <w:pPr>
              <w:spacing w:line="300" w:lineRule="exact"/>
              <w:jc w:val="center"/>
              <w:rPr>
                <w:rFonts w:hint="eastAsia" w:ascii="Verdana" w:hAnsi="Verdana"/>
                <w:b/>
                <w:bCs/>
                <w:color w:val="auto"/>
                <w:szCs w:val="21"/>
                <w:highlight w:val="none"/>
              </w:rPr>
            </w:pPr>
          </w:p>
        </w:tc>
        <w:tc>
          <w:tcPr>
            <w:tcW w:w="1070" w:type="dxa"/>
            <w:noWrap w:val="0"/>
            <w:vAlign w:val="center"/>
          </w:tcPr>
          <w:p>
            <w:pPr>
              <w:spacing w:line="300" w:lineRule="exact"/>
              <w:jc w:val="center"/>
              <w:rPr>
                <w:rFonts w:hint="eastAsia" w:ascii="Verdana" w:hAnsi="Verdana"/>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exact"/>
          <w:jc w:val="center"/>
        </w:trPr>
        <w:tc>
          <w:tcPr>
            <w:tcW w:w="706" w:type="dxa"/>
            <w:noWrap w:val="0"/>
            <w:vAlign w:val="center"/>
          </w:tcPr>
          <w:p>
            <w:pPr>
              <w:adjustRightInd w:val="0"/>
              <w:snapToGrid w:val="0"/>
              <w:ind w:right="-11" w:rightChars="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11</w:t>
            </w:r>
          </w:p>
        </w:tc>
        <w:tc>
          <w:tcPr>
            <w:tcW w:w="1847" w:type="dxa"/>
            <w:noWrap w:val="0"/>
            <w:vAlign w:val="center"/>
          </w:tcPr>
          <w:p>
            <w:pPr>
              <w:pageBreakBefore w:val="0"/>
              <w:kinsoku/>
              <w:wordWrap/>
              <w:overflowPunct/>
              <w:topLinePunct w:val="0"/>
              <w:autoSpaceDE/>
              <w:autoSpaceDN/>
              <w:bidi w:val="0"/>
              <w:spacing w:line="400" w:lineRule="exact"/>
              <w:jc w:val="center"/>
              <w:textAlignment w:val="auto"/>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查验</w:t>
            </w:r>
          </w:p>
        </w:tc>
        <w:tc>
          <w:tcPr>
            <w:tcW w:w="4462" w:type="dxa"/>
            <w:noWrap w:val="0"/>
            <w:vAlign w:val="center"/>
          </w:tcPr>
          <w:p>
            <w:pPr>
              <w:pageBreakBefore w:val="0"/>
              <w:kinsoku/>
              <w:wordWrap/>
              <w:overflowPunct/>
              <w:topLinePunct w:val="0"/>
              <w:autoSpaceDE/>
              <w:autoSpaceDN/>
              <w:bidi w:val="0"/>
              <w:spacing w:line="400" w:lineRule="exact"/>
              <w:textAlignment w:val="auto"/>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开标现场各项查验合格；</w:t>
            </w:r>
          </w:p>
        </w:tc>
        <w:tc>
          <w:tcPr>
            <w:tcW w:w="1115" w:type="dxa"/>
            <w:noWrap w:val="0"/>
            <w:vAlign w:val="center"/>
          </w:tcPr>
          <w:p>
            <w:pPr>
              <w:spacing w:line="300" w:lineRule="exact"/>
              <w:jc w:val="center"/>
              <w:rPr>
                <w:rFonts w:hint="eastAsia" w:ascii="Verdana" w:hAnsi="Verdana"/>
                <w:b/>
                <w:bCs/>
                <w:color w:val="auto"/>
                <w:szCs w:val="21"/>
                <w:highlight w:val="none"/>
              </w:rPr>
            </w:pPr>
          </w:p>
        </w:tc>
        <w:tc>
          <w:tcPr>
            <w:tcW w:w="1070" w:type="dxa"/>
            <w:noWrap w:val="0"/>
            <w:vAlign w:val="center"/>
          </w:tcPr>
          <w:p>
            <w:pPr>
              <w:spacing w:line="300" w:lineRule="exact"/>
              <w:jc w:val="center"/>
              <w:rPr>
                <w:rFonts w:hint="eastAsia" w:ascii="Verdana" w:hAnsi="Verdana"/>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706" w:type="dxa"/>
            <w:noWrap w:val="0"/>
            <w:vAlign w:val="center"/>
          </w:tcPr>
          <w:p>
            <w:pPr>
              <w:adjustRightInd w:val="0"/>
              <w:snapToGrid w:val="0"/>
              <w:ind w:right="-11" w:rightChars="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12</w:t>
            </w:r>
          </w:p>
        </w:tc>
        <w:tc>
          <w:tcPr>
            <w:tcW w:w="1847" w:type="dxa"/>
            <w:noWrap w:val="0"/>
            <w:vAlign w:val="center"/>
          </w:tcPr>
          <w:p>
            <w:pPr>
              <w:pageBreakBefore w:val="0"/>
              <w:kinsoku/>
              <w:wordWrap/>
              <w:overflowPunct/>
              <w:topLinePunct w:val="0"/>
              <w:autoSpaceDE/>
              <w:autoSpaceDN/>
              <w:bidi w:val="0"/>
              <w:spacing w:line="400" w:lineRule="exact"/>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工期</w:t>
            </w:r>
          </w:p>
        </w:tc>
        <w:tc>
          <w:tcPr>
            <w:tcW w:w="4462" w:type="dxa"/>
            <w:noWrap w:val="0"/>
            <w:vAlign w:val="center"/>
          </w:tcPr>
          <w:p>
            <w:pPr>
              <w:pageBreakBefore w:val="0"/>
              <w:kinsoku/>
              <w:wordWrap/>
              <w:overflowPunct/>
              <w:topLinePunct w:val="0"/>
              <w:autoSpaceDE/>
              <w:autoSpaceDN/>
              <w:bidi w:val="0"/>
              <w:spacing w:line="400" w:lineRule="exac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符合</w:t>
            </w:r>
            <w:r>
              <w:rPr>
                <w:rFonts w:hint="eastAsia"/>
                <w:color w:val="auto"/>
                <w:highlight w:val="none"/>
                <w:lang w:eastAsia="zh-CN"/>
              </w:rPr>
              <w:t>竞争性磋商文件</w:t>
            </w:r>
            <w:r>
              <w:rPr>
                <w:rFonts w:hint="eastAsia"/>
                <w:color w:val="auto"/>
                <w:highlight w:val="none"/>
              </w:rPr>
              <w:t>的相关规定</w:t>
            </w:r>
          </w:p>
        </w:tc>
        <w:tc>
          <w:tcPr>
            <w:tcW w:w="1115" w:type="dxa"/>
            <w:noWrap w:val="0"/>
            <w:vAlign w:val="center"/>
          </w:tcPr>
          <w:p>
            <w:pPr>
              <w:spacing w:line="300" w:lineRule="exact"/>
              <w:jc w:val="center"/>
              <w:rPr>
                <w:rFonts w:hint="eastAsia" w:ascii="Verdana" w:hAnsi="Verdana"/>
                <w:b/>
                <w:bCs/>
                <w:color w:val="auto"/>
                <w:szCs w:val="21"/>
                <w:highlight w:val="none"/>
              </w:rPr>
            </w:pPr>
          </w:p>
        </w:tc>
        <w:tc>
          <w:tcPr>
            <w:tcW w:w="1070" w:type="dxa"/>
            <w:noWrap w:val="0"/>
            <w:vAlign w:val="center"/>
          </w:tcPr>
          <w:p>
            <w:pPr>
              <w:spacing w:line="300" w:lineRule="exact"/>
              <w:jc w:val="center"/>
              <w:rPr>
                <w:rFonts w:hint="eastAsia" w:ascii="Verdana" w:hAnsi="Verdana"/>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706" w:type="dxa"/>
            <w:noWrap w:val="0"/>
            <w:vAlign w:val="center"/>
          </w:tcPr>
          <w:p>
            <w:pPr>
              <w:adjustRightInd w:val="0"/>
              <w:snapToGrid w:val="0"/>
              <w:ind w:right="-11" w:rightChars="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13</w:t>
            </w:r>
          </w:p>
        </w:tc>
        <w:tc>
          <w:tcPr>
            <w:tcW w:w="1847" w:type="dxa"/>
            <w:noWrap w:val="0"/>
            <w:vAlign w:val="center"/>
          </w:tcPr>
          <w:p>
            <w:pPr>
              <w:pageBreakBefore w:val="0"/>
              <w:kinsoku/>
              <w:wordWrap/>
              <w:overflowPunct/>
              <w:topLinePunct w:val="0"/>
              <w:autoSpaceDE/>
              <w:autoSpaceDN/>
              <w:bidi w:val="0"/>
              <w:spacing w:line="400" w:lineRule="exact"/>
              <w:jc w:val="center"/>
              <w:textAlignment w:val="auto"/>
              <w:rPr>
                <w:rFonts w:hint="eastAsia"/>
                <w:color w:val="auto"/>
                <w:highlight w:val="none"/>
              </w:rPr>
            </w:pPr>
            <w:r>
              <w:rPr>
                <w:rFonts w:hint="eastAsia"/>
                <w:color w:val="auto"/>
                <w:highlight w:val="none"/>
              </w:rPr>
              <w:t>暂</w:t>
            </w:r>
            <w:r>
              <w:rPr>
                <w:rFonts w:hint="eastAsia"/>
                <w:color w:val="auto"/>
                <w:highlight w:val="none"/>
                <w:lang w:eastAsia="zh-CN"/>
              </w:rPr>
              <w:t>列</w:t>
            </w:r>
            <w:r>
              <w:rPr>
                <w:rFonts w:hint="eastAsia"/>
                <w:color w:val="auto"/>
                <w:highlight w:val="none"/>
              </w:rPr>
              <w:t>金额、暂</w:t>
            </w:r>
            <w:r>
              <w:rPr>
                <w:rFonts w:hint="eastAsia"/>
                <w:color w:val="auto"/>
                <w:highlight w:val="none"/>
                <w:lang w:eastAsia="zh-CN"/>
              </w:rPr>
              <w:t>估</w:t>
            </w:r>
            <w:r>
              <w:rPr>
                <w:rFonts w:hint="eastAsia"/>
                <w:color w:val="auto"/>
                <w:highlight w:val="none"/>
              </w:rPr>
              <w:t>价</w:t>
            </w:r>
          </w:p>
        </w:tc>
        <w:tc>
          <w:tcPr>
            <w:tcW w:w="4462" w:type="dxa"/>
            <w:noWrap w:val="0"/>
            <w:vAlign w:val="center"/>
          </w:tcPr>
          <w:p>
            <w:pPr>
              <w:pageBreakBefore w:val="0"/>
              <w:kinsoku/>
              <w:wordWrap/>
              <w:overflowPunct/>
              <w:topLinePunct w:val="0"/>
              <w:autoSpaceDE/>
              <w:autoSpaceDN/>
              <w:bidi w:val="0"/>
              <w:spacing w:line="400" w:lineRule="exact"/>
              <w:textAlignment w:val="auto"/>
              <w:rPr>
                <w:rFonts w:hint="eastAsia"/>
                <w:color w:val="auto"/>
                <w:highlight w:val="none"/>
              </w:rPr>
            </w:pPr>
            <w:r>
              <w:rPr>
                <w:rFonts w:hint="eastAsia"/>
                <w:color w:val="auto"/>
                <w:highlight w:val="none"/>
                <w:lang w:val="en-US" w:eastAsia="zh-CN"/>
              </w:rPr>
              <w:t>磋商</w:t>
            </w:r>
            <w:r>
              <w:rPr>
                <w:rFonts w:hint="eastAsia"/>
                <w:color w:val="auto"/>
                <w:highlight w:val="none"/>
              </w:rPr>
              <w:t>总报价中暂</w:t>
            </w:r>
            <w:r>
              <w:rPr>
                <w:rFonts w:hint="eastAsia"/>
                <w:color w:val="auto"/>
                <w:highlight w:val="none"/>
                <w:lang w:eastAsia="zh-CN"/>
              </w:rPr>
              <w:t>列</w:t>
            </w:r>
            <w:r>
              <w:rPr>
                <w:rFonts w:hint="eastAsia"/>
                <w:color w:val="auto"/>
                <w:highlight w:val="none"/>
              </w:rPr>
              <w:t>金额、暂</w:t>
            </w:r>
            <w:r>
              <w:rPr>
                <w:rFonts w:hint="eastAsia"/>
                <w:color w:val="auto"/>
                <w:highlight w:val="none"/>
                <w:lang w:eastAsia="zh-CN"/>
              </w:rPr>
              <w:t>估</w:t>
            </w:r>
            <w:r>
              <w:rPr>
                <w:rFonts w:hint="eastAsia"/>
                <w:color w:val="auto"/>
                <w:highlight w:val="none"/>
              </w:rPr>
              <w:t>价与招标工程量清单及</w:t>
            </w:r>
            <w:r>
              <w:rPr>
                <w:rFonts w:hint="eastAsia"/>
                <w:color w:val="auto"/>
                <w:highlight w:val="none"/>
                <w:lang w:eastAsia="zh-CN"/>
              </w:rPr>
              <w:t>最高磋商限价</w:t>
            </w:r>
            <w:r>
              <w:rPr>
                <w:rFonts w:hint="eastAsia"/>
                <w:color w:val="auto"/>
                <w:highlight w:val="none"/>
              </w:rPr>
              <w:t>中一致</w:t>
            </w:r>
          </w:p>
        </w:tc>
        <w:tc>
          <w:tcPr>
            <w:tcW w:w="1115" w:type="dxa"/>
            <w:noWrap w:val="0"/>
            <w:vAlign w:val="center"/>
          </w:tcPr>
          <w:p>
            <w:pPr>
              <w:spacing w:line="300" w:lineRule="exact"/>
              <w:jc w:val="center"/>
              <w:rPr>
                <w:rFonts w:hint="eastAsia" w:ascii="Verdana" w:hAnsi="Verdana"/>
                <w:b/>
                <w:bCs/>
                <w:color w:val="auto"/>
                <w:szCs w:val="21"/>
                <w:highlight w:val="none"/>
              </w:rPr>
            </w:pPr>
          </w:p>
        </w:tc>
        <w:tc>
          <w:tcPr>
            <w:tcW w:w="1070" w:type="dxa"/>
            <w:noWrap w:val="0"/>
            <w:vAlign w:val="center"/>
          </w:tcPr>
          <w:p>
            <w:pPr>
              <w:spacing w:line="300" w:lineRule="exact"/>
              <w:jc w:val="center"/>
              <w:rPr>
                <w:rFonts w:hint="eastAsia" w:ascii="Verdana" w:hAnsi="Verdana"/>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exact"/>
          <w:jc w:val="center"/>
        </w:trPr>
        <w:tc>
          <w:tcPr>
            <w:tcW w:w="706" w:type="dxa"/>
            <w:noWrap w:val="0"/>
            <w:vAlign w:val="center"/>
          </w:tcPr>
          <w:p>
            <w:pPr>
              <w:adjustRightInd w:val="0"/>
              <w:snapToGrid w:val="0"/>
              <w:ind w:right="-11" w:rightChars="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14</w:t>
            </w:r>
          </w:p>
        </w:tc>
        <w:tc>
          <w:tcPr>
            <w:tcW w:w="1847" w:type="dxa"/>
            <w:noWrap w:val="0"/>
            <w:vAlign w:val="center"/>
          </w:tcPr>
          <w:p>
            <w:pPr>
              <w:pageBreakBefore w:val="0"/>
              <w:kinsoku/>
              <w:wordWrap/>
              <w:overflowPunct/>
              <w:topLinePunct w:val="0"/>
              <w:autoSpaceDE/>
              <w:autoSpaceDN/>
              <w:bidi w:val="0"/>
              <w:spacing w:line="400" w:lineRule="exact"/>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己标价工程量清单</w:t>
            </w:r>
          </w:p>
        </w:tc>
        <w:tc>
          <w:tcPr>
            <w:tcW w:w="4462" w:type="dxa"/>
            <w:noWrap w:val="0"/>
            <w:vAlign w:val="center"/>
          </w:tcPr>
          <w:p>
            <w:pPr>
              <w:pageBreakBefore w:val="0"/>
              <w:kinsoku/>
              <w:wordWrap/>
              <w:overflowPunct/>
              <w:topLinePunct w:val="0"/>
              <w:autoSpaceDE/>
              <w:autoSpaceDN/>
              <w:bidi w:val="0"/>
              <w:spacing w:line="400" w:lineRule="exac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未对“工程量清单”项目编码、项目名称、计量单位、工程量进行修改和删减</w:t>
            </w:r>
          </w:p>
        </w:tc>
        <w:tc>
          <w:tcPr>
            <w:tcW w:w="1115" w:type="dxa"/>
            <w:noWrap w:val="0"/>
            <w:vAlign w:val="center"/>
          </w:tcPr>
          <w:p>
            <w:pPr>
              <w:spacing w:line="300" w:lineRule="exact"/>
              <w:jc w:val="center"/>
              <w:rPr>
                <w:rFonts w:hint="eastAsia" w:ascii="Verdana" w:hAnsi="Verdana"/>
                <w:b/>
                <w:bCs/>
                <w:color w:val="auto"/>
                <w:szCs w:val="21"/>
                <w:highlight w:val="none"/>
              </w:rPr>
            </w:pPr>
          </w:p>
        </w:tc>
        <w:tc>
          <w:tcPr>
            <w:tcW w:w="1070" w:type="dxa"/>
            <w:noWrap w:val="0"/>
            <w:vAlign w:val="center"/>
          </w:tcPr>
          <w:p>
            <w:pPr>
              <w:spacing w:line="300" w:lineRule="exact"/>
              <w:jc w:val="center"/>
              <w:rPr>
                <w:rFonts w:hint="eastAsia" w:ascii="Verdana" w:hAnsi="Verdana"/>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exact"/>
          <w:jc w:val="center"/>
        </w:trPr>
        <w:tc>
          <w:tcPr>
            <w:tcW w:w="706" w:type="dxa"/>
            <w:noWrap w:val="0"/>
            <w:vAlign w:val="center"/>
          </w:tcPr>
          <w:p>
            <w:pPr>
              <w:adjustRightInd w:val="0"/>
              <w:snapToGrid w:val="0"/>
              <w:ind w:right="-11" w:rightChars="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15</w:t>
            </w:r>
          </w:p>
        </w:tc>
        <w:tc>
          <w:tcPr>
            <w:tcW w:w="1847" w:type="dxa"/>
            <w:noWrap w:val="0"/>
            <w:vAlign w:val="center"/>
          </w:tcPr>
          <w:p>
            <w:pPr>
              <w:pageBreakBefore w:val="0"/>
              <w:kinsoku/>
              <w:wordWrap/>
              <w:overflowPunct/>
              <w:topLinePunct w:val="0"/>
              <w:autoSpaceDE/>
              <w:autoSpaceDN/>
              <w:bidi w:val="0"/>
              <w:spacing w:line="400" w:lineRule="exact"/>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不可竞争费</w:t>
            </w:r>
          </w:p>
        </w:tc>
        <w:tc>
          <w:tcPr>
            <w:tcW w:w="4462" w:type="dxa"/>
            <w:noWrap w:val="0"/>
            <w:vAlign w:val="center"/>
          </w:tcPr>
          <w:p>
            <w:pPr>
              <w:pageBreakBefore w:val="0"/>
              <w:kinsoku/>
              <w:wordWrap/>
              <w:overflowPunct/>
              <w:topLinePunct w:val="0"/>
              <w:autoSpaceDE/>
              <w:autoSpaceDN/>
              <w:bidi w:val="0"/>
              <w:spacing w:line="400" w:lineRule="exact"/>
              <w:textAlignment w:val="auto"/>
              <w:rPr>
                <w:color w:val="auto"/>
                <w:highlight w:val="none"/>
              </w:rPr>
            </w:pPr>
            <w:r>
              <w:rPr>
                <w:rFonts w:hint="eastAsia"/>
                <w:color w:val="auto"/>
                <w:highlight w:val="none"/>
              </w:rPr>
              <w:t>1、不可竞争费的费率、税金的费率必须与最高投标限价中相应费率一致。</w:t>
            </w:r>
          </w:p>
          <w:p>
            <w:pPr>
              <w:pageBreakBefore w:val="0"/>
              <w:kinsoku/>
              <w:wordWrap/>
              <w:overflowPunct/>
              <w:topLinePunct w:val="0"/>
              <w:autoSpaceDE/>
              <w:autoSpaceDN/>
              <w:bidi w:val="0"/>
              <w:spacing w:line="400" w:lineRule="exac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2、安徽省建设工程造价管理总站《关于调整安徽省建设工程不可竞争费构成及计费标准的通知》（建标〔2021〕42号）。</w:t>
            </w:r>
          </w:p>
        </w:tc>
        <w:tc>
          <w:tcPr>
            <w:tcW w:w="1115" w:type="dxa"/>
            <w:noWrap w:val="0"/>
            <w:vAlign w:val="center"/>
          </w:tcPr>
          <w:p>
            <w:pPr>
              <w:spacing w:line="300" w:lineRule="exact"/>
              <w:jc w:val="center"/>
              <w:rPr>
                <w:rFonts w:hint="eastAsia" w:ascii="Verdana" w:hAnsi="Verdana"/>
                <w:b/>
                <w:bCs/>
                <w:color w:val="auto"/>
                <w:szCs w:val="21"/>
                <w:highlight w:val="none"/>
              </w:rPr>
            </w:pPr>
          </w:p>
        </w:tc>
        <w:tc>
          <w:tcPr>
            <w:tcW w:w="1070" w:type="dxa"/>
            <w:noWrap w:val="0"/>
            <w:vAlign w:val="center"/>
          </w:tcPr>
          <w:p>
            <w:pPr>
              <w:spacing w:line="300" w:lineRule="exact"/>
              <w:jc w:val="center"/>
              <w:rPr>
                <w:rFonts w:hint="eastAsia" w:ascii="Verdana" w:hAnsi="Verdana"/>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exact"/>
          <w:jc w:val="center"/>
        </w:trPr>
        <w:tc>
          <w:tcPr>
            <w:tcW w:w="706" w:type="dxa"/>
            <w:noWrap w:val="0"/>
            <w:vAlign w:val="center"/>
          </w:tcPr>
          <w:p>
            <w:pPr>
              <w:adjustRightInd w:val="0"/>
              <w:snapToGrid w:val="0"/>
              <w:ind w:right="-11" w:rightChars="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16</w:t>
            </w:r>
          </w:p>
        </w:tc>
        <w:tc>
          <w:tcPr>
            <w:tcW w:w="1847" w:type="dxa"/>
            <w:noWrap w:val="0"/>
            <w:vAlign w:val="center"/>
          </w:tcPr>
          <w:p>
            <w:pPr>
              <w:pageBreakBefore w:val="0"/>
              <w:kinsoku/>
              <w:wordWrap/>
              <w:overflowPunct/>
              <w:topLinePunct w:val="0"/>
              <w:autoSpaceDE/>
              <w:autoSpaceDN/>
              <w:bidi w:val="0"/>
              <w:spacing w:line="400" w:lineRule="exact"/>
              <w:jc w:val="center"/>
              <w:textAlignment w:val="auto"/>
              <w:rPr>
                <w:rFonts w:hint="eastAsia"/>
                <w:color w:val="auto"/>
                <w:highlight w:val="none"/>
              </w:rPr>
            </w:pPr>
            <w:r>
              <w:rPr>
                <w:rFonts w:hint="eastAsia" w:ascii="Dotum" w:hAnsi="Dotum"/>
                <w:szCs w:val="21"/>
                <w:highlight w:val="none"/>
              </w:rPr>
              <w:t>响应文件是否存在磋商文件中约定的无效响应文件的其他情况</w:t>
            </w:r>
          </w:p>
        </w:tc>
        <w:tc>
          <w:tcPr>
            <w:tcW w:w="4462" w:type="dxa"/>
            <w:noWrap w:val="0"/>
            <w:vAlign w:val="center"/>
          </w:tcPr>
          <w:p>
            <w:pPr>
              <w:pageBreakBefore w:val="0"/>
              <w:kinsoku/>
              <w:wordWrap/>
              <w:overflowPunct/>
              <w:topLinePunct w:val="0"/>
              <w:autoSpaceDE/>
              <w:autoSpaceDN/>
              <w:bidi w:val="0"/>
              <w:spacing w:line="400" w:lineRule="exact"/>
              <w:textAlignment w:val="auto"/>
              <w:rPr>
                <w:rFonts w:hint="eastAsia"/>
                <w:color w:val="auto"/>
                <w:highlight w:val="none"/>
              </w:rPr>
            </w:pPr>
            <w:r>
              <w:rPr>
                <w:rFonts w:hint="eastAsia" w:ascii="Dotum" w:hAnsi="Dotum"/>
                <w:szCs w:val="21"/>
                <w:highlight w:val="none"/>
              </w:rPr>
              <w:t>响应文件是否存在磋商文件中约定的无效响应文件的其他情况</w:t>
            </w:r>
          </w:p>
        </w:tc>
        <w:tc>
          <w:tcPr>
            <w:tcW w:w="1115" w:type="dxa"/>
            <w:noWrap w:val="0"/>
            <w:vAlign w:val="center"/>
          </w:tcPr>
          <w:p>
            <w:pPr>
              <w:spacing w:line="300" w:lineRule="exact"/>
              <w:jc w:val="center"/>
              <w:rPr>
                <w:rFonts w:hint="eastAsia" w:ascii="Verdana" w:hAnsi="Verdana"/>
                <w:b/>
                <w:bCs/>
                <w:color w:val="auto"/>
                <w:szCs w:val="21"/>
                <w:highlight w:val="none"/>
              </w:rPr>
            </w:pPr>
          </w:p>
        </w:tc>
        <w:tc>
          <w:tcPr>
            <w:tcW w:w="1070" w:type="dxa"/>
            <w:noWrap w:val="0"/>
            <w:vAlign w:val="center"/>
          </w:tcPr>
          <w:p>
            <w:pPr>
              <w:spacing w:line="300" w:lineRule="exact"/>
              <w:jc w:val="center"/>
              <w:rPr>
                <w:rFonts w:hint="eastAsia" w:ascii="Verdana" w:hAnsi="Verdana"/>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exact"/>
          <w:jc w:val="center"/>
        </w:trPr>
        <w:tc>
          <w:tcPr>
            <w:tcW w:w="706" w:type="dxa"/>
            <w:noWrap w:val="0"/>
            <w:vAlign w:val="center"/>
          </w:tcPr>
          <w:p>
            <w:pPr>
              <w:adjustRightInd w:val="0"/>
              <w:snapToGrid w:val="0"/>
              <w:ind w:right="-11" w:rightChars="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17</w:t>
            </w:r>
          </w:p>
        </w:tc>
        <w:tc>
          <w:tcPr>
            <w:tcW w:w="1847" w:type="dxa"/>
            <w:noWrap w:val="0"/>
            <w:vAlign w:val="center"/>
          </w:tcPr>
          <w:p>
            <w:pPr>
              <w:pageBreakBefore w:val="0"/>
              <w:kinsoku/>
              <w:wordWrap/>
              <w:overflowPunct/>
              <w:topLinePunct w:val="0"/>
              <w:autoSpaceDE/>
              <w:autoSpaceDN/>
              <w:bidi w:val="0"/>
              <w:spacing w:line="400" w:lineRule="exact"/>
              <w:jc w:val="center"/>
              <w:textAlignment w:val="auto"/>
              <w:rPr>
                <w:rFonts w:hint="eastAsia"/>
                <w:color w:val="auto"/>
                <w:highlight w:val="none"/>
              </w:rPr>
            </w:pPr>
            <w:r>
              <w:rPr>
                <w:rFonts w:hint="eastAsia" w:ascii="Dotum" w:hAnsi="Dotum"/>
                <w:szCs w:val="21"/>
                <w:highlight w:val="none"/>
              </w:rPr>
              <w:t>响应文件是否符合磋商文件</w:t>
            </w:r>
          </w:p>
        </w:tc>
        <w:tc>
          <w:tcPr>
            <w:tcW w:w="4462" w:type="dxa"/>
            <w:noWrap w:val="0"/>
            <w:vAlign w:val="center"/>
          </w:tcPr>
          <w:p>
            <w:pPr>
              <w:pageBreakBefore w:val="0"/>
              <w:kinsoku/>
              <w:wordWrap/>
              <w:overflowPunct/>
              <w:topLinePunct w:val="0"/>
              <w:autoSpaceDE/>
              <w:autoSpaceDN/>
              <w:bidi w:val="0"/>
              <w:spacing w:line="400" w:lineRule="exact"/>
              <w:textAlignment w:val="auto"/>
              <w:rPr>
                <w:rFonts w:hint="eastAsia"/>
                <w:color w:val="auto"/>
                <w:highlight w:val="none"/>
              </w:rPr>
            </w:pPr>
            <w:r>
              <w:rPr>
                <w:rFonts w:hint="eastAsia" w:ascii="Dotum" w:hAnsi="Dotum"/>
                <w:szCs w:val="21"/>
                <w:highlight w:val="none"/>
              </w:rPr>
              <w:t>响应文件是否符合磋商文件</w:t>
            </w:r>
          </w:p>
        </w:tc>
        <w:tc>
          <w:tcPr>
            <w:tcW w:w="1115" w:type="dxa"/>
            <w:noWrap w:val="0"/>
            <w:vAlign w:val="center"/>
          </w:tcPr>
          <w:p>
            <w:pPr>
              <w:spacing w:line="300" w:lineRule="exact"/>
              <w:jc w:val="center"/>
              <w:rPr>
                <w:rFonts w:hint="eastAsia" w:ascii="Verdana" w:hAnsi="Verdana"/>
                <w:b/>
                <w:bCs/>
                <w:color w:val="auto"/>
                <w:szCs w:val="21"/>
                <w:highlight w:val="none"/>
              </w:rPr>
            </w:pPr>
          </w:p>
        </w:tc>
        <w:tc>
          <w:tcPr>
            <w:tcW w:w="1070" w:type="dxa"/>
            <w:noWrap w:val="0"/>
            <w:vAlign w:val="center"/>
          </w:tcPr>
          <w:p>
            <w:pPr>
              <w:spacing w:line="300" w:lineRule="exact"/>
              <w:jc w:val="center"/>
              <w:rPr>
                <w:rFonts w:hint="eastAsia" w:ascii="Verdana" w:hAnsi="Verdana"/>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2553" w:type="dxa"/>
            <w:gridSpan w:val="2"/>
            <w:noWrap w:val="0"/>
            <w:vAlign w:val="center"/>
          </w:tcPr>
          <w:p>
            <w:pPr>
              <w:pageBreakBefore w:val="0"/>
              <w:kinsoku/>
              <w:wordWrap/>
              <w:overflowPunct/>
              <w:topLinePunct w:val="0"/>
              <w:autoSpaceDE/>
              <w:autoSpaceDN/>
              <w:bidi w:val="0"/>
              <w:spacing w:line="400" w:lineRule="exact"/>
              <w:jc w:val="center"/>
              <w:textAlignment w:val="auto"/>
              <w:rPr>
                <w:rFonts w:hint="eastAsia" w:ascii="Verdana" w:hAnsi="Verdana"/>
                <w:b/>
                <w:bCs/>
                <w:color w:val="auto"/>
                <w:szCs w:val="21"/>
                <w:highlight w:val="none"/>
              </w:rPr>
            </w:pPr>
            <w:r>
              <w:rPr>
                <w:rFonts w:hint="eastAsia" w:ascii="Verdana" w:hAnsi="Verdana"/>
                <w:b/>
                <w:bCs/>
                <w:color w:val="auto"/>
                <w:szCs w:val="21"/>
                <w:highlight w:val="none"/>
              </w:rPr>
              <w:t>评审结论</w:t>
            </w:r>
          </w:p>
        </w:tc>
        <w:tc>
          <w:tcPr>
            <w:tcW w:w="4462" w:type="dxa"/>
            <w:noWrap w:val="0"/>
            <w:vAlign w:val="center"/>
          </w:tcPr>
          <w:p>
            <w:pPr>
              <w:pageBreakBefore w:val="0"/>
              <w:kinsoku/>
              <w:wordWrap/>
              <w:overflowPunct/>
              <w:topLinePunct w:val="0"/>
              <w:autoSpaceDE/>
              <w:autoSpaceDN/>
              <w:bidi w:val="0"/>
              <w:spacing w:line="400" w:lineRule="exact"/>
              <w:jc w:val="center"/>
              <w:textAlignment w:val="auto"/>
              <w:rPr>
                <w:rFonts w:hint="eastAsia" w:ascii="Verdana" w:hAnsi="Verdana"/>
                <w:b/>
                <w:bCs/>
                <w:color w:val="auto"/>
                <w:szCs w:val="21"/>
                <w:highlight w:val="none"/>
              </w:rPr>
            </w:pPr>
            <w:r>
              <w:rPr>
                <w:rFonts w:hint="eastAsia" w:ascii="Verdana" w:hAnsi="Verdana"/>
                <w:color w:val="auto"/>
                <w:szCs w:val="21"/>
                <w:highlight w:val="none"/>
              </w:rPr>
              <w:t>全部通过为合格</w:t>
            </w:r>
          </w:p>
        </w:tc>
        <w:tc>
          <w:tcPr>
            <w:tcW w:w="1115" w:type="dxa"/>
            <w:noWrap w:val="0"/>
            <w:vAlign w:val="center"/>
          </w:tcPr>
          <w:p>
            <w:pPr>
              <w:pageBreakBefore w:val="0"/>
              <w:kinsoku/>
              <w:wordWrap/>
              <w:overflowPunct/>
              <w:topLinePunct w:val="0"/>
              <w:autoSpaceDE/>
              <w:autoSpaceDN/>
              <w:bidi w:val="0"/>
              <w:spacing w:line="400" w:lineRule="exact"/>
              <w:jc w:val="center"/>
              <w:textAlignment w:val="auto"/>
              <w:rPr>
                <w:rFonts w:hint="eastAsia" w:ascii="Verdana" w:hAnsi="Verdana"/>
                <w:b/>
                <w:bCs/>
                <w:color w:val="auto"/>
                <w:sz w:val="24"/>
                <w:highlight w:val="none"/>
              </w:rPr>
            </w:pPr>
          </w:p>
        </w:tc>
        <w:tc>
          <w:tcPr>
            <w:tcW w:w="1070" w:type="dxa"/>
            <w:noWrap w:val="0"/>
            <w:vAlign w:val="center"/>
          </w:tcPr>
          <w:p>
            <w:pPr>
              <w:pageBreakBefore w:val="0"/>
              <w:kinsoku/>
              <w:wordWrap/>
              <w:overflowPunct/>
              <w:topLinePunct w:val="0"/>
              <w:autoSpaceDE/>
              <w:autoSpaceDN/>
              <w:bidi w:val="0"/>
              <w:spacing w:line="400" w:lineRule="exact"/>
              <w:jc w:val="center"/>
              <w:textAlignment w:val="auto"/>
              <w:rPr>
                <w:rFonts w:hint="eastAsia" w:ascii="Verdana" w:hAnsi="Verdana"/>
                <w:b/>
                <w:bCs/>
                <w:color w:val="auto"/>
                <w:sz w:val="24"/>
                <w:highlight w:val="none"/>
              </w:rPr>
            </w:pPr>
          </w:p>
        </w:tc>
      </w:tr>
    </w:tbl>
    <w:p>
      <w:pPr>
        <w:widowControl/>
        <w:spacing w:line="500" w:lineRule="exact"/>
        <w:ind w:firstLine="405"/>
        <w:jc w:val="left"/>
        <w:rPr>
          <w:rFonts w:ascii="宋体" w:cs="宋体"/>
          <w:b/>
          <w:szCs w:val="21"/>
          <w:highlight w:val="none"/>
        </w:rPr>
      </w:pPr>
      <w:r>
        <w:rPr>
          <w:rFonts w:hint="eastAsia" w:ascii="宋体" w:hAnsi="宋体" w:cs="宋体"/>
          <w:b/>
          <w:szCs w:val="21"/>
          <w:highlight w:val="none"/>
        </w:rPr>
        <w:t>备注</w:t>
      </w:r>
      <w:r>
        <w:rPr>
          <w:rFonts w:hint="eastAsia" w:ascii="宋体" w:cs="宋体"/>
          <w:b/>
          <w:szCs w:val="21"/>
          <w:highlight w:val="none"/>
        </w:rPr>
        <w:t>：</w:t>
      </w:r>
      <w:r>
        <w:rPr>
          <w:rFonts w:hint="eastAsia" w:ascii="宋体" w:hAnsi="宋体"/>
          <w:szCs w:val="21"/>
          <w:highlight w:val="none"/>
        </w:rPr>
        <w:t>供应商须按磋商文件要求提供复印件或影印件或扫描件，并加盖供应商公章，否则响应无效。</w:t>
      </w:r>
    </w:p>
    <w:p>
      <w:pPr>
        <w:spacing w:line="360" w:lineRule="auto"/>
        <w:ind w:firstLine="413" w:firstLineChars="196"/>
        <w:rPr>
          <w:rFonts w:ascii="宋体" w:hAnsi="宋体"/>
          <w:b/>
          <w:szCs w:val="21"/>
          <w:highlight w:val="none"/>
        </w:rPr>
      </w:pPr>
      <w:r>
        <w:rPr>
          <w:rFonts w:ascii="宋体" w:hAnsi="宋体"/>
          <w:b/>
          <w:szCs w:val="21"/>
          <w:highlight w:val="none"/>
        </w:rPr>
        <w:t xml:space="preserve"> 25.2</w:t>
      </w:r>
      <w:r>
        <w:rPr>
          <w:rFonts w:hint="eastAsia" w:ascii="宋体" w:hAnsi="宋体"/>
          <w:b/>
          <w:szCs w:val="21"/>
          <w:highlight w:val="none"/>
        </w:rPr>
        <w:t>、磋商</w:t>
      </w:r>
    </w:p>
    <w:p>
      <w:pPr>
        <w:adjustRightInd w:val="0"/>
        <w:spacing w:line="480" w:lineRule="exact"/>
        <w:textAlignment w:val="baseline"/>
        <w:rPr>
          <w:szCs w:val="21"/>
          <w:highlight w:val="none"/>
        </w:rPr>
      </w:pPr>
      <w:r>
        <w:rPr>
          <w:rFonts w:ascii="宋体" w:hAnsi="宋体"/>
          <w:szCs w:val="21"/>
          <w:highlight w:val="none"/>
        </w:rPr>
        <w:t xml:space="preserve">     25.2.1</w:t>
      </w:r>
      <w:r>
        <w:rPr>
          <w:rFonts w:hint="eastAsia" w:ascii="宋体" w:hAnsi="宋体"/>
          <w:szCs w:val="21"/>
          <w:highlight w:val="none"/>
        </w:rPr>
        <w:t>所</w:t>
      </w:r>
      <w:r>
        <w:rPr>
          <w:rFonts w:hint="eastAsia"/>
          <w:szCs w:val="21"/>
          <w:highlight w:val="none"/>
        </w:rPr>
        <w:t>有通过符合性审查的供应商均可以参加线上磋商。</w:t>
      </w:r>
      <w:r>
        <w:rPr>
          <w:rFonts w:hint="eastAsia" w:ascii="宋体" w:hAnsi="宋体"/>
          <w:szCs w:val="21"/>
          <w:highlight w:val="none"/>
        </w:rPr>
        <w:t>磋商小组所有成员应当集中与单一供应商分别进行磋商，给予每个正在参加磋商的供应商相同的机会。</w:t>
      </w:r>
      <w:r>
        <w:rPr>
          <w:rFonts w:hint="eastAsia"/>
          <w:szCs w:val="21"/>
          <w:highlight w:val="none"/>
        </w:rPr>
        <w:t>磋商内容为</w:t>
      </w:r>
      <w:r>
        <w:rPr>
          <w:rFonts w:hint="eastAsia" w:hAnsi="宋体" w:cs="宋体"/>
          <w:szCs w:val="21"/>
          <w:highlight w:val="none"/>
        </w:rPr>
        <w:t>根据磋商文件要求，就供应商</w:t>
      </w:r>
      <w:r>
        <w:rPr>
          <w:rFonts w:hint="eastAsia"/>
          <w:szCs w:val="21"/>
          <w:highlight w:val="none"/>
        </w:rPr>
        <w:t>响应文件中提供的方案等进行磋商。</w:t>
      </w:r>
    </w:p>
    <w:p>
      <w:pPr>
        <w:adjustRightInd w:val="0"/>
        <w:spacing w:line="480" w:lineRule="exact"/>
        <w:ind w:left="178" w:leftChars="85" w:firstLine="420" w:firstLineChars="200"/>
        <w:textAlignment w:val="baseline"/>
        <w:rPr>
          <w:rFonts w:ascii="宋体" w:hAnsi="宋体"/>
          <w:szCs w:val="21"/>
          <w:highlight w:val="none"/>
        </w:rPr>
      </w:pPr>
      <w:r>
        <w:rPr>
          <w:rFonts w:ascii="宋体" w:hAnsi="宋体"/>
          <w:szCs w:val="21"/>
          <w:highlight w:val="none"/>
        </w:rPr>
        <w:t>25.2.2</w:t>
      </w:r>
      <w:r>
        <w:rPr>
          <w:rFonts w:hint="eastAsia" w:ascii="宋体" w:hAnsi="宋体"/>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r>
        <w:rPr>
          <w:rFonts w:ascii="宋体" w:hAnsi="宋体"/>
          <w:szCs w:val="21"/>
          <w:highlight w:val="none"/>
        </w:rPr>
        <w:t xml:space="preserve"> </w:t>
      </w:r>
    </w:p>
    <w:p>
      <w:pPr>
        <w:adjustRightInd w:val="0"/>
        <w:spacing w:line="480" w:lineRule="exact"/>
        <w:ind w:left="178" w:leftChars="85" w:firstLine="420" w:firstLineChars="200"/>
        <w:textAlignment w:val="baseline"/>
        <w:rPr>
          <w:rFonts w:ascii="宋体" w:hAnsi="宋体"/>
          <w:szCs w:val="21"/>
          <w:highlight w:val="none"/>
        </w:rPr>
      </w:pPr>
      <w:r>
        <w:rPr>
          <w:rFonts w:ascii="宋体" w:hAnsi="宋体"/>
          <w:szCs w:val="21"/>
          <w:highlight w:val="none"/>
        </w:rPr>
        <w:t>25.2.3</w:t>
      </w:r>
      <w:r>
        <w:rPr>
          <w:rFonts w:hint="eastAsia" w:ascii="宋体" w:hAnsi="宋体"/>
          <w:szCs w:val="21"/>
          <w:highlight w:val="none"/>
        </w:rPr>
        <w:t>对磋商文件作出的实质性变动是磋商文件的有效组成部分，磋商小组及时通过电子交易系统同时通知所有参加磋商的供应商。</w:t>
      </w:r>
      <w:r>
        <w:rPr>
          <w:rFonts w:ascii="宋体" w:hAnsi="宋体"/>
          <w:szCs w:val="21"/>
          <w:highlight w:val="none"/>
        </w:rPr>
        <w:t xml:space="preserve"> </w:t>
      </w:r>
    </w:p>
    <w:p>
      <w:pPr>
        <w:adjustRightInd w:val="0"/>
        <w:spacing w:line="480" w:lineRule="exact"/>
        <w:ind w:left="178" w:leftChars="85" w:firstLine="420" w:firstLineChars="200"/>
        <w:textAlignment w:val="baseline"/>
        <w:rPr>
          <w:rFonts w:hint="eastAsia"/>
          <w:szCs w:val="21"/>
          <w:highlight w:val="none"/>
        </w:rPr>
      </w:pPr>
      <w:r>
        <w:rPr>
          <w:rFonts w:ascii="宋体" w:hAnsi="宋体"/>
          <w:szCs w:val="21"/>
          <w:highlight w:val="none"/>
        </w:rPr>
        <w:t>25.2.4</w:t>
      </w:r>
      <w:r>
        <w:rPr>
          <w:rFonts w:hint="eastAsia" w:ascii="宋体" w:hAnsi="宋体"/>
          <w:szCs w:val="21"/>
          <w:highlight w:val="none"/>
        </w:rPr>
        <w:t>供应商按照磋商文件的变动情况和磋商小组的要求自主决定是否修改响应文件，如修改响应文件，</w:t>
      </w:r>
      <w:r>
        <w:rPr>
          <w:rFonts w:hint="eastAsia"/>
          <w:szCs w:val="21"/>
          <w:highlight w:val="none"/>
        </w:rPr>
        <w:t>供应商应当按照磋商文件的变动情况和磋商小组的要求通过电子交易系统重新提交响应文件，并加盖其法定代表人电子签章及供应商电子公章。</w:t>
      </w:r>
    </w:p>
    <w:p>
      <w:pPr>
        <w:adjustRightInd w:val="0"/>
        <w:spacing w:line="480" w:lineRule="exact"/>
        <w:ind w:left="178" w:leftChars="85" w:firstLine="420" w:firstLineChars="200"/>
        <w:textAlignment w:val="baseline"/>
      </w:pPr>
      <w:r>
        <w:rPr>
          <w:rFonts w:hint="eastAsia" w:eastAsia="宋体"/>
          <w:szCs w:val="21"/>
          <w:highlight w:val="none"/>
          <w:lang w:val="en-US" w:eastAsia="zh-CN"/>
        </w:rPr>
        <w:t>25.2.5</w:t>
      </w:r>
      <w:r>
        <w:rPr>
          <w:rFonts w:hint="eastAsia" w:eastAsia="宋体"/>
          <w:szCs w:val="21"/>
          <w:highlight w:val="none"/>
        </w:rPr>
        <w:t>有下列情形之一的，在</w:t>
      </w:r>
      <w:r>
        <w:rPr>
          <w:rFonts w:hint="eastAsia" w:eastAsia="宋体"/>
          <w:szCs w:val="21"/>
          <w:highlight w:val="none"/>
          <w:lang w:val="en-US" w:eastAsia="zh-CN"/>
        </w:rPr>
        <w:t>磋商</w:t>
      </w:r>
      <w:r>
        <w:rPr>
          <w:rFonts w:hint="eastAsia" w:eastAsia="宋体"/>
          <w:szCs w:val="21"/>
          <w:highlight w:val="none"/>
        </w:rPr>
        <w:t>时，</w:t>
      </w:r>
      <w:r>
        <w:rPr>
          <w:rFonts w:hint="eastAsia" w:eastAsia="宋体"/>
          <w:szCs w:val="21"/>
          <w:highlight w:val="none"/>
          <w:lang w:val="en-US" w:eastAsia="zh-CN"/>
        </w:rPr>
        <w:t>磋商</w:t>
      </w:r>
      <w:r>
        <w:rPr>
          <w:rFonts w:hint="eastAsia" w:eastAsia="宋体"/>
          <w:szCs w:val="21"/>
          <w:highlight w:val="none"/>
          <w:lang w:eastAsia="zh-CN"/>
        </w:rPr>
        <w:t>小组</w:t>
      </w:r>
      <w:r>
        <w:rPr>
          <w:rFonts w:hint="eastAsia" w:eastAsia="宋体"/>
          <w:szCs w:val="21"/>
          <w:highlight w:val="none"/>
        </w:rPr>
        <w:t>可以要求</w:t>
      </w:r>
      <w:r>
        <w:rPr>
          <w:rFonts w:hint="eastAsia" w:eastAsia="宋体"/>
          <w:szCs w:val="21"/>
          <w:highlight w:val="none"/>
          <w:lang w:val="en-US" w:eastAsia="zh-CN"/>
        </w:rPr>
        <w:t>磋商</w:t>
      </w:r>
      <w:r>
        <w:rPr>
          <w:rFonts w:hint="eastAsia" w:eastAsia="宋体"/>
          <w:szCs w:val="21"/>
          <w:highlight w:val="none"/>
          <w:lang w:eastAsia="zh-CN"/>
        </w:rPr>
        <w:t>响应人</w:t>
      </w:r>
      <w:r>
        <w:rPr>
          <w:rFonts w:hint="eastAsia" w:eastAsia="宋体"/>
          <w:szCs w:val="21"/>
          <w:highlight w:val="none"/>
        </w:rPr>
        <w:t>作出说明并提供相关材料：</w:t>
      </w:r>
      <w:r>
        <w:rPr>
          <w:rFonts w:hint="eastAsia" w:eastAsia="宋体"/>
          <w:szCs w:val="21"/>
          <w:highlight w:val="none"/>
          <w:lang w:eastAsia="zh-CN"/>
        </w:rPr>
        <w:t>①</w:t>
      </w:r>
      <w:r>
        <w:rPr>
          <w:rFonts w:hint="eastAsia" w:eastAsia="宋体"/>
          <w:szCs w:val="21"/>
          <w:highlight w:val="none"/>
          <w:lang w:val="en-US" w:eastAsia="zh-CN"/>
        </w:rPr>
        <w:t>磋商</w:t>
      </w:r>
      <w:r>
        <w:rPr>
          <w:rFonts w:hint="eastAsia" w:eastAsia="宋体"/>
          <w:szCs w:val="21"/>
          <w:highlight w:val="none"/>
          <w:lang w:eastAsia="zh-CN"/>
        </w:rPr>
        <w:t>报价与最高限价相比降幅过低</w:t>
      </w:r>
      <w:r>
        <w:rPr>
          <w:rFonts w:hint="eastAsia" w:eastAsia="宋体"/>
          <w:szCs w:val="21"/>
          <w:highlight w:val="none"/>
        </w:rPr>
        <w:t>的</w:t>
      </w:r>
      <w:r>
        <w:rPr>
          <w:rFonts w:hint="eastAsia" w:eastAsia="宋体"/>
          <w:szCs w:val="21"/>
          <w:highlight w:val="none"/>
          <w:lang w:eastAsia="zh-CN"/>
        </w:rPr>
        <w:t>；②</w:t>
      </w:r>
      <w:r>
        <w:rPr>
          <w:rFonts w:hint="eastAsia" w:eastAsia="宋体"/>
          <w:szCs w:val="21"/>
          <w:highlight w:val="none"/>
        </w:rPr>
        <w:t>经</w:t>
      </w:r>
      <w:r>
        <w:rPr>
          <w:rFonts w:hint="eastAsia" w:eastAsia="宋体"/>
          <w:szCs w:val="21"/>
          <w:highlight w:val="none"/>
          <w:lang w:val="en-US" w:eastAsia="zh-CN"/>
        </w:rPr>
        <w:t>磋商</w:t>
      </w:r>
      <w:r>
        <w:rPr>
          <w:rFonts w:hint="eastAsia" w:eastAsia="宋体"/>
          <w:szCs w:val="21"/>
          <w:highlight w:val="none"/>
          <w:lang w:eastAsia="zh-CN"/>
        </w:rPr>
        <w:t>小组评审</w:t>
      </w:r>
      <w:r>
        <w:rPr>
          <w:rFonts w:hint="eastAsia" w:eastAsia="宋体"/>
          <w:szCs w:val="21"/>
          <w:highlight w:val="none"/>
        </w:rPr>
        <w:t>，</w:t>
      </w:r>
      <w:r>
        <w:rPr>
          <w:rFonts w:hint="eastAsia" w:eastAsia="宋体"/>
          <w:szCs w:val="21"/>
          <w:highlight w:val="none"/>
          <w:lang w:eastAsia="zh-CN"/>
        </w:rPr>
        <w:t>认为</w:t>
      </w:r>
      <w:r>
        <w:rPr>
          <w:rFonts w:hint="eastAsia" w:eastAsia="宋体"/>
          <w:szCs w:val="21"/>
          <w:highlight w:val="none"/>
        </w:rPr>
        <w:t>该</w:t>
      </w:r>
      <w:r>
        <w:rPr>
          <w:rFonts w:hint="eastAsia" w:eastAsia="宋体"/>
          <w:szCs w:val="21"/>
          <w:highlight w:val="none"/>
          <w:lang w:val="en-US" w:eastAsia="zh-CN"/>
        </w:rPr>
        <w:t>磋商</w:t>
      </w:r>
      <w:r>
        <w:rPr>
          <w:rFonts w:hint="eastAsia" w:eastAsia="宋体"/>
          <w:szCs w:val="21"/>
          <w:highlight w:val="none"/>
          <w:lang w:eastAsia="zh-CN"/>
        </w:rPr>
        <w:t>响应人</w:t>
      </w:r>
      <w:r>
        <w:rPr>
          <w:rFonts w:hint="eastAsia" w:eastAsia="宋体"/>
          <w:szCs w:val="21"/>
          <w:highlight w:val="none"/>
        </w:rPr>
        <w:t>的报价低于其企业成本的。</w:t>
      </w:r>
    </w:p>
    <w:p>
      <w:pPr>
        <w:adjustRightInd w:val="0"/>
        <w:spacing w:line="480" w:lineRule="exact"/>
        <w:ind w:left="178" w:leftChars="85" w:firstLine="422" w:firstLineChars="200"/>
        <w:textAlignment w:val="baseline"/>
        <w:rPr>
          <w:rFonts w:ascii="宋体"/>
          <w:b/>
          <w:bCs/>
          <w:szCs w:val="21"/>
          <w:highlight w:val="none"/>
        </w:rPr>
      </w:pPr>
      <w:r>
        <w:rPr>
          <w:rFonts w:ascii="宋体" w:hAnsi="宋体"/>
          <w:b/>
          <w:bCs/>
          <w:szCs w:val="21"/>
          <w:highlight w:val="none"/>
        </w:rPr>
        <w:t>25.3</w:t>
      </w:r>
      <w:r>
        <w:rPr>
          <w:rFonts w:hint="eastAsia" w:ascii="宋体" w:hAnsi="宋体"/>
          <w:b/>
          <w:bCs/>
          <w:szCs w:val="21"/>
          <w:highlight w:val="none"/>
        </w:rPr>
        <w:t>最后报价</w:t>
      </w:r>
    </w:p>
    <w:p>
      <w:pPr>
        <w:adjustRightInd w:val="0"/>
        <w:spacing w:line="480" w:lineRule="exact"/>
        <w:ind w:left="178" w:leftChars="85" w:firstLine="420" w:firstLineChars="200"/>
        <w:textAlignment w:val="baseline"/>
        <w:rPr>
          <w:rFonts w:ascii="宋体" w:hAnsi="宋体"/>
          <w:szCs w:val="21"/>
          <w:highlight w:val="none"/>
        </w:rPr>
      </w:pPr>
      <w:r>
        <w:rPr>
          <w:rFonts w:hint="eastAsia" w:ascii="宋体" w:hAnsi="宋体"/>
          <w:szCs w:val="21"/>
          <w:highlight w:val="none"/>
        </w:rPr>
        <w:t>若经磋商后需更改响应文件报价部分的，允许供应商作最后修改，修改结果是供应商响应文件的有效组成部分。最后修改由供应商在磋商小组规定时间内通过电子交易系统提交，且必须有供应商法定代表人电子签章及供应商电子公章，无电子签章和电子公章的视为无效修改。</w:t>
      </w:r>
    </w:p>
    <w:p>
      <w:pPr>
        <w:adjustRightInd w:val="0"/>
        <w:spacing w:line="480" w:lineRule="exact"/>
        <w:ind w:left="178" w:leftChars="85" w:firstLine="396" w:firstLineChars="200"/>
        <w:textAlignment w:val="baseline"/>
        <w:rPr>
          <w:rFonts w:ascii="宋体" w:hAnsi="宋体"/>
          <w:szCs w:val="21"/>
          <w:highlight w:val="none"/>
        </w:rPr>
      </w:pPr>
      <w:r>
        <w:rPr>
          <w:rFonts w:hint="eastAsia" w:hAnsi="宋体" w:cs="宋体"/>
          <w:spacing w:val="-6"/>
          <w:szCs w:val="21"/>
          <w:highlight w:val="none"/>
        </w:rPr>
        <w:t>供应商未在规定时间内通过电子交易系统提交最</w:t>
      </w:r>
      <w:r>
        <w:rPr>
          <w:rFonts w:hint="eastAsia" w:hAnsi="宋体" w:cs="宋体"/>
          <w:spacing w:val="-6"/>
          <w:highlight w:val="none"/>
        </w:rPr>
        <w:t>后</w:t>
      </w:r>
      <w:r>
        <w:rPr>
          <w:rFonts w:hint="eastAsia" w:hAnsi="宋体" w:cs="宋体"/>
          <w:spacing w:val="-6"/>
          <w:szCs w:val="21"/>
          <w:highlight w:val="none"/>
        </w:rPr>
        <w:t>报价的，磋商小组以该供应商的</w:t>
      </w:r>
      <w:r>
        <w:rPr>
          <w:rFonts w:hint="eastAsia" w:hAnsi="宋体" w:cs="宋体"/>
          <w:spacing w:val="-6"/>
          <w:highlight w:val="none"/>
        </w:rPr>
        <w:t>磋商响应函</w:t>
      </w:r>
      <w:r>
        <w:rPr>
          <w:rFonts w:hint="eastAsia" w:hAnsi="宋体" w:cs="宋体"/>
          <w:spacing w:val="-6"/>
          <w:szCs w:val="21"/>
          <w:highlight w:val="none"/>
        </w:rPr>
        <w:t>报价作为最</w:t>
      </w:r>
      <w:r>
        <w:rPr>
          <w:rFonts w:hint="eastAsia" w:hAnsi="宋体" w:cs="宋体"/>
          <w:spacing w:val="-6"/>
          <w:highlight w:val="none"/>
        </w:rPr>
        <w:t>后</w:t>
      </w:r>
      <w:r>
        <w:rPr>
          <w:rFonts w:hint="eastAsia" w:hAnsi="宋体" w:cs="宋体"/>
          <w:spacing w:val="-6"/>
          <w:szCs w:val="21"/>
          <w:highlight w:val="none"/>
        </w:rPr>
        <w:t>报价。</w:t>
      </w:r>
    </w:p>
    <w:p>
      <w:pPr>
        <w:adjustRightInd w:val="0"/>
        <w:spacing w:line="480" w:lineRule="exact"/>
        <w:ind w:left="178" w:leftChars="85" w:firstLine="420" w:firstLineChars="200"/>
        <w:textAlignment w:val="baseline"/>
        <w:rPr>
          <w:rFonts w:ascii="宋体" w:hAnsi="宋体"/>
          <w:szCs w:val="21"/>
          <w:highlight w:val="none"/>
        </w:rPr>
      </w:pPr>
      <w:r>
        <w:rPr>
          <w:rFonts w:ascii="宋体" w:hAnsi="宋体"/>
          <w:szCs w:val="21"/>
          <w:highlight w:val="none"/>
        </w:rPr>
        <w:t>根据</w:t>
      </w:r>
      <w:r>
        <w:rPr>
          <w:rFonts w:hint="eastAsia" w:ascii="宋体" w:hAnsi="宋体"/>
          <w:szCs w:val="21"/>
          <w:highlight w:val="none"/>
        </w:rPr>
        <w:t>《政府采购促进中小企业发展管理办法》</w:t>
      </w:r>
      <w:r>
        <w:rPr>
          <w:rFonts w:ascii="宋体" w:hAnsi="宋体"/>
          <w:szCs w:val="21"/>
          <w:highlight w:val="none"/>
        </w:rPr>
        <w:t>（财库[2020]46号）</w:t>
      </w:r>
      <w:r>
        <w:rPr>
          <w:rFonts w:hint="eastAsia" w:ascii="宋体" w:hAnsi="宋体"/>
          <w:szCs w:val="21"/>
          <w:highlight w:val="none"/>
        </w:rPr>
        <w:t>、《财政部司法部关于政府采购支持监狱企业发展有关问题的通知》(财库</w:t>
      </w:r>
      <w:r>
        <w:rPr>
          <w:rFonts w:ascii="宋体" w:hAnsi="宋体"/>
          <w:szCs w:val="21"/>
          <w:highlight w:val="none"/>
        </w:rPr>
        <w:t>〔2014〕</w:t>
      </w:r>
      <w:r>
        <w:rPr>
          <w:rFonts w:hint="eastAsia" w:ascii="宋体" w:hAnsi="宋体"/>
          <w:szCs w:val="21"/>
          <w:highlight w:val="none"/>
        </w:rPr>
        <w:t>68号)</w:t>
      </w:r>
      <w:r>
        <w:rPr>
          <w:rFonts w:ascii="宋体" w:hAnsi="宋体"/>
          <w:szCs w:val="21"/>
          <w:highlight w:val="none"/>
        </w:rPr>
        <w:t>和《三部门联合发布关于促进残疾人就业政府采购政策的通知》（财库〔2017〕141号）的规定，对满足价格扣除条件且在</w:t>
      </w:r>
      <w:r>
        <w:rPr>
          <w:rFonts w:hint="eastAsia" w:ascii="宋体" w:hAnsi="宋体"/>
          <w:szCs w:val="21"/>
          <w:highlight w:val="none"/>
          <w:lang w:eastAsia="zh-CN"/>
        </w:rPr>
        <w:t>磋商响应文件</w:t>
      </w:r>
      <w:r>
        <w:rPr>
          <w:rFonts w:ascii="宋体" w:hAnsi="宋体"/>
          <w:szCs w:val="21"/>
          <w:highlight w:val="none"/>
        </w:rPr>
        <w:t>中提交了《中小企业声明函》、《残疾人福利性单位声明函》</w:t>
      </w:r>
      <w:r>
        <w:rPr>
          <w:rFonts w:hint="eastAsia" w:ascii="宋体" w:hAnsi="宋体"/>
          <w:szCs w:val="21"/>
          <w:highlight w:val="none"/>
        </w:rPr>
        <w:t>或省级以上监狱管理局、戒毒管理局(含新疆生产建设兵团)出具的属于监狱企业的证明文件</w:t>
      </w:r>
      <w:r>
        <w:rPr>
          <w:rFonts w:ascii="宋体" w:hAnsi="宋体"/>
          <w:szCs w:val="21"/>
          <w:highlight w:val="none"/>
        </w:rPr>
        <w:t>的</w:t>
      </w:r>
      <w:r>
        <w:rPr>
          <w:rFonts w:hint="eastAsia" w:ascii="宋体" w:hAnsi="宋体"/>
          <w:szCs w:val="21"/>
          <w:highlight w:val="none"/>
        </w:rPr>
        <w:t>供应商，其响应报价按照磋商须知前附表中规定的标准扣除后参与评审</w:t>
      </w:r>
      <w:r>
        <w:rPr>
          <w:rFonts w:ascii="宋体" w:hAnsi="宋体"/>
          <w:szCs w:val="21"/>
          <w:highlight w:val="none"/>
        </w:rPr>
        <w:t>。对于同时属于小微企业、</w:t>
      </w:r>
      <w:r>
        <w:rPr>
          <w:rFonts w:hint="eastAsia" w:ascii="宋体" w:hAnsi="宋体"/>
          <w:szCs w:val="21"/>
          <w:highlight w:val="none"/>
        </w:rPr>
        <w:t>监狱企业或</w:t>
      </w:r>
      <w:r>
        <w:rPr>
          <w:rFonts w:ascii="宋体" w:hAnsi="宋体"/>
          <w:szCs w:val="21"/>
          <w:highlight w:val="none"/>
        </w:rPr>
        <w:t>残疾人福利性单位的，不重复进行</w:t>
      </w:r>
      <w:r>
        <w:rPr>
          <w:rFonts w:hint="eastAsia" w:ascii="宋体" w:hAnsi="宋体"/>
          <w:szCs w:val="21"/>
          <w:highlight w:val="none"/>
        </w:rPr>
        <w:t>响应</w:t>
      </w:r>
      <w:r>
        <w:rPr>
          <w:rFonts w:ascii="宋体" w:hAnsi="宋体"/>
          <w:szCs w:val="21"/>
          <w:highlight w:val="none"/>
        </w:rPr>
        <w:t xml:space="preserve">报价扣除。 </w:t>
      </w:r>
    </w:p>
    <w:p>
      <w:pPr>
        <w:spacing w:line="384" w:lineRule="auto"/>
        <w:ind w:left="19" w:right="2" w:firstLine="420" w:firstLineChars="200"/>
        <w:rPr>
          <w:rFonts w:ascii="宋体" w:hAnsi="宋体"/>
          <w:color w:val="auto"/>
          <w:szCs w:val="21"/>
          <w:highlight w:val="none"/>
        </w:rPr>
      </w:pPr>
      <w:r>
        <w:rPr>
          <w:rFonts w:hint="eastAsia" w:ascii="宋体" w:hAnsi="宋体"/>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olor w:val="auto"/>
          <w:szCs w:val="21"/>
          <w:highlight w:val="none"/>
        </w:rPr>
        <w:t>40</w:t>
      </w:r>
      <w:r>
        <w:rPr>
          <w:rFonts w:hint="eastAsia" w:ascii="宋体" w:hAnsi="宋体"/>
          <w:color w:val="auto"/>
          <w:szCs w:val="21"/>
          <w:highlight w:val="none"/>
        </w:rPr>
        <w:t>%以上的，对联合体或者大中型企业的报价给予4%的扣除，用扣除后的价格参加评审。组成联合体或者接受分包的小微企业与联合体内其他企业、分包企业之间存在直接控股、管理关系的，不享受价格扣除优惠政策。</w:t>
      </w:r>
    </w:p>
    <w:p>
      <w:pPr>
        <w:adjustRightInd w:val="0"/>
        <w:spacing w:line="480" w:lineRule="exact"/>
        <w:ind w:left="178" w:leftChars="85" w:firstLine="420" w:firstLineChars="200"/>
        <w:textAlignment w:val="baseline"/>
        <w:rPr>
          <w:rFonts w:ascii="宋体" w:hAnsi="宋体"/>
          <w:szCs w:val="21"/>
          <w:highlight w:val="none"/>
        </w:rPr>
      </w:pPr>
      <w:r>
        <w:rPr>
          <w:rFonts w:hint="eastAsia" w:ascii="宋体" w:hAnsi="宋体"/>
          <w:szCs w:val="21"/>
          <w:highlight w:val="none"/>
        </w:rPr>
        <w:t>以联合体形式参加政府采购活动，联合体各方均为中小企业的，联合体视同中小企业。其中，联合体各方均为小微企业的，联合体视同小微企业。</w:t>
      </w:r>
    </w:p>
    <w:p>
      <w:pPr>
        <w:spacing w:line="480" w:lineRule="exact"/>
        <w:ind w:firstLine="422" w:firstLineChars="200"/>
        <w:rPr>
          <w:rFonts w:ascii="宋体"/>
          <w:b/>
          <w:bCs/>
          <w:szCs w:val="21"/>
          <w:highlight w:val="none"/>
        </w:rPr>
      </w:pPr>
      <w:r>
        <w:rPr>
          <w:rFonts w:ascii="宋体" w:hAnsi="宋体"/>
          <w:b/>
          <w:bCs/>
          <w:szCs w:val="21"/>
          <w:highlight w:val="none"/>
        </w:rPr>
        <w:t>25.4</w:t>
      </w:r>
      <w:r>
        <w:rPr>
          <w:rFonts w:hint="eastAsia" w:ascii="宋体" w:hAnsi="宋体"/>
          <w:b/>
          <w:bCs/>
          <w:szCs w:val="21"/>
          <w:highlight w:val="none"/>
        </w:rPr>
        <w:t>综合评审</w:t>
      </w:r>
    </w:p>
    <w:p>
      <w:pPr>
        <w:spacing w:line="480" w:lineRule="exact"/>
        <w:ind w:firstLine="420" w:firstLineChars="200"/>
        <w:rPr>
          <w:rFonts w:ascii="宋体"/>
          <w:szCs w:val="21"/>
          <w:highlight w:val="none"/>
          <w:lang w:val="zh-CN"/>
        </w:rPr>
      </w:pPr>
      <w:r>
        <w:rPr>
          <w:rFonts w:ascii="宋体" w:hAnsi="宋体"/>
          <w:szCs w:val="21"/>
          <w:highlight w:val="none"/>
        </w:rPr>
        <w:t xml:space="preserve"> </w:t>
      </w:r>
      <w:r>
        <w:rPr>
          <w:rFonts w:hint="eastAsia" w:ascii="宋体" w:hAnsi="宋体"/>
          <w:szCs w:val="21"/>
          <w:highlight w:val="none"/>
          <w:lang w:val="zh-CN"/>
        </w:rPr>
        <w:t>经磋商确定最终采购需求和提交最后报价的供应商后，由磋商小组采用综合评分法对提交最后报价的供应商的响应文件和最后报价进行综合评分。</w:t>
      </w:r>
    </w:p>
    <w:p>
      <w:pPr>
        <w:spacing w:line="480" w:lineRule="exact"/>
        <w:ind w:firstLine="420" w:firstLineChars="200"/>
        <w:rPr>
          <w:rFonts w:ascii="宋体"/>
          <w:szCs w:val="21"/>
          <w:highlight w:val="none"/>
        </w:rPr>
      </w:pPr>
      <w:r>
        <w:rPr>
          <w:rFonts w:hint="eastAsia" w:ascii="宋体" w:hAnsi="宋体"/>
          <w:szCs w:val="21"/>
          <w:highlight w:val="none"/>
          <w:lang w:val="zh-CN"/>
        </w:rPr>
        <w:t>评审办法：综合评分法，是指响应文件满足磋商文件全部实质性要求且按评审因素的量化指标评审得分最高的供应商为成交候选供应商的评审方法。</w:t>
      </w:r>
    </w:p>
    <w:tbl>
      <w:tblPr>
        <w:tblStyle w:val="63"/>
        <w:tblpPr w:leftFromText="180" w:rightFromText="180" w:vertAnchor="text" w:horzAnchor="page" w:tblpX="1535" w:tblpY="378"/>
        <w:tblOverlap w:val="never"/>
        <w:tblW w:w="93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0"/>
        <w:gridCol w:w="1621"/>
        <w:gridCol w:w="48"/>
        <w:gridCol w:w="5041"/>
        <w:gridCol w:w="19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630" w:type="dxa"/>
            <w:noWrap w:val="0"/>
            <w:vAlign w:val="center"/>
          </w:tcPr>
          <w:p>
            <w:pPr>
              <w:adjustRightInd w:val="0"/>
              <w:spacing w:line="480" w:lineRule="exact"/>
              <w:ind w:left="178" w:leftChars="85" w:firstLine="420" w:firstLineChars="200"/>
              <w:textAlignment w:val="baseline"/>
              <w:rPr>
                <w:rFonts w:hint="eastAsia" w:ascii="宋体" w:hAnsi="宋体"/>
                <w:b/>
                <w:color w:val="auto"/>
                <w:szCs w:val="21"/>
                <w:highlight w:val="none"/>
              </w:rPr>
            </w:pPr>
            <w:r>
              <w:rPr>
                <w:rFonts w:ascii="宋体" w:hAnsi="宋体"/>
                <w:szCs w:val="21"/>
              </w:rPr>
              <w:t xml:space="preserve">  </w:t>
            </w:r>
            <w:r>
              <w:rPr>
                <w:rFonts w:hint="eastAsia" w:ascii="宋体" w:hAnsi="宋体"/>
                <w:b/>
                <w:color w:val="auto"/>
                <w:szCs w:val="21"/>
                <w:highlight w:val="none"/>
              </w:rPr>
              <w:t>序号</w:t>
            </w:r>
          </w:p>
        </w:tc>
        <w:tc>
          <w:tcPr>
            <w:tcW w:w="1621" w:type="dxa"/>
            <w:noWrap w:val="0"/>
            <w:vAlign w:val="center"/>
          </w:tcPr>
          <w:p>
            <w:pPr>
              <w:pageBreakBefore w:val="0"/>
              <w:kinsoku/>
              <w:wordWrap/>
              <w:overflowPunct/>
              <w:topLinePunct w:val="0"/>
              <w:autoSpaceDE/>
              <w:autoSpaceDN/>
              <w:bidi w:val="0"/>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评分因素</w:t>
            </w:r>
          </w:p>
        </w:tc>
        <w:tc>
          <w:tcPr>
            <w:tcW w:w="5089" w:type="dxa"/>
            <w:gridSpan w:val="2"/>
            <w:noWrap w:val="0"/>
            <w:vAlign w:val="center"/>
          </w:tcPr>
          <w:p>
            <w:pPr>
              <w:pageBreakBefore w:val="0"/>
              <w:kinsoku/>
              <w:wordWrap/>
              <w:overflowPunct/>
              <w:topLinePunct w:val="0"/>
              <w:autoSpaceDE/>
              <w:autoSpaceDN/>
              <w:bidi w:val="0"/>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评分标准</w:t>
            </w:r>
          </w:p>
        </w:tc>
        <w:tc>
          <w:tcPr>
            <w:tcW w:w="1968" w:type="dxa"/>
            <w:noWrap w:val="0"/>
            <w:vAlign w:val="center"/>
          </w:tcPr>
          <w:p>
            <w:pPr>
              <w:pageBreakBefore w:val="0"/>
              <w:kinsoku/>
              <w:wordWrap/>
              <w:overflowPunct/>
              <w:topLinePunct w:val="0"/>
              <w:autoSpaceDE/>
              <w:autoSpaceDN/>
              <w:bidi w:val="0"/>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1" w:hRule="atLeast"/>
        </w:trPr>
        <w:tc>
          <w:tcPr>
            <w:tcW w:w="630" w:type="dxa"/>
            <w:vMerge w:val="restart"/>
            <w:noWrap w:val="0"/>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b/>
                <w:color w:val="auto"/>
                <w:szCs w:val="21"/>
                <w:highlight w:val="none"/>
                <w:lang w:val="en-US" w:eastAsia="zh-CN"/>
              </w:rPr>
            </w:pPr>
            <w:r>
              <w:rPr>
                <w:rFonts w:hint="eastAsia" w:ascii="宋体" w:hAnsi="宋体"/>
                <w:b/>
                <w:color w:val="auto"/>
                <w:szCs w:val="21"/>
                <w:highlight w:val="none"/>
                <w:lang w:val="en-US" w:eastAsia="zh-CN"/>
              </w:rPr>
              <w:t>一</w:t>
            </w:r>
          </w:p>
        </w:tc>
        <w:tc>
          <w:tcPr>
            <w:tcW w:w="1621" w:type="dxa"/>
            <w:noWrap w:val="0"/>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b/>
                <w:color w:val="auto"/>
                <w:szCs w:val="21"/>
                <w:highlight w:val="none"/>
                <w:lang w:val="en-US" w:eastAsia="zh-CN"/>
              </w:rPr>
            </w:pPr>
            <w:r>
              <w:rPr>
                <w:rFonts w:hint="eastAsia" w:ascii="宋体" w:hAnsi="宋体"/>
                <w:b/>
                <w:color w:val="auto"/>
                <w:szCs w:val="21"/>
                <w:highlight w:val="none"/>
                <w:lang w:val="en-US" w:eastAsia="zh-CN"/>
              </w:rPr>
              <w:t>业绩（28分）</w:t>
            </w:r>
          </w:p>
        </w:tc>
        <w:tc>
          <w:tcPr>
            <w:tcW w:w="5089" w:type="dxa"/>
            <w:gridSpan w:val="2"/>
            <w:noWrap w:val="0"/>
            <w:vAlign w:val="center"/>
          </w:tcPr>
          <w:p>
            <w:pPr>
              <w:jc w:val="left"/>
              <w:rPr>
                <w:rFonts w:hint="eastAsia"/>
              </w:rPr>
            </w:pPr>
            <w:r>
              <w:rPr>
                <w:rFonts w:hint="eastAsia"/>
                <w:lang w:eastAsia="zh-CN"/>
              </w:rPr>
              <w:t>供应商</w:t>
            </w:r>
            <w:r>
              <w:rPr>
                <w:rFonts w:hint="eastAsia"/>
              </w:rPr>
              <w:t>业绩：自201</w:t>
            </w:r>
            <w:r>
              <w:rPr>
                <w:rFonts w:hint="eastAsia"/>
                <w:lang w:val="en-US" w:eastAsia="zh-CN"/>
              </w:rPr>
              <w:t>8</w:t>
            </w:r>
            <w:r>
              <w:rPr>
                <w:rFonts w:hint="eastAsia"/>
              </w:rPr>
              <w:t>年</w:t>
            </w:r>
            <w:r>
              <w:rPr>
                <w:rFonts w:hint="eastAsia"/>
                <w:lang w:val="en-US" w:eastAsia="zh-CN"/>
              </w:rPr>
              <w:t>1</w:t>
            </w:r>
            <w:r>
              <w:rPr>
                <w:rFonts w:hint="eastAsia"/>
              </w:rPr>
              <w:t>月1日（含）至</w:t>
            </w:r>
            <w:r>
              <w:rPr>
                <w:rFonts w:hint="eastAsia"/>
                <w:lang w:val="en-US" w:eastAsia="zh-CN"/>
              </w:rPr>
              <w:t>响应文件</w:t>
            </w:r>
            <w:r>
              <w:rPr>
                <w:rFonts w:hint="eastAsia"/>
              </w:rPr>
              <w:t>截止日（不含当日），具有</w:t>
            </w:r>
            <w:r>
              <w:rPr>
                <w:rFonts w:hint="eastAsia"/>
                <w:lang w:val="en-US" w:eastAsia="zh-CN"/>
              </w:rPr>
              <w:t>工程施工类</w:t>
            </w:r>
            <w:r>
              <w:rPr>
                <w:rFonts w:hint="eastAsia"/>
              </w:rPr>
              <w:t>业绩的，每提供1个得</w:t>
            </w:r>
            <w:r>
              <w:rPr>
                <w:rFonts w:hint="eastAsia"/>
                <w:lang w:val="en-US" w:eastAsia="zh-CN"/>
              </w:rPr>
              <w:t>14</w:t>
            </w:r>
            <w:r>
              <w:rPr>
                <w:rFonts w:hint="eastAsia"/>
              </w:rPr>
              <w:t>分，满分</w:t>
            </w:r>
            <w:r>
              <w:rPr>
                <w:rFonts w:hint="eastAsia"/>
                <w:lang w:val="en-US" w:eastAsia="zh-CN"/>
              </w:rPr>
              <w:t>28</w:t>
            </w:r>
            <w:r>
              <w:rPr>
                <w:rFonts w:hint="eastAsia"/>
              </w:rPr>
              <w:t>分。</w:t>
            </w:r>
          </w:p>
          <w:p>
            <w:pPr>
              <w:pStyle w:val="24"/>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注：本项目业绩数量最多为二个，若磋商响应人提供的业绩超过二个的，磋商委员会只对磋商响应文件中排序前2个的业绩进行评审，其它业绩不作评审。</w:t>
            </w:r>
          </w:p>
          <w:p>
            <w:pPr>
              <w:pStyle w:val="24"/>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b/>
                <w:bCs/>
                <w:kern w:val="2"/>
                <w:sz w:val="21"/>
                <w:lang w:val="en-US" w:eastAsia="zh-CN" w:bidi="ar-SA"/>
              </w:rPr>
              <w:t>工程施工类业绩是指房屋建筑工程施工业绩或市政公用工程施工业绩或装饰装修工程施工业绩或维修服务业绩。</w:t>
            </w:r>
          </w:p>
        </w:tc>
        <w:tc>
          <w:tcPr>
            <w:tcW w:w="1968" w:type="dxa"/>
            <w:noWrap w:val="0"/>
            <w:vAlign w:val="center"/>
          </w:tcPr>
          <w:p>
            <w:pPr>
              <w:pageBreakBefore w:val="0"/>
              <w:kinsoku/>
              <w:wordWrap/>
              <w:overflowPunct/>
              <w:topLinePunct w:val="0"/>
              <w:autoSpaceDE/>
              <w:autoSpaceDN/>
              <w:bidi w:val="0"/>
              <w:spacing w:line="400" w:lineRule="exact"/>
              <w:jc w:val="center"/>
              <w:textAlignment w:val="auto"/>
              <w:rPr>
                <w:rFonts w:hint="eastAsia" w:ascii="宋体" w:hAnsi="宋体"/>
                <w:b/>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1" w:hRule="atLeast"/>
        </w:trPr>
        <w:tc>
          <w:tcPr>
            <w:tcW w:w="630" w:type="dxa"/>
            <w:vMerge w:val="continue"/>
            <w:noWrap w:val="0"/>
            <w:vAlign w:val="center"/>
          </w:tcPr>
          <w:p>
            <w:pPr>
              <w:pageBreakBefore w:val="0"/>
              <w:kinsoku/>
              <w:wordWrap/>
              <w:overflowPunct/>
              <w:topLinePunct w:val="0"/>
              <w:autoSpaceDE/>
              <w:autoSpaceDN/>
              <w:bidi w:val="0"/>
              <w:spacing w:line="400" w:lineRule="exact"/>
              <w:jc w:val="center"/>
              <w:textAlignment w:val="auto"/>
              <w:rPr>
                <w:rFonts w:hint="eastAsia" w:ascii="宋体" w:hAnsi="宋体"/>
                <w:b/>
                <w:color w:val="auto"/>
                <w:szCs w:val="21"/>
                <w:highlight w:val="none"/>
                <w:lang w:val="en-US" w:eastAsia="zh-CN"/>
              </w:rPr>
            </w:pPr>
          </w:p>
        </w:tc>
        <w:tc>
          <w:tcPr>
            <w:tcW w:w="8678" w:type="dxa"/>
            <w:gridSpan w:val="4"/>
            <w:noWrap w:val="0"/>
            <w:vAlign w:val="center"/>
          </w:tcPr>
          <w:p>
            <w:pPr>
              <w:adjustRightInd w:val="0"/>
              <w:snapToGrid w:val="0"/>
              <w:spacing w:line="480" w:lineRule="auto"/>
              <w:rPr>
                <w:rFonts w:hint="eastAsia" w:ascii="宋体" w:hAnsi="宋体" w:cs="宋体"/>
                <w:bCs/>
                <w:color w:val="auto"/>
                <w:kern w:val="0"/>
                <w:szCs w:val="21"/>
                <w:highlight w:val="none"/>
                <w:u w:val="none"/>
              </w:rPr>
            </w:pPr>
            <w:r>
              <w:rPr>
                <w:rFonts w:hint="eastAsia" w:ascii="宋体" w:hAnsi="宋体" w:cs="宋体"/>
                <w:b/>
                <w:color w:val="auto"/>
                <w:kern w:val="0"/>
                <w:szCs w:val="21"/>
                <w:highlight w:val="none"/>
                <w:u w:val="none"/>
                <w:lang w:val="en-US" w:eastAsia="zh-CN"/>
              </w:rPr>
              <w:t>磋商响应</w:t>
            </w:r>
            <w:r>
              <w:rPr>
                <w:rFonts w:hint="eastAsia" w:ascii="宋体" w:hAnsi="宋体" w:cs="宋体"/>
                <w:b/>
                <w:color w:val="auto"/>
                <w:kern w:val="0"/>
                <w:szCs w:val="21"/>
                <w:highlight w:val="none"/>
                <w:u w:val="none"/>
              </w:rPr>
              <w:t>人应按下列规定提供业绩证明资料：</w:t>
            </w:r>
          </w:p>
          <w:p>
            <w:pPr>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color w:val="auto"/>
                <w:kern w:val="0"/>
                <w:szCs w:val="21"/>
                <w:highlight w:val="none"/>
                <w:u w:val="none"/>
              </w:rPr>
            </w:pPr>
            <w:r>
              <w:rPr>
                <w:rFonts w:hint="eastAsia" w:ascii="宋体" w:hAnsi="宋体" w:cs="宋体"/>
                <w:b/>
                <w:color w:val="auto"/>
                <w:kern w:val="0"/>
                <w:szCs w:val="21"/>
                <w:highlight w:val="none"/>
                <w:u w:val="none"/>
              </w:rPr>
              <w:t>（1）合同协议书；</w:t>
            </w:r>
          </w:p>
          <w:p>
            <w:pPr>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color w:val="auto"/>
                <w:kern w:val="0"/>
                <w:szCs w:val="21"/>
                <w:highlight w:val="none"/>
                <w:u w:val="none"/>
                <w:lang w:eastAsia="zh-CN"/>
              </w:rPr>
            </w:pPr>
            <w:r>
              <w:rPr>
                <w:rFonts w:hint="eastAsia" w:ascii="宋体" w:hAnsi="宋体" w:cs="宋体"/>
                <w:b/>
                <w:color w:val="auto"/>
                <w:kern w:val="0"/>
                <w:szCs w:val="21"/>
                <w:highlight w:val="none"/>
                <w:u w:val="none"/>
              </w:rPr>
              <w:t>（2）</w:t>
            </w:r>
            <w:r>
              <w:rPr>
                <w:rFonts w:hint="eastAsia" w:ascii="宋体" w:hAnsi="宋体" w:cs="宋体"/>
                <w:b/>
                <w:color w:val="auto"/>
                <w:kern w:val="0"/>
                <w:szCs w:val="21"/>
                <w:highlight w:val="none"/>
                <w:u w:val="none"/>
                <w:lang w:val="en-US" w:eastAsia="zh-CN"/>
              </w:rPr>
              <w:t>竣工验收证明材料：</w:t>
            </w:r>
            <w:r>
              <w:rPr>
                <w:rFonts w:hint="eastAsia" w:ascii="宋体" w:hAnsi="宋体" w:cs="宋体"/>
                <w:b/>
                <w:color w:val="auto"/>
                <w:kern w:val="0"/>
                <w:szCs w:val="21"/>
                <w:highlight w:val="none"/>
                <w:u w:val="none"/>
              </w:rPr>
              <w:t>竣工验收报告或竣工验收备案表或行政主管部门颁发的竣工验收证明材料</w:t>
            </w:r>
            <w:r>
              <w:rPr>
                <w:rFonts w:hint="eastAsia" w:ascii="宋体" w:hAnsi="宋体" w:cs="宋体"/>
                <w:b/>
                <w:color w:val="auto"/>
                <w:kern w:val="0"/>
                <w:szCs w:val="21"/>
                <w:highlight w:val="none"/>
                <w:u w:val="none"/>
                <w:lang w:val="en-US" w:eastAsia="zh-CN"/>
              </w:rPr>
              <w:t>或至少有建设单位、设计单位、监理单位、施工单位四方参与竣工验收并盖章的竣工验收证明材料</w:t>
            </w:r>
            <w:r>
              <w:rPr>
                <w:rFonts w:hint="eastAsia" w:ascii="宋体" w:hAnsi="宋体" w:cs="宋体"/>
                <w:b/>
                <w:color w:val="auto"/>
                <w:kern w:val="0"/>
                <w:szCs w:val="21"/>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cs="宋体"/>
                <w:b/>
                <w:bCs/>
                <w:color w:val="auto"/>
                <w:kern w:val="0"/>
                <w:szCs w:val="21"/>
                <w:highlight w:val="none"/>
                <w:u w:val="none"/>
              </w:rPr>
            </w:pPr>
            <w:r>
              <w:rPr>
                <w:rFonts w:hint="eastAsia" w:ascii="宋体" w:hAnsi="宋体" w:cs="宋体"/>
                <w:b/>
                <w:bCs/>
                <w:color w:val="auto"/>
                <w:kern w:val="0"/>
                <w:szCs w:val="21"/>
                <w:highlight w:val="none"/>
                <w:u w:val="none"/>
              </w:rPr>
              <w:t xml:space="preserve"> 如</w:t>
            </w:r>
            <w:r>
              <w:rPr>
                <w:rFonts w:hint="eastAsia" w:ascii="宋体" w:hAnsi="宋体" w:cs="宋体"/>
                <w:b/>
                <w:bCs/>
                <w:color w:val="auto"/>
                <w:kern w:val="0"/>
                <w:szCs w:val="21"/>
                <w:highlight w:val="none"/>
                <w:u w:val="none"/>
                <w:lang w:val="en-US" w:eastAsia="zh-CN"/>
              </w:rPr>
              <w:t>上述证明材料</w:t>
            </w:r>
            <w:r>
              <w:rPr>
                <w:rFonts w:hint="eastAsia" w:ascii="宋体" w:hAnsi="宋体" w:cs="宋体"/>
                <w:b/>
                <w:bCs/>
                <w:color w:val="auto"/>
                <w:kern w:val="0"/>
                <w:szCs w:val="21"/>
                <w:highlight w:val="none"/>
                <w:u w:val="none"/>
              </w:rPr>
              <w:t>不能有效反映业绩的技术指标，需在投标文件中提供能够证明业绩技术指标的施工图设计文件部分 。</w:t>
            </w:r>
          </w:p>
          <w:p>
            <w:pPr>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b/>
                <w:color w:val="auto"/>
                <w:szCs w:val="21"/>
                <w:highlight w:val="none"/>
              </w:rPr>
            </w:pPr>
            <w:r>
              <w:rPr>
                <w:rFonts w:hint="default" w:ascii="宋体" w:hAnsi="宋体" w:cs="宋体"/>
                <w:b/>
                <w:color w:val="auto"/>
                <w:kern w:val="0"/>
                <w:szCs w:val="21"/>
                <w:highlight w:val="none"/>
                <w:u w:val="none"/>
                <w:lang w:val="en-US" w:eastAsia="zh-CN"/>
              </w:rPr>
              <w:t>业绩的时间认定以</w:t>
            </w:r>
            <w:r>
              <w:rPr>
                <w:rFonts w:hint="eastAsia" w:ascii="宋体" w:hAnsi="宋体" w:cs="宋体"/>
                <w:b/>
                <w:color w:val="auto"/>
                <w:kern w:val="0"/>
                <w:szCs w:val="21"/>
                <w:highlight w:val="none"/>
                <w:u w:val="none"/>
                <w:lang w:val="en-US" w:eastAsia="zh-CN"/>
              </w:rPr>
              <w:t>竣工验收证明材料</w:t>
            </w:r>
            <w:r>
              <w:rPr>
                <w:rFonts w:hint="default" w:ascii="宋体" w:hAnsi="宋体" w:cs="宋体"/>
                <w:b/>
                <w:color w:val="auto"/>
                <w:kern w:val="0"/>
                <w:szCs w:val="21"/>
                <w:highlight w:val="none"/>
                <w:u w:val="none"/>
                <w:lang w:val="en-US" w:eastAsia="zh-CN"/>
              </w:rPr>
              <w:t>中竣工验收时间为准，若竣工验收证明材料有多个日期的，则以建设单位或监理单位签署的最后日期为准</w:t>
            </w:r>
            <w:r>
              <w:rPr>
                <w:rFonts w:hint="eastAsia" w:ascii="宋体" w:hAnsi="宋体" w:cs="宋体"/>
                <w:b/>
                <w:color w:val="auto"/>
                <w:kern w:val="0"/>
                <w:szCs w:val="21"/>
                <w:highlight w:val="none"/>
                <w:u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1" w:hRule="atLeast"/>
        </w:trPr>
        <w:tc>
          <w:tcPr>
            <w:tcW w:w="630" w:type="dxa"/>
            <w:noWrap w:val="0"/>
            <w:vAlign w:val="center"/>
          </w:tcPr>
          <w:p>
            <w:pPr>
              <w:pageBreakBefore w:val="0"/>
              <w:kinsoku/>
              <w:wordWrap/>
              <w:overflowPunct/>
              <w:topLinePunct w:val="0"/>
              <w:autoSpaceDE/>
              <w:autoSpaceDN/>
              <w:bidi w:val="0"/>
              <w:spacing w:line="400" w:lineRule="exact"/>
              <w:jc w:val="center"/>
              <w:textAlignment w:val="auto"/>
              <w:rPr>
                <w:rFonts w:hint="default" w:ascii="宋体" w:hAnsi="宋体"/>
                <w:b/>
                <w:color w:val="auto"/>
                <w:szCs w:val="21"/>
                <w:highlight w:val="none"/>
                <w:lang w:val="en-US" w:eastAsia="zh-CN"/>
              </w:rPr>
            </w:pPr>
            <w:r>
              <w:rPr>
                <w:rFonts w:hint="eastAsia" w:ascii="宋体" w:hAnsi="宋体"/>
                <w:b/>
                <w:color w:val="auto"/>
                <w:szCs w:val="21"/>
                <w:highlight w:val="none"/>
                <w:lang w:val="en-US" w:eastAsia="zh-CN"/>
              </w:rPr>
              <w:t>二</w:t>
            </w:r>
          </w:p>
        </w:tc>
        <w:tc>
          <w:tcPr>
            <w:tcW w:w="1669" w:type="dxa"/>
            <w:gridSpan w:val="2"/>
            <w:tcBorders>
              <w:right w:val="single" w:color="auto" w:sz="4" w:space="0"/>
            </w:tcBorders>
            <w:noWrap w:val="0"/>
            <w:vAlign w:val="center"/>
          </w:tcPr>
          <w:p>
            <w:pPr>
              <w:pageBreakBefore w:val="0"/>
              <w:kinsoku/>
              <w:wordWrap/>
              <w:overflowPunct/>
              <w:topLinePunct w:val="0"/>
              <w:autoSpaceDE/>
              <w:autoSpaceDN/>
              <w:bidi w:val="0"/>
              <w:spacing w:line="400" w:lineRule="exact"/>
              <w:jc w:val="left"/>
              <w:textAlignment w:val="auto"/>
              <w:rPr>
                <w:rFonts w:hint="eastAsia" w:ascii="宋体" w:hAnsi="宋体"/>
                <w:b/>
                <w:color w:val="auto"/>
                <w:szCs w:val="21"/>
                <w:highlight w:val="none"/>
              </w:rPr>
            </w:pPr>
            <w:r>
              <w:rPr>
                <w:rFonts w:hint="eastAsia" w:cs="宋体"/>
                <w:color w:val="auto"/>
                <w:highlight w:val="none"/>
                <w:lang w:val="en-US" w:eastAsia="zh-CN"/>
              </w:rPr>
              <w:t>质保期</w:t>
            </w:r>
            <w:r>
              <w:rPr>
                <w:rFonts w:hint="eastAsia" w:ascii="Times New Roman" w:hAnsi="Times New Roman" w:eastAsia="宋体" w:cs="宋体"/>
                <w:color w:val="auto"/>
                <w:highlight w:val="none"/>
              </w:rPr>
              <w:t>服务方案</w:t>
            </w:r>
            <w:r>
              <w:rPr>
                <w:rFonts w:hint="eastAsia" w:cs="宋体"/>
                <w:color w:val="auto"/>
                <w:highlight w:val="none"/>
                <w:lang w:eastAsia="zh-CN"/>
              </w:rPr>
              <w:t>（</w:t>
            </w:r>
            <w:r>
              <w:rPr>
                <w:rFonts w:hint="eastAsia" w:cs="宋体"/>
                <w:color w:val="auto"/>
                <w:highlight w:val="none"/>
                <w:lang w:val="en-US" w:eastAsia="zh-CN"/>
              </w:rPr>
              <w:t>10分</w:t>
            </w:r>
            <w:r>
              <w:rPr>
                <w:rFonts w:hint="eastAsia" w:cs="宋体"/>
                <w:color w:val="auto"/>
                <w:highlight w:val="none"/>
                <w:lang w:eastAsia="zh-CN"/>
              </w:rPr>
              <w:t>）</w:t>
            </w:r>
          </w:p>
        </w:tc>
        <w:tc>
          <w:tcPr>
            <w:tcW w:w="7009" w:type="dxa"/>
            <w:gridSpan w:val="2"/>
            <w:tcBorders>
              <w:lef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Times New Roman" w:hAnsi="Times New Roman" w:eastAsia="宋体" w:cs="宋体"/>
                <w:color w:val="auto"/>
                <w:highlight w:val="none"/>
                <w:lang w:eastAsia="zh-CN"/>
              </w:rPr>
            </w:pPr>
            <w:r>
              <w:rPr>
                <w:rFonts w:hint="eastAsia" w:ascii="Times New Roman" w:hAnsi="Times New Roman" w:eastAsia="宋体" w:cs="宋体"/>
                <w:color w:val="auto"/>
                <w:highlight w:val="none"/>
              </w:rPr>
              <w:t>根据</w:t>
            </w:r>
            <w:r>
              <w:rPr>
                <w:rFonts w:hint="eastAsia" w:cs="宋体"/>
                <w:color w:val="auto"/>
                <w:highlight w:val="none"/>
                <w:lang w:val="en-US" w:eastAsia="zh-CN"/>
              </w:rPr>
              <w:t>磋商响应</w:t>
            </w:r>
            <w:r>
              <w:rPr>
                <w:rFonts w:hint="eastAsia" w:ascii="Times New Roman" w:hAnsi="Times New Roman" w:eastAsia="宋体" w:cs="宋体"/>
                <w:color w:val="auto"/>
                <w:highlight w:val="none"/>
              </w:rPr>
              <w:t>人提供的</w:t>
            </w:r>
            <w:r>
              <w:rPr>
                <w:rFonts w:hint="eastAsia" w:cs="宋体"/>
                <w:color w:val="auto"/>
                <w:highlight w:val="none"/>
                <w:lang w:val="en-US" w:eastAsia="zh-CN"/>
              </w:rPr>
              <w:t>质保期</w:t>
            </w:r>
            <w:r>
              <w:rPr>
                <w:rFonts w:hint="eastAsia" w:ascii="Times New Roman" w:hAnsi="Times New Roman" w:eastAsia="宋体" w:cs="宋体"/>
                <w:color w:val="auto"/>
                <w:highlight w:val="none"/>
              </w:rPr>
              <w:t>服务方案由</w:t>
            </w:r>
            <w:r>
              <w:rPr>
                <w:rFonts w:hint="eastAsia" w:cs="宋体"/>
                <w:color w:val="auto"/>
                <w:highlight w:val="none"/>
                <w:lang w:val="en-US" w:eastAsia="zh-CN"/>
              </w:rPr>
              <w:t>磋商小组</w:t>
            </w:r>
            <w:r>
              <w:rPr>
                <w:rFonts w:hint="eastAsia" w:ascii="Times New Roman" w:hAnsi="Times New Roman" w:eastAsia="宋体" w:cs="宋体"/>
                <w:color w:val="auto"/>
                <w:highlight w:val="none"/>
              </w:rPr>
              <w:t>进行综合评分</w:t>
            </w:r>
            <w:r>
              <w:rPr>
                <w:rFonts w:hint="eastAsia" w:cs="宋体"/>
                <w:color w:val="auto"/>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Times New Roman" w:hAnsi="Times New Roman" w:eastAsia="宋体" w:cs="宋体"/>
                <w:color w:val="auto"/>
                <w:highlight w:val="none"/>
              </w:rPr>
            </w:pPr>
            <w:r>
              <w:rPr>
                <w:rFonts w:hint="eastAsia" w:cs="宋体"/>
                <w:color w:val="auto"/>
                <w:highlight w:val="none"/>
                <w:lang w:val="en-US" w:eastAsia="zh-CN"/>
              </w:rPr>
              <w:t>质保期</w:t>
            </w:r>
            <w:r>
              <w:rPr>
                <w:rFonts w:hint="eastAsia" w:ascii="Times New Roman" w:hAnsi="Times New Roman" w:eastAsia="宋体" w:cs="宋体"/>
                <w:color w:val="auto"/>
                <w:highlight w:val="none"/>
              </w:rPr>
              <w:t>服务体系健全科学、保修期响应程度高</w:t>
            </w:r>
            <w:r>
              <w:rPr>
                <w:rFonts w:hint="eastAsia" w:cs="宋体"/>
                <w:color w:val="auto"/>
                <w:highlight w:val="none"/>
                <w:lang w:eastAsia="zh-CN"/>
              </w:rPr>
              <w:t>，</w:t>
            </w:r>
            <w:r>
              <w:rPr>
                <w:rFonts w:hint="eastAsia" w:ascii="Times New Roman" w:hAnsi="Times New Roman" w:eastAsia="宋体" w:cs="宋体"/>
                <w:color w:val="auto"/>
                <w:highlight w:val="none"/>
              </w:rPr>
              <w:t>应急响应及时，得</w:t>
            </w:r>
            <w:r>
              <w:rPr>
                <w:rFonts w:hint="eastAsia" w:cs="宋体"/>
                <w:color w:val="auto"/>
                <w:highlight w:val="none"/>
                <w:lang w:val="en-US" w:eastAsia="zh-CN"/>
              </w:rPr>
              <w:t>10</w:t>
            </w:r>
            <w:r>
              <w:rPr>
                <w:rFonts w:hint="eastAsia" w:ascii="Times New Roman" w:hAnsi="Times New Roman" w:eastAsia="宋体" w:cs="宋体"/>
                <w:color w:val="auto"/>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cs="宋体"/>
                <w:color w:val="auto"/>
                <w:highlight w:val="none"/>
                <w:lang w:val="en-US" w:eastAsia="zh-CN"/>
              </w:rPr>
            </w:pPr>
            <w:r>
              <w:rPr>
                <w:rFonts w:hint="eastAsia" w:cs="宋体"/>
                <w:color w:val="auto"/>
                <w:highlight w:val="none"/>
                <w:lang w:val="en-US" w:eastAsia="zh-CN"/>
              </w:rPr>
              <w:t>质保期</w:t>
            </w:r>
            <w:r>
              <w:rPr>
                <w:rFonts w:hint="eastAsia" w:ascii="Times New Roman" w:hAnsi="Times New Roman" w:eastAsia="宋体" w:cs="宋体"/>
                <w:color w:val="auto"/>
                <w:highlight w:val="none"/>
              </w:rPr>
              <w:t>服务体系较科学合理，保修期响应程度</w:t>
            </w:r>
            <w:r>
              <w:rPr>
                <w:rFonts w:hint="eastAsia" w:cs="宋体"/>
                <w:color w:val="auto"/>
                <w:highlight w:val="none"/>
                <w:lang w:val="en-US" w:eastAsia="zh-CN"/>
              </w:rPr>
              <w:t>较</w:t>
            </w:r>
            <w:r>
              <w:rPr>
                <w:rFonts w:hint="eastAsia" w:ascii="Times New Roman" w:hAnsi="Times New Roman" w:eastAsia="宋体" w:cs="宋体"/>
                <w:color w:val="auto"/>
                <w:highlight w:val="none"/>
              </w:rPr>
              <w:t>高</w:t>
            </w:r>
            <w:r>
              <w:rPr>
                <w:rFonts w:hint="eastAsia" w:cs="宋体"/>
                <w:color w:val="auto"/>
                <w:highlight w:val="none"/>
                <w:lang w:eastAsia="zh-CN"/>
              </w:rPr>
              <w:t>，</w:t>
            </w:r>
            <w:r>
              <w:rPr>
                <w:rFonts w:hint="eastAsia" w:ascii="Times New Roman" w:hAnsi="Times New Roman" w:eastAsia="宋体" w:cs="宋体"/>
                <w:color w:val="auto"/>
                <w:highlight w:val="none"/>
              </w:rPr>
              <w:t>应急响应</w:t>
            </w:r>
            <w:r>
              <w:rPr>
                <w:rFonts w:hint="eastAsia" w:cs="宋体"/>
                <w:color w:val="auto"/>
                <w:highlight w:val="none"/>
                <w:lang w:val="en-US" w:eastAsia="zh-CN"/>
              </w:rPr>
              <w:t>较</w:t>
            </w:r>
            <w:r>
              <w:rPr>
                <w:rFonts w:hint="eastAsia" w:ascii="Times New Roman" w:hAnsi="Times New Roman" w:eastAsia="宋体" w:cs="宋体"/>
                <w:color w:val="auto"/>
                <w:highlight w:val="none"/>
              </w:rPr>
              <w:t>及时，</w:t>
            </w:r>
            <w:r>
              <w:rPr>
                <w:rFonts w:hint="eastAsia" w:cs="宋体"/>
                <w:color w:val="auto"/>
                <w:highlight w:val="none"/>
                <w:lang w:val="en-US" w:eastAsia="zh-CN"/>
              </w:rPr>
              <w:t>得8分；</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cs="宋体"/>
                <w:color w:val="auto"/>
                <w:highlight w:val="none"/>
                <w:lang w:val="en-US" w:eastAsia="zh-CN"/>
              </w:rPr>
            </w:pPr>
            <w:r>
              <w:rPr>
                <w:rFonts w:hint="eastAsia" w:cs="宋体"/>
                <w:color w:val="auto"/>
                <w:highlight w:val="none"/>
                <w:lang w:val="en-US" w:eastAsia="zh-CN"/>
              </w:rPr>
              <w:t>质保期</w:t>
            </w:r>
            <w:r>
              <w:rPr>
                <w:rFonts w:hint="eastAsia" w:ascii="Times New Roman" w:hAnsi="Times New Roman" w:eastAsia="宋体" w:cs="宋体"/>
                <w:color w:val="auto"/>
                <w:highlight w:val="none"/>
              </w:rPr>
              <w:t>服务方案一般，保修期响应程度</w:t>
            </w:r>
            <w:r>
              <w:rPr>
                <w:rFonts w:hint="eastAsia" w:cs="宋体"/>
                <w:color w:val="auto"/>
                <w:highlight w:val="none"/>
                <w:lang w:val="en-US" w:eastAsia="zh-CN"/>
              </w:rPr>
              <w:t>不</w:t>
            </w:r>
            <w:r>
              <w:rPr>
                <w:rFonts w:hint="eastAsia" w:ascii="Times New Roman" w:hAnsi="Times New Roman" w:eastAsia="宋体" w:cs="宋体"/>
                <w:color w:val="auto"/>
                <w:highlight w:val="none"/>
              </w:rPr>
              <w:t>高</w:t>
            </w:r>
            <w:r>
              <w:rPr>
                <w:rFonts w:hint="eastAsia" w:cs="宋体"/>
                <w:color w:val="auto"/>
                <w:highlight w:val="none"/>
                <w:lang w:eastAsia="zh-CN"/>
              </w:rPr>
              <w:t>，</w:t>
            </w:r>
            <w:r>
              <w:rPr>
                <w:rFonts w:hint="eastAsia" w:ascii="Times New Roman" w:hAnsi="Times New Roman" w:eastAsia="宋体" w:cs="宋体"/>
                <w:color w:val="auto"/>
                <w:highlight w:val="none"/>
              </w:rPr>
              <w:t>应急响应</w:t>
            </w:r>
            <w:r>
              <w:rPr>
                <w:rFonts w:hint="eastAsia" w:cs="宋体"/>
                <w:color w:val="auto"/>
                <w:highlight w:val="none"/>
                <w:lang w:val="en-US" w:eastAsia="zh-CN"/>
              </w:rPr>
              <w:t>不</w:t>
            </w:r>
            <w:r>
              <w:rPr>
                <w:rFonts w:hint="eastAsia" w:ascii="Times New Roman" w:hAnsi="Times New Roman" w:eastAsia="宋体" w:cs="宋体"/>
                <w:color w:val="auto"/>
                <w:highlight w:val="none"/>
              </w:rPr>
              <w:t>及</w:t>
            </w:r>
            <w:r>
              <w:rPr>
                <w:rFonts w:hint="eastAsia" w:cs="宋体"/>
                <w:color w:val="auto"/>
                <w:highlight w:val="none"/>
                <w:lang w:val="en-US" w:eastAsia="zh-CN"/>
              </w:rPr>
              <w:t>时，得6分；</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宋体" w:hAnsi="宋体"/>
                <w:b/>
                <w:color w:val="auto"/>
                <w:szCs w:val="21"/>
                <w:highlight w:val="none"/>
              </w:rPr>
            </w:pPr>
            <w:r>
              <w:rPr>
                <w:rFonts w:hint="eastAsia" w:cs="宋体"/>
                <w:color w:val="auto"/>
                <w:highlight w:val="none"/>
                <w:lang w:val="en-US" w:eastAsia="zh-CN"/>
              </w:rPr>
              <w:t>没有质保期服务方案的</w:t>
            </w:r>
            <w:r>
              <w:rPr>
                <w:rFonts w:hint="eastAsia" w:ascii="Times New Roman" w:hAnsi="Times New Roman" w:eastAsia="宋体" w:cs="宋体"/>
                <w:color w:val="auto"/>
                <w:highlight w:val="none"/>
              </w:rPr>
              <w:t>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exact"/>
        </w:trPr>
        <w:tc>
          <w:tcPr>
            <w:tcW w:w="630" w:type="dxa"/>
            <w:tcBorders>
              <w:top w:val="single" w:color="auto" w:sz="4" w:space="0"/>
            </w:tcBorders>
            <w:noWrap w:val="0"/>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b/>
                <w:color w:val="auto"/>
                <w:szCs w:val="21"/>
                <w:highlight w:val="none"/>
                <w:lang w:val="en-US" w:eastAsia="zh-CN"/>
              </w:rPr>
            </w:pPr>
            <w:r>
              <w:rPr>
                <w:rFonts w:hint="eastAsia" w:ascii="宋体" w:hAnsi="宋体"/>
                <w:b/>
                <w:color w:val="auto"/>
                <w:szCs w:val="21"/>
                <w:highlight w:val="none"/>
                <w:lang w:val="en-US" w:eastAsia="zh-CN"/>
              </w:rPr>
              <w:t>三</w:t>
            </w:r>
          </w:p>
        </w:tc>
        <w:tc>
          <w:tcPr>
            <w:tcW w:w="6710" w:type="dxa"/>
            <w:gridSpan w:val="3"/>
            <w:tcBorders>
              <w:top w:val="single" w:color="auto" w:sz="4" w:space="0"/>
            </w:tcBorders>
            <w:noWrap w:val="0"/>
            <w:vAlign w:val="center"/>
          </w:tcPr>
          <w:p>
            <w:pPr>
              <w:pageBreakBefore w:val="0"/>
              <w:kinsoku/>
              <w:wordWrap/>
              <w:overflowPunct/>
              <w:topLinePunct w:val="0"/>
              <w:autoSpaceDE/>
              <w:autoSpaceDN/>
              <w:bidi w:val="0"/>
              <w:spacing w:line="400" w:lineRule="exact"/>
              <w:textAlignment w:val="auto"/>
              <w:rPr>
                <w:rFonts w:hint="eastAsia" w:cs="宋体"/>
                <w:color w:val="auto"/>
                <w:szCs w:val="21"/>
                <w:highlight w:val="none"/>
              </w:rPr>
            </w:pPr>
            <w:r>
              <w:rPr>
                <w:rFonts w:hint="eastAsia" w:hAnsi="宋体"/>
                <w:b/>
                <w:color w:val="auto"/>
                <w:szCs w:val="21"/>
                <w:highlight w:val="none"/>
              </w:rPr>
              <w:t>施工组织设计</w:t>
            </w:r>
            <w:r>
              <w:rPr>
                <w:rFonts w:hint="eastAsia" w:ascii="宋体" w:hAnsi="宋体"/>
                <w:b/>
                <w:color w:val="auto"/>
                <w:szCs w:val="21"/>
                <w:highlight w:val="none"/>
              </w:rPr>
              <w:t>（</w:t>
            </w:r>
            <w:r>
              <w:rPr>
                <w:rFonts w:hint="eastAsia" w:ascii="宋体" w:hAnsi="宋体"/>
                <w:b/>
                <w:color w:val="auto"/>
                <w:szCs w:val="21"/>
                <w:highlight w:val="none"/>
                <w:u w:val="single"/>
                <w:lang w:val="en-US" w:eastAsia="zh-CN"/>
              </w:rPr>
              <w:t>40</w:t>
            </w:r>
            <w:r>
              <w:rPr>
                <w:rFonts w:hint="eastAsia" w:ascii="宋体" w:hAnsi="宋体"/>
                <w:b/>
                <w:color w:val="auto"/>
                <w:szCs w:val="21"/>
                <w:highlight w:val="none"/>
              </w:rPr>
              <w:t>分）</w:t>
            </w:r>
          </w:p>
        </w:tc>
        <w:tc>
          <w:tcPr>
            <w:tcW w:w="1968" w:type="dxa"/>
            <w:tcBorders>
              <w:top w:val="single" w:color="auto" w:sz="4" w:space="0"/>
            </w:tcBorders>
            <w:noWrap w:val="0"/>
            <w:vAlign w:val="top"/>
          </w:tcPr>
          <w:p>
            <w:pPr>
              <w:pageBreakBefore w:val="0"/>
              <w:kinsoku/>
              <w:wordWrap/>
              <w:overflowPunct/>
              <w:topLinePunct w:val="0"/>
              <w:autoSpaceDE/>
              <w:autoSpaceDN/>
              <w:bidi w:val="0"/>
              <w:spacing w:line="400" w:lineRule="exact"/>
              <w:textAlignment w:val="auto"/>
              <w:rPr>
                <w:rFonts w:hint="eastAsia"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4" w:hRule="atLeast"/>
        </w:trPr>
        <w:tc>
          <w:tcPr>
            <w:tcW w:w="630" w:type="dxa"/>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400" w:lineRule="exact"/>
              <w:jc w:val="center"/>
              <w:textAlignment w:val="auto"/>
              <w:rPr>
                <w:rFonts w:hAnsi="宋体"/>
                <w:b/>
                <w:bCs/>
                <w:color w:val="auto"/>
                <w:szCs w:val="21"/>
                <w:highlight w:val="none"/>
              </w:rPr>
            </w:pPr>
            <w:r>
              <w:rPr>
                <w:rFonts w:hint="eastAsia" w:hAnsi="宋体"/>
                <w:b/>
                <w:bCs/>
                <w:color w:val="auto"/>
                <w:szCs w:val="21"/>
                <w:highlight w:val="none"/>
              </w:rPr>
              <w:t>1</w:t>
            </w:r>
          </w:p>
        </w:tc>
        <w:tc>
          <w:tcPr>
            <w:tcW w:w="1621" w:type="dxa"/>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line="400" w:lineRule="exact"/>
              <w:ind w:left="-35" w:right="-38"/>
              <w:textAlignment w:val="auto"/>
              <w:rPr>
                <w:rFonts w:hint="eastAsia" w:hAnsi="宋体" w:eastAsia="宋体"/>
                <w:b/>
                <w:bCs/>
                <w:color w:val="auto"/>
                <w:szCs w:val="21"/>
                <w:highlight w:val="none"/>
                <w:lang w:eastAsia="zh-CN"/>
              </w:rPr>
            </w:pPr>
            <w:r>
              <w:rPr>
                <w:rFonts w:hint="eastAsia" w:hAnsi="宋体"/>
                <w:b/>
                <w:bCs/>
                <w:color w:val="auto"/>
                <w:szCs w:val="21"/>
                <w:highlight w:val="none"/>
              </w:rPr>
              <w:t>主要施工方法</w:t>
            </w:r>
            <w:r>
              <w:rPr>
                <w:rFonts w:hint="eastAsia" w:hAnsi="宋体"/>
                <w:b/>
                <w:bCs/>
                <w:color w:val="auto"/>
                <w:szCs w:val="21"/>
                <w:highlight w:val="none"/>
                <w:lang w:eastAsia="zh-CN"/>
              </w:rPr>
              <w:t>（</w:t>
            </w:r>
            <w:r>
              <w:rPr>
                <w:rFonts w:hint="eastAsia" w:hAnsi="宋体"/>
                <w:b/>
                <w:bCs/>
                <w:color w:val="auto"/>
                <w:szCs w:val="21"/>
                <w:highlight w:val="none"/>
                <w:u w:val="single"/>
                <w:lang w:val="en-US" w:eastAsia="zh-CN"/>
              </w:rPr>
              <w:t>4</w:t>
            </w:r>
            <w:r>
              <w:rPr>
                <w:rFonts w:hint="eastAsia" w:hAnsi="宋体"/>
                <w:b/>
                <w:bCs/>
                <w:color w:val="auto"/>
                <w:szCs w:val="21"/>
                <w:highlight w:val="none"/>
                <w:lang w:val="en-US" w:eastAsia="zh-CN"/>
              </w:rPr>
              <w:t>分</w:t>
            </w:r>
            <w:r>
              <w:rPr>
                <w:rFonts w:hint="eastAsia" w:hAnsi="宋体"/>
                <w:b/>
                <w:bCs/>
                <w:color w:val="auto"/>
                <w:szCs w:val="21"/>
                <w:highlight w:val="none"/>
                <w:lang w:eastAsia="zh-CN"/>
              </w:rPr>
              <w:t>）</w:t>
            </w:r>
          </w:p>
        </w:tc>
        <w:tc>
          <w:tcPr>
            <w:tcW w:w="5089" w:type="dxa"/>
            <w:gridSpan w:val="2"/>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line="400" w:lineRule="exact"/>
              <w:ind w:left="-35" w:right="-38"/>
              <w:textAlignment w:val="auto"/>
              <w:rPr>
                <w:rFonts w:hAnsi="宋体" w:cs="宋体"/>
                <w:color w:val="auto"/>
                <w:szCs w:val="21"/>
                <w:highlight w:val="none"/>
              </w:rPr>
            </w:pPr>
            <w:r>
              <w:rPr>
                <w:rFonts w:hint="eastAsia" w:hAnsi="宋体" w:cs="宋体"/>
                <w:color w:val="auto"/>
                <w:szCs w:val="21"/>
                <w:highlight w:val="none"/>
              </w:rPr>
              <w:t>各主要分部施工方法符合项目实际，须有详尽的施工技术方案，工艺先进、方法科学合理、可行，能指导具体施工并确保安全。优的得</w:t>
            </w:r>
            <w:r>
              <w:rPr>
                <w:rFonts w:hint="eastAsia" w:hAnsi="宋体" w:cs="宋体"/>
                <w:color w:val="auto"/>
                <w:szCs w:val="21"/>
                <w:highlight w:val="none"/>
                <w:lang w:val="en-US" w:eastAsia="zh-CN"/>
              </w:rPr>
              <w:t>4</w:t>
            </w:r>
            <w:r>
              <w:rPr>
                <w:rFonts w:hint="eastAsia" w:hAnsi="宋体" w:cs="宋体"/>
                <w:color w:val="auto"/>
                <w:szCs w:val="21"/>
                <w:highlight w:val="none"/>
              </w:rPr>
              <w:t>分，良的得</w:t>
            </w:r>
            <w:r>
              <w:rPr>
                <w:rFonts w:hint="eastAsia" w:hAnsi="宋体" w:cs="宋体"/>
                <w:color w:val="auto"/>
                <w:szCs w:val="21"/>
                <w:highlight w:val="none"/>
                <w:lang w:val="en-US" w:eastAsia="zh-CN"/>
              </w:rPr>
              <w:t>3.2</w:t>
            </w:r>
            <w:r>
              <w:rPr>
                <w:rFonts w:hint="eastAsia" w:hAnsi="宋体" w:cs="宋体"/>
                <w:color w:val="auto"/>
                <w:szCs w:val="21"/>
                <w:highlight w:val="none"/>
              </w:rPr>
              <w:t>分，合格的得</w:t>
            </w:r>
            <w:r>
              <w:rPr>
                <w:rFonts w:hint="eastAsia" w:hAnsi="宋体" w:cs="宋体"/>
                <w:color w:val="auto"/>
                <w:szCs w:val="21"/>
                <w:highlight w:val="none"/>
                <w:lang w:val="en-US" w:eastAsia="zh-CN"/>
              </w:rPr>
              <w:t>2.4</w:t>
            </w:r>
            <w:r>
              <w:rPr>
                <w:rFonts w:hint="eastAsia" w:hAnsi="宋体" w:cs="宋体"/>
                <w:color w:val="auto"/>
                <w:szCs w:val="21"/>
                <w:highlight w:val="none"/>
              </w:rPr>
              <w:t>分，差的不得分。</w:t>
            </w:r>
          </w:p>
        </w:tc>
        <w:tc>
          <w:tcPr>
            <w:tcW w:w="1968" w:type="dxa"/>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line="400" w:lineRule="exact"/>
              <w:ind w:left="-35" w:right="-38"/>
              <w:jc w:val="center"/>
              <w:textAlignment w:val="auto"/>
              <w:rPr>
                <w:rFonts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630" w:type="dxa"/>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400" w:lineRule="exact"/>
              <w:jc w:val="center"/>
              <w:textAlignment w:val="auto"/>
              <w:rPr>
                <w:rFonts w:hAnsi="宋体"/>
                <w:b/>
                <w:bCs/>
                <w:color w:val="auto"/>
                <w:szCs w:val="21"/>
                <w:highlight w:val="none"/>
              </w:rPr>
            </w:pPr>
            <w:r>
              <w:rPr>
                <w:rFonts w:hint="eastAsia" w:hAnsi="宋体"/>
                <w:b/>
                <w:bCs/>
                <w:color w:val="auto"/>
                <w:szCs w:val="21"/>
                <w:highlight w:val="none"/>
              </w:rPr>
              <w:t>2</w:t>
            </w:r>
          </w:p>
        </w:tc>
        <w:tc>
          <w:tcPr>
            <w:tcW w:w="1621" w:type="dxa"/>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line="400" w:lineRule="exact"/>
              <w:ind w:left="-35" w:right="-38"/>
              <w:textAlignment w:val="auto"/>
              <w:rPr>
                <w:rFonts w:hint="eastAsia" w:hAnsi="宋体" w:eastAsia="宋体"/>
                <w:b/>
                <w:bCs/>
                <w:color w:val="auto"/>
                <w:szCs w:val="21"/>
                <w:highlight w:val="none"/>
                <w:lang w:eastAsia="zh-CN"/>
              </w:rPr>
            </w:pPr>
            <w:r>
              <w:rPr>
                <w:rFonts w:hAnsi="宋体"/>
                <w:b/>
                <w:color w:val="auto"/>
                <w:szCs w:val="21"/>
                <w:highlight w:val="none"/>
              </w:rPr>
              <w:t>拟投入的主要物资计划</w:t>
            </w:r>
            <w:r>
              <w:rPr>
                <w:rFonts w:hint="eastAsia" w:hAnsi="宋体"/>
                <w:b/>
                <w:bCs/>
                <w:color w:val="auto"/>
                <w:szCs w:val="21"/>
                <w:highlight w:val="none"/>
                <w:lang w:eastAsia="zh-CN"/>
              </w:rPr>
              <w:t>（</w:t>
            </w:r>
            <w:r>
              <w:rPr>
                <w:rFonts w:hint="eastAsia" w:hAnsi="宋体"/>
                <w:b/>
                <w:bCs/>
                <w:color w:val="auto"/>
                <w:szCs w:val="21"/>
                <w:highlight w:val="none"/>
                <w:lang w:val="en-US" w:eastAsia="zh-CN"/>
              </w:rPr>
              <w:t>4分</w:t>
            </w:r>
            <w:r>
              <w:rPr>
                <w:rFonts w:hint="eastAsia" w:hAnsi="宋体"/>
                <w:b/>
                <w:bCs/>
                <w:color w:val="auto"/>
                <w:szCs w:val="21"/>
                <w:highlight w:val="none"/>
                <w:lang w:eastAsia="zh-CN"/>
              </w:rPr>
              <w:t>）</w:t>
            </w:r>
          </w:p>
        </w:tc>
        <w:tc>
          <w:tcPr>
            <w:tcW w:w="5089" w:type="dxa"/>
            <w:gridSpan w:val="2"/>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line="400" w:lineRule="exact"/>
              <w:ind w:left="-35" w:right="-38"/>
              <w:textAlignment w:val="auto"/>
              <w:rPr>
                <w:rFonts w:hAnsi="宋体" w:cs="宋体"/>
                <w:color w:val="auto"/>
                <w:szCs w:val="21"/>
                <w:highlight w:val="none"/>
              </w:rPr>
            </w:pPr>
            <w:r>
              <w:rPr>
                <w:rFonts w:hAnsi="宋体"/>
                <w:bCs/>
                <w:color w:val="auto"/>
                <w:szCs w:val="21"/>
                <w:highlight w:val="none"/>
              </w:rPr>
              <w:t>投入的</w:t>
            </w:r>
            <w:r>
              <w:rPr>
                <w:rFonts w:hint="eastAsia" w:hAnsi="宋体"/>
                <w:bCs/>
                <w:color w:val="auto"/>
                <w:szCs w:val="21"/>
                <w:highlight w:val="none"/>
              </w:rPr>
              <w:t>施工材料</w:t>
            </w:r>
            <w:r>
              <w:rPr>
                <w:rFonts w:hint="eastAsia" w:hAnsi="宋体"/>
                <w:bCs/>
                <w:color w:val="auto"/>
                <w:szCs w:val="21"/>
                <w:highlight w:val="none"/>
                <w:lang w:val="en-US" w:eastAsia="zh-CN"/>
              </w:rPr>
              <w:t>等主要物资</w:t>
            </w:r>
            <w:r>
              <w:rPr>
                <w:rFonts w:hAnsi="宋体"/>
                <w:bCs/>
                <w:color w:val="auto"/>
                <w:szCs w:val="21"/>
                <w:highlight w:val="none"/>
              </w:rPr>
              <w:t>有详细计划且计划周密，</w:t>
            </w:r>
            <w:r>
              <w:rPr>
                <w:rFonts w:hint="eastAsia" w:hAnsi="宋体"/>
                <w:bCs/>
                <w:color w:val="auto"/>
                <w:szCs w:val="21"/>
                <w:highlight w:val="none"/>
                <w:lang w:val="en-US" w:eastAsia="zh-CN"/>
              </w:rPr>
              <w:t>物资</w:t>
            </w:r>
            <w:r>
              <w:rPr>
                <w:rFonts w:hAnsi="宋体"/>
                <w:bCs/>
                <w:color w:val="auto"/>
                <w:szCs w:val="21"/>
                <w:highlight w:val="none"/>
              </w:rPr>
              <w:t>数量、选型配置、进场数量、时间安排合理，满足施工需要。</w:t>
            </w:r>
            <w:r>
              <w:rPr>
                <w:rFonts w:hint="eastAsia" w:hAnsi="宋体" w:cs="宋体"/>
                <w:color w:val="auto"/>
                <w:szCs w:val="21"/>
                <w:highlight w:val="none"/>
              </w:rPr>
              <w:t>优的得</w:t>
            </w:r>
            <w:r>
              <w:rPr>
                <w:rFonts w:hint="eastAsia" w:hAnsi="宋体" w:cs="宋体"/>
                <w:color w:val="auto"/>
                <w:szCs w:val="21"/>
                <w:highlight w:val="none"/>
                <w:lang w:val="en-US" w:eastAsia="zh-CN"/>
              </w:rPr>
              <w:t>4</w:t>
            </w:r>
            <w:r>
              <w:rPr>
                <w:rFonts w:hint="eastAsia" w:hAnsi="宋体" w:cs="宋体"/>
                <w:color w:val="auto"/>
                <w:szCs w:val="21"/>
                <w:highlight w:val="none"/>
              </w:rPr>
              <w:t>分，良的得</w:t>
            </w:r>
            <w:r>
              <w:rPr>
                <w:rFonts w:hint="eastAsia" w:hAnsi="宋体" w:cs="宋体"/>
                <w:color w:val="auto"/>
                <w:szCs w:val="21"/>
                <w:highlight w:val="none"/>
                <w:lang w:val="en-US" w:eastAsia="zh-CN"/>
              </w:rPr>
              <w:t>3.2</w:t>
            </w:r>
            <w:r>
              <w:rPr>
                <w:rFonts w:hint="eastAsia" w:hAnsi="宋体" w:cs="宋体"/>
                <w:color w:val="auto"/>
                <w:szCs w:val="21"/>
                <w:highlight w:val="none"/>
              </w:rPr>
              <w:t>分，合格的得</w:t>
            </w:r>
            <w:r>
              <w:rPr>
                <w:rFonts w:hint="eastAsia" w:hAnsi="宋体" w:cs="宋体"/>
                <w:color w:val="auto"/>
                <w:szCs w:val="21"/>
                <w:highlight w:val="none"/>
                <w:lang w:val="en-US" w:eastAsia="zh-CN"/>
              </w:rPr>
              <w:t>2.4</w:t>
            </w:r>
            <w:r>
              <w:rPr>
                <w:rFonts w:hint="eastAsia" w:hAnsi="宋体" w:cs="宋体"/>
                <w:color w:val="auto"/>
                <w:szCs w:val="21"/>
                <w:highlight w:val="none"/>
              </w:rPr>
              <w:t>分，差的不得分。</w:t>
            </w:r>
          </w:p>
        </w:tc>
        <w:tc>
          <w:tcPr>
            <w:tcW w:w="1968" w:type="dxa"/>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line="400" w:lineRule="exact"/>
              <w:ind w:left="-35" w:right="-38"/>
              <w:jc w:val="center"/>
              <w:textAlignment w:val="auto"/>
              <w:rPr>
                <w:rFonts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7" w:hRule="atLeast"/>
        </w:trPr>
        <w:tc>
          <w:tcPr>
            <w:tcW w:w="630" w:type="dxa"/>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400" w:lineRule="exact"/>
              <w:jc w:val="center"/>
              <w:textAlignment w:val="auto"/>
              <w:rPr>
                <w:rFonts w:hint="eastAsia" w:hAnsi="宋体" w:eastAsia="宋体"/>
                <w:b/>
                <w:bCs/>
                <w:color w:val="auto"/>
                <w:szCs w:val="21"/>
                <w:highlight w:val="none"/>
                <w:lang w:val="en-US" w:eastAsia="zh-CN"/>
              </w:rPr>
            </w:pPr>
            <w:r>
              <w:rPr>
                <w:rFonts w:hint="eastAsia" w:hAnsi="宋体"/>
                <w:b/>
                <w:bCs/>
                <w:color w:val="auto"/>
                <w:szCs w:val="21"/>
                <w:highlight w:val="none"/>
                <w:lang w:val="en-US" w:eastAsia="zh-CN"/>
              </w:rPr>
              <w:t>3</w:t>
            </w:r>
          </w:p>
        </w:tc>
        <w:tc>
          <w:tcPr>
            <w:tcW w:w="1621" w:type="dxa"/>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line="400" w:lineRule="exact"/>
              <w:ind w:left="-35" w:right="-38"/>
              <w:textAlignment w:val="auto"/>
              <w:rPr>
                <w:rFonts w:hAnsi="宋体"/>
                <w:b/>
                <w:color w:val="auto"/>
                <w:szCs w:val="21"/>
                <w:highlight w:val="none"/>
              </w:rPr>
            </w:pPr>
            <w:r>
              <w:rPr>
                <w:rFonts w:hint="eastAsia" w:hAnsi="宋体"/>
                <w:b/>
                <w:color w:val="auto"/>
                <w:szCs w:val="21"/>
                <w:highlight w:val="none"/>
                <w:lang w:val="en-US" w:eastAsia="zh-CN"/>
              </w:rPr>
              <w:t>拟投入的</w:t>
            </w:r>
            <w:r>
              <w:rPr>
                <w:rFonts w:hint="eastAsia" w:hAnsi="宋体"/>
                <w:b/>
                <w:color w:val="auto"/>
                <w:szCs w:val="21"/>
                <w:highlight w:val="none"/>
                <w:lang w:eastAsia="zh-CN"/>
              </w:rPr>
              <w:t>主要施工机械、设备计划</w:t>
            </w:r>
            <w:r>
              <w:rPr>
                <w:rFonts w:hint="eastAsia" w:hAnsi="宋体"/>
                <w:b/>
                <w:bCs/>
                <w:color w:val="auto"/>
                <w:szCs w:val="21"/>
                <w:highlight w:val="none"/>
                <w:lang w:eastAsia="zh-CN"/>
              </w:rPr>
              <w:t>（</w:t>
            </w:r>
            <w:r>
              <w:rPr>
                <w:rFonts w:hint="eastAsia" w:hAnsi="宋体"/>
                <w:b/>
                <w:bCs/>
                <w:color w:val="auto"/>
                <w:szCs w:val="21"/>
                <w:highlight w:val="none"/>
                <w:lang w:val="en-US" w:eastAsia="zh-CN"/>
              </w:rPr>
              <w:t>4分</w:t>
            </w:r>
            <w:r>
              <w:rPr>
                <w:rFonts w:hint="eastAsia" w:hAnsi="宋体"/>
                <w:b/>
                <w:bCs/>
                <w:color w:val="auto"/>
                <w:szCs w:val="21"/>
                <w:highlight w:val="none"/>
                <w:lang w:eastAsia="zh-CN"/>
              </w:rPr>
              <w:t>）</w:t>
            </w:r>
          </w:p>
        </w:tc>
        <w:tc>
          <w:tcPr>
            <w:tcW w:w="5089" w:type="dxa"/>
            <w:gridSpan w:val="2"/>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line="400" w:lineRule="exact"/>
              <w:ind w:left="-35" w:right="-38"/>
              <w:textAlignment w:val="auto"/>
              <w:rPr>
                <w:rFonts w:hAnsi="宋体"/>
                <w:bCs/>
                <w:color w:val="auto"/>
                <w:szCs w:val="21"/>
                <w:highlight w:val="none"/>
              </w:rPr>
            </w:pPr>
            <w:r>
              <w:rPr>
                <w:rFonts w:hAnsi="宋体"/>
                <w:bCs/>
                <w:color w:val="auto"/>
                <w:szCs w:val="21"/>
                <w:highlight w:val="none"/>
              </w:rPr>
              <w:t>投入的施工机械、设备、机具有详细计划且计划周密，设备数量、选型配置、进场数量、时间安排合理，满足施工需要。</w:t>
            </w:r>
            <w:r>
              <w:rPr>
                <w:rFonts w:hint="eastAsia" w:hAnsi="宋体" w:cs="宋体"/>
                <w:color w:val="auto"/>
                <w:szCs w:val="21"/>
                <w:highlight w:val="none"/>
              </w:rPr>
              <w:t>优的得</w:t>
            </w:r>
            <w:r>
              <w:rPr>
                <w:rFonts w:hint="eastAsia" w:hAnsi="宋体" w:cs="宋体"/>
                <w:color w:val="auto"/>
                <w:szCs w:val="21"/>
                <w:highlight w:val="none"/>
                <w:lang w:val="en-US" w:eastAsia="zh-CN"/>
              </w:rPr>
              <w:t>4</w:t>
            </w:r>
            <w:r>
              <w:rPr>
                <w:rFonts w:hint="eastAsia" w:hAnsi="宋体" w:cs="宋体"/>
                <w:color w:val="auto"/>
                <w:szCs w:val="21"/>
                <w:highlight w:val="none"/>
              </w:rPr>
              <w:t>分，良的得</w:t>
            </w:r>
            <w:r>
              <w:rPr>
                <w:rFonts w:hint="eastAsia" w:hAnsi="宋体" w:cs="宋体"/>
                <w:color w:val="auto"/>
                <w:szCs w:val="21"/>
                <w:highlight w:val="none"/>
                <w:lang w:val="en-US" w:eastAsia="zh-CN"/>
              </w:rPr>
              <w:t>3.2</w:t>
            </w:r>
            <w:r>
              <w:rPr>
                <w:rFonts w:hint="eastAsia" w:hAnsi="宋体" w:cs="宋体"/>
                <w:color w:val="auto"/>
                <w:szCs w:val="21"/>
                <w:highlight w:val="none"/>
              </w:rPr>
              <w:t>分，合格的得</w:t>
            </w:r>
            <w:r>
              <w:rPr>
                <w:rFonts w:hint="eastAsia" w:hAnsi="宋体" w:cs="宋体"/>
                <w:color w:val="auto"/>
                <w:szCs w:val="21"/>
                <w:highlight w:val="none"/>
                <w:lang w:val="en-US" w:eastAsia="zh-CN"/>
              </w:rPr>
              <w:t>2.4</w:t>
            </w:r>
            <w:r>
              <w:rPr>
                <w:rFonts w:hint="eastAsia" w:hAnsi="宋体" w:cs="宋体"/>
                <w:color w:val="auto"/>
                <w:szCs w:val="21"/>
                <w:highlight w:val="none"/>
              </w:rPr>
              <w:t>分，差的不得分。</w:t>
            </w:r>
          </w:p>
        </w:tc>
        <w:tc>
          <w:tcPr>
            <w:tcW w:w="1968" w:type="dxa"/>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line="400" w:lineRule="exact"/>
              <w:ind w:left="-35" w:right="-38"/>
              <w:jc w:val="center"/>
              <w:textAlignment w:val="auto"/>
              <w:rPr>
                <w:rFonts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630" w:type="dxa"/>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400" w:lineRule="exact"/>
              <w:jc w:val="center"/>
              <w:textAlignment w:val="auto"/>
              <w:rPr>
                <w:rFonts w:hint="eastAsia" w:hAnsi="宋体" w:eastAsia="宋体"/>
                <w:b/>
                <w:bCs/>
                <w:color w:val="auto"/>
                <w:szCs w:val="21"/>
                <w:highlight w:val="none"/>
                <w:lang w:eastAsia="zh-CN"/>
              </w:rPr>
            </w:pPr>
            <w:r>
              <w:rPr>
                <w:rFonts w:hint="eastAsia" w:hAnsi="宋体"/>
                <w:b/>
                <w:bCs/>
                <w:color w:val="auto"/>
                <w:szCs w:val="21"/>
                <w:highlight w:val="none"/>
                <w:lang w:val="en-US" w:eastAsia="zh-CN"/>
              </w:rPr>
              <w:t>4</w:t>
            </w:r>
          </w:p>
        </w:tc>
        <w:tc>
          <w:tcPr>
            <w:tcW w:w="1621" w:type="dxa"/>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line="400" w:lineRule="exact"/>
              <w:ind w:left="-35" w:right="-38"/>
              <w:textAlignment w:val="auto"/>
              <w:rPr>
                <w:rFonts w:hAnsi="宋体"/>
                <w:b/>
                <w:bCs/>
                <w:color w:val="auto"/>
                <w:szCs w:val="21"/>
                <w:highlight w:val="none"/>
              </w:rPr>
            </w:pPr>
            <w:r>
              <w:rPr>
                <w:rFonts w:hint="eastAsia" w:hAnsi="宋体"/>
                <w:b/>
                <w:bCs/>
                <w:color w:val="auto"/>
                <w:szCs w:val="21"/>
                <w:highlight w:val="none"/>
                <w:lang w:eastAsia="zh-CN"/>
              </w:rPr>
              <w:t>劳动力安排计划及劳动力计划表（</w:t>
            </w:r>
            <w:r>
              <w:rPr>
                <w:rFonts w:hint="eastAsia" w:hAnsi="宋体"/>
                <w:b/>
                <w:bCs/>
                <w:color w:val="auto"/>
                <w:szCs w:val="21"/>
                <w:highlight w:val="none"/>
                <w:lang w:val="en-US" w:eastAsia="zh-CN"/>
              </w:rPr>
              <w:t>4分</w:t>
            </w:r>
            <w:r>
              <w:rPr>
                <w:rFonts w:hint="eastAsia" w:hAnsi="宋体"/>
                <w:b/>
                <w:bCs/>
                <w:color w:val="auto"/>
                <w:szCs w:val="21"/>
                <w:highlight w:val="none"/>
                <w:lang w:eastAsia="zh-CN"/>
              </w:rPr>
              <w:t>）</w:t>
            </w:r>
          </w:p>
        </w:tc>
        <w:tc>
          <w:tcPr>
            <w:tcW w:w="5089" w:type="dxa"/>
            <w:gridSpan w:val="2"/>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line="400" w:lineRule="exact"/>
              <w:ind w:left="-35" w:right="-38"/>
              <w:textAlignment w:val="auto"/>
              <w:rPr>
                <w:rFonts w:hAnsi="宋体" w:cs="宋体"/>
                <w:color w:val="auto"/>
                <w:szCs w:val="21"/>
                <w:highlight w:val="none"/>
              </w:rPr>
            </w:pPr>
            <w:r>
              <w:rPr>
                <w:rFonts w:hAnsi="宋体"/>
                <w:bCs/>
                <w:color w:val="auto"/>
                <w:szCs w:val="21"/>
                <w:highlight w:val="none"/>
              </w:rPr>
              <w:t>各主要施工工序应有详细周密的劳动力安排计划明细，有各工种劳动力安排计划，劳动力投入经济合理，满足施工需要</w:t>
            </w:r>
            <w:r>
              <w:rPr>
                <w:rFonts w:hint="eastAsia" w:hAnsi="宋体"/>
                <w:bCs/>
                <w:color w:val="auto"/>
                <w:szCs w:val="21"/>
                <w:highlight w:val="none"/>
              </w:rPr>
              <w:t>。</w:t>
            </w:r>
            <w:r>
              <w:rPr>
                <w:rFonts w:hint="eastAsia" w:hAnsi="宋体" w:cs="宋体"/>
                <w:color w:val="auto"/>
                <w:szCs w:val="21"/>
                <w:highlight w:val="none"/>
              </w:rPr>
              <w:t>优的得</w:t>
            </w:r>
            <w:r>
              <w:rPr>
                <w:rFonts w:hint="eastAsia" w:hAnsi="宋体" w:cs="宋体"/>
                <w:color w:val="auto"/>
                <w:szCs w:val="21"/>
                <w:highlight w:val="none"/>
                <w:lang w:val="en-US" w:eastAsia="zh-CN"/>
              </w:rPr>
              <w:t>4</w:t>
            </w:r>
            <w:r>
              <w:rPr>
                <w:rFonts w:hint="eastAsia" w:hAnsi="宋体" w:cs="宋体"/>
                <w:color w:val="auto"/>
                <w:szCs w:val="21"/>
                <w:highlight w:val="none"/>
              </w:rPr>
              <w:t>分，良的得</w:t>
            </w:r>
            <w:r>
              <w:rPr>
                <w:rFonts w:hint="eastAsia" w:hAnsi="宋体" w:cs="宋体"/>
                <w:color w:val="auto"/>
                <w:szCs w:val="21"/>
                <w:highlight w:val="none"/>
                <w:lang w:val="en-US" w:eastAsia="zh-CN"/>
              </w:rPr>
              <w:t>3.2</w:t>
            </w:r>
            <w:r>
              <w:rPr>
                <w:rFonts w:hint="eastAsia" w:hAnsi="宋体" w:cs="宋体"/>
                <w:color w:val="auto"/>
                <w:szCs w:val="21"/>
                <w:highlight w:val="none"/>
              </w:rPr>
              <w:t>分，合格的得</w:t>
            </w:r>
            <w:r>
              <w:rPr>
                <w:rFonts w:hint="eastAsia" w:hAnsi="宋体" w:cs="宋体"/>
                <w:color w:val="auto"/>
                <w:szCs w:val="21"/>
                <w:highlight w:val="none"/>
                <w:lang w:val="en-US" w:eastAsia="zh-CN"/>
              </w:rPr>
              <w:t>2.4</w:t>
            </w:r>
            <w:r>
              <w:rPr>
                <w:rFonts w:hint="eastAsia" w:hAnsi="宋体" w:cs="宋体"/>
                <w:color w:val="auto"/>
                <w:szCs w:val="21"/>
                <w:highlight w:val="none"/>
              </w:rPr>
              <w:t>分，差的不得分。</w:t>
            </w:r>
          </w:p>
        </w:tc>
        <w:tc>
          <w:tcPr>
            <w:tcW w:w="1968" w:type="dxa"/>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line="400" w:lineRule="exact"/>
              <w:ind w:left="-35" w:right="-38"/>
              <w:jc w:val="center"/>
              <w:textAlignment w:val="auto"/>
              <w:rPr>
                <w:rFonts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9" w:hRule="atLeast"/>
        </w:trPr>
        <w:tc>
          <w:tcPr>
            <w:tcW w:w="630" w:type="dxa"/>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400" w:lineRule="exact"/>
              <w:jc w:val="center"/>
              <w:textAlignment w:val="auto"/>
              <w:rPr>
                <w:rFonts w:hint="eastAsia" w:hAnsi="宋体" w:eastAsia="宋体"/>
                <w:b/>
                <w:bCs/>
                <w:color w:val="auto"/>
                <w:szCs w:val="21"/>
                <w:highlight w:val="none"/>
                <w:lang w:eastAsia="zh-CN"/>
              </w:rPr>
            </w:pPr>
            <w:r>
              <w:rPr>
                <w:rFonts w:hint="eastAsia" w:hAnsi="宋体"/>
                <w:b/>
                <w:bCs/>
                <w:color w:val="auto"/>
                <w:szCs w:val="21"/>
                <w:highlight w:val="none"/>
                <w:lang w:val="en-US" w:eastAsia="zh-CN"/>
              </w:rPr>
              <w:t>5</w:t>
            </w:r>
          </w:p>
        </w:tc>
        <w:tc>
          <w:tcPr>
            <w:tcW w:w="1621" w:type="dxa"/>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line="400" w:lineRule="exact"/>
              <w:ind w:left="-35" w:right="-38"/>
              <w:textAlignment w:val="auto"/>
              <w:rPr>
                <w:rFonts w:hAnsi="宋体"/>
                <w:b/>
                <w:bCs/>
                <w:color w:val="auto"/>
                <w:szCs w:val="21"/>
                <w:highlight w:val="none"/>
              </w:rPr>
            </w:pPr>
            <w:r>
              <w:rPr>
                <w:rFonts w:hAnsi="宋体"/>
                <w:b/>
                <w:color w:val="auto"/>
                <w:szCs w:val="21"/>
                <w:highlight w:val="none"/>
              </w:rPr>
              <w:t>确保工程质量的技术组织措施</w:t>
            </w:r>
            <w:r>
              <w:rPr>
                <w:rFonts w:hint="eastAsia" w:hAnsi="宋体"/>
                <w:b/>
                <w:bCs/>
                <w:color w:val="auto"/>
                <w:szCs w:val="21"/>
                <w:highlight w:val="none"/>
                <w:lang w:eastAsia="zh-CN"/>
              </w:rPr>
              <w:t>（</w:t>
            </w:r>
            <w:r>
              <w:rPr>
                <w:rFonts w:hint="eastAsia" w:hAnsi="宋体"/>
                <w:b/>
                <w:bCs/>
                <w:color w:val="auto"/>
                <w:szCs w:val="21"/>
                <w:highlight w:val="none"/>
                <w:lang w:val="en-US" w:eastAsia="zh-CN"/>
              </w:rPr>
              <w:t>4分</w:t>
            </w:r>
            <w:r>
              <w:rPr>
                <w:rFonts w:hint="eastAsia" w:hAnsi="宋体"/>
                <w:b/>
                <w:bCs/>
                <w:color w:val="auto"/>
                <w:szCs w:val="21"/>
                <w:highlight w:val="none"/>
                <w:lang w:eastAsia="zh-CN"/>
              </w:rPr>
              <w:t>）</w:t>
            </w:r>
          </w:p>
        </w:tc>
        <w:tc>
          <w:tcPr>
            <w:tcW w:w="5089" w:type="dxa"/>
            <w:gridSpan w:val="2"/>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line="400" w:lineRule="exact"/>
              <w:ind w:right="-38"/>
              <w:textAlignment w:val="auto"/>
              <w:rPr>
                <w:rFonts w:hAnsi="宋体" w:cs="宋体"/>
                <w:color w:val="auto"/>
                <w:szCs w:val="21"/>
                <w:highlight w:val="none"/>
              </w:rPr>
            </w:pPr>
            <w:r>
              <w:rPr>
                <w:rFonts w:hint="eastAsia" w:hAnsi="宋体" w:cs="宋体"/>
                <w:color w:val="auto"/>
                <w:szCs w:val="21"/>
                <w:highlight w:val="none"/>
              </w:rPr>
              <w:t>施工项目应有专门的质量技术管理班子和制度，且人员配备合理，制度健全。主要工序应有质量技术保证措施和手段，自控体系完整，能有效保证技术质量，达到承诺的质量标准。优的得</w:t>
            </w:r>
            <w:r>
              <w:rPr>
                <w:rFonts w:hint="eastAsia" w:hAnsi="宋体" w:cs="宋体"/>
                <w:color w:val="auto"/>
                <w:szCs w:val="21"/>
                <w:highlight w:val="none"/>
                <w:lang w:val="en-US" w:eastAsia="zh-CN"/>
              </w:rPr>
              <w:t>4</w:t>
            </w:r>
            <w:r>
              <w:rPr>
                <w:rFonts w:hint="eastAsia" w:hAnsi="宋体" w:cs="宋体"/>
                <w:color w:val="auto"/>
                <w:szCs w:val="21"/>
                <w:highlight w:val="none"/>
              </w:rPr>
              <w:t>分，良的得</w:t>
            </w:r>
            <w:r>
              <w:rPr>
                <w:rFonts w:hint="eastAsia" w:hAnsi="宋体" w:cs="宋体"/>
                <w:color w:val="auto"/>
                <w:szCs w:val="21"/>
                <w:highlight w:val="none"/>
                <w:lang w:val="en-US" w:eastAsia="zh-CN"/>
              </w:rPr>
              <w:t>3.2</w:t>
            </w:r>
            <w:r>
              <w:rPr>
                <w:rFonts w:hint="eastAsia" w:hAnsi="宋体" w:cs="宋体"/>
                <w:color w:val="auto"/>
                <w:szCs w:val="21"/>
                <w:highlight w:val="none"/>
              </w:rPr>
              <w:t>分，合格的得</w:t>
            </w:r>
            <w:r>
              <w:rPr>
                <w:rFonts w:hint="eastAsia" w:hAnsi="宋体" w:cs="宋体"/>
                <w:color w:val="auto"/>
                <w:szCs w:val="21"/>
                <w:highlight w:val="none"/>
                <w:lang w:val="en-US" w:eastAsia="zh-CN"/>
              </w:rPr>
              <w:t>2.4</w:t>
            </w:r>
            <w:r>
              <w:rPr>
                <w:rFonts w:hint="eastAsia" w:hAnsi="宋体" w:cs="宋体"/>
                <w:color w:val="auto"/>
                <w:szCs w:val="21"/>
                <w:highlight w:val="none"/>
              </w:rPr>
              <w:t>分，差的不得分。</w:t>
            </w:r>
          </w:p>
        </w:tc>
        <w:tc>
          <w:tcPr>
            <w:tcW w:w="1968" w:type="dxa"/>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line="400" w:lineRule="exact"/>
              <w:ind w:left="-35" w:right="-38"/>
              <w:jc w:val="center"/>
              <w:textAlignment w:val="auto"/>
              <w:rPr>
                <w:rFonts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630" w:type="dxa"/>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400" w:lineRule="exact"/>
              <w:jc w:val="center"/>
              <w:textAlignment w:val="auto"/>
              <w:rPr>
                <w:rFonts w:hint="eastAsia" w:hAnsi="宋体" w:eastAsia="宋体"/>
                <w:b/>
                <w:bCs/>
                <w:color w:val="auto"/>
                <w:szCs w:val="21"/>
                <w:highlight w:val="none"/>
                <w:lang w:eastAsia="zh-CN"/>
              </w:rPr>
            </w:pPr>
            <w:r>
              <w:rPr>
                <w:rFonts w:hint="eastAsia" w:hAnsi="宋体"/>
                <w:b/>
                <w:bCs/>
                <w:color w:val="auto"/>
                <w:szCs w:val="21"/>
                <w:highlight w:val="none"/>
                <w:lang w:val="en-US" w:eastAsia="zh-CN"/>
              </w:rPr>
              <w:t>6</w:t>
            </w:r>
          </w:p>
        </w:tc>
        <w:tc>
          <w:tcPr>
            <w:tcW w:w="1621" w:type="dxa"/>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line="400" w:lineRule="exact"/>
              <w:ind w:right="-38"/>
              <w:textAlignment w:val="auto"/>
              <w:rPr>
                <w:rFonts w:hAnsi="宋体"/>
                <w:b/>
                <w:bCs/>
                <w:color w:val="auto"/>
                <w:szCs w:val="21"/>
                <w:highlight w:val="none"/>
              </w:rPr>
            </w:pPr>
            <w:r>
              <w:rPr>
                <w:rFonts w:hAnsi="宋体"/>
                <w:b/>
                <w:color w:val="auto"/>
                <w:szCs w:val="21"/>
                <w:highlight w:val="none"/>
              </w:rPr>
              <w:t>确保安全生产的技术组织措施</w:t>
            </w:r>
            <w:r>
              <w:rPr>
                <w:rFonts w:hint="eastAsia" w:hAnsi="宋体"/>
                <w:b/>
                <w:bCs/>
                <w:color w:val="auto"/>
                <w:szCs w:val="21"/>
                <w:highlight w:val="none"/>
                <w:lang w:eastAsia="zh-CN"/>
              </w:rPr>
              <w:t>（</w:t>
            </w:r>
            <w:r>
              <w:rPr>
                <w:rFonts w:hint="eastAsia" w:hAnsi="宋体"/>
                <w:b/>
                <w:bCs/>
                <w:color w:val="auto"/>
                <w:szCs w:val="21"/>
                <w:highlight w:val="none"/>
                <w:lang w:val="en-US" w:eastAsia="zh-CN"/>
              </w:rPr>
              <w:t>4分</w:t>
            </w:r>
            <w:r>
              <w:rPr>
                <w:rFonts w:hint="eastAsia" w:hAnsi="宋体"/>
                <w:b/>
                <w:bCs/>
                <w:color w:val="auto"/>
                <w:szCs w:val="21"/>
                <w:highlight w:val="none"/>
                <w:lang w:eastAsia="zh-CN"/>
              </w:rPr>
              <w:t>）</w:t>
            </w:r>
          </w:p>
        </w:tc>
        <w:tc>
          <w:tcPr>
            <w:tcW w:w="5089" w:type="dxa"/>
            <w:gridSpan w:val="2"/>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line="400" w:lineRule="exact"/>
              <w:ind w:left="-35" w:right="-38"/>
              <w:textAlignment w:val="auto"/>
              <w:rPr>
                <w:rFonts w:hAnsi="宋体" w:cs="宋体"/>
                <w:color w:val="auto"/>
                <w:szCs w:val="21"/>
                <w:highlight w:val="none"/>
              </w:rPr>
            </w:pPr>
            <w:r>
              <w:rPr>
                <w:rFonts w:hAnsi="宋体"/>
                <w:bCs/>
                <w:color w:val="auto"/>
                <w:szCs w:val="21"/>
                <w:highlight w:val="none"/>
              </w:rPr>
              <w:t>施工项目应有专门的安全管理人员和制度，且人员配备合理，制度健全，各道工序安全技术措施针对性强，符合实际且满足有关安全技术标准要求。现场防火、社会治安安全措施得力。</w:t>
            </w:r>
            <w:r>
              <w:rPr>
                <w:rFonts w:hint="eastAsia" w:hAnsi="宋体" w:cs="宋体"/>
                <w:color w:val="auto"/>
                <w:szCs w:val="21"/>
                <w:highlight w:val="none"/>
              </w:rPr>
              <w:t>优的得</w:t>
            </w:r>
            <w:r>
              <w:rPr>
                <w:rFonts w:hint="eastAsia" w:hAnsi="宋体" w:cs="宋体"/>
                <w:color w:val="auto"/>
                <w:szCs w:val="21"/>
                <w:highlight w:val="none"/>
                <w:lang w:val="en-US" w:eastAsia="zh-CN"/>
              </w:rPr>
              <w:t>4</w:t>
            </w:r>
            <w:r>
              <w:rPr>
                <w:rFonts w:hint="eastAsia" w:hAnsi="宋体" w:cs="宋体"/>
                <w:color w:val="auto"/>
                <w:szCs w:val="21"/>
                <w:highlight w:val="none"/>
              </w:rPr>
              <w:t>分，良的得</w:t>
            </w:r>
            <w:r>
              <w:rPr>
                <w:rFonts w:hint="eastAsia" w:hAnsi="宋体" w:cs="宋体"/>
                <w:color w:val="auto"/>
                <w:szCs w:val="21"/>
                <w:highlight w:val="none"/>
                <w:lang w:val="en-US" w:eastAsia="zh-CN"/>
              </w:rPr>
              <w:t>3.2</w:t>
            </w:r>
            <w:r>
              <w:rPr>
                <w:rFonts w:hint="eastAsia" w:hAnsi="宋体" w:cs="宋体"/>
                <w:color w:val="auto"/>
                <w:szCs w:val="21"/>
                <w:highlight w:val="none"/>
              </w:rPr>
              <w:t>分，合格的得</w:t>
            </w:r>
            <w:r>
              <w:rPr>
                <w:rFonts w:hint="eastAsia" w:hAnsi="宋体" w:cs="宋体"/>
                <w:color w:val="auto"/>
                <w:szCs w:val="21"/>
                <w:highlight w:val="none"/>
                <w:lang w:val="en-US" w:eastAsia="zh-CN"/>
              </w:rPr>
              <w:t>2.4</w:t>
            </w:r>
            <w:r>
              <w:rPr>
                <w:rFonts w:hint="eastAsia" w:hAnsi="宋体" w:cs="宋体"/>
                <w:color w:val="auto"/>
                <w:szCs w:val="21"/>
                <w:highlight w:val="none"/>
              </w:rPr>
              <w:t>分，差的不得分。</w:t>
            </w:r>
          </w:p>
        </w:tc>
        <w:tc>
          <w:tcPr>
            <w:tcW w:w="1968" w:type="dxa"/>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line="400" w:lineRule="exact"/>
              <w:ind w:left="-35" w:right="-38"/>
              <w:jc w:val="center"/>
              <w:textAlignment w:val="auto"/>
              <w:rPr>
                <w:rFonts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30" w:type="dxa"/>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400" w:lineRule="exact"/>
              <w:jc w:val="center"/>
              <w:textAlignment w:val="auto"/>
              <w:rPr>
                <w:rFonts w:hint="eastAsia" w:hAnsi="宋体" w:eastAsia="宋体"/>
                <w:b/>
                <w:color w:val="auto"/>
                <w:szCs w:val="21"/>
                <w:highlight w:val="none"/>
                <w:lang w:eastAsia="zh-CN"/>
              </w:rPr>
            </w:pPr>
            <w:r>
              <w:rPr>
                <w:rFonts w:hint="eastAsia" w:hAnsi="宋体"/>
                <w:b/>
                <w:color w:val="auto"/>
                <w:szCs w:val="21"/>
                <w:highlight w:val="none"/>
                <w:lang w:val="en-US" w:eastAsia="zh-CN"/>
              </w:rPr>
              <w:t>7</w:t>
            </w:r>
          </w:p>
        </w:tc>
        <w:tc>
          <w:tcPr>
            <w:tcW w:w="1621" w:type="dxa"/>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line="400" w:lineRule="exact"/>
              <w:ind w:left="-35" w:right="-38"/>
              <w:textAlignment w:val="auto"/>
              <w:rPr>
                <w:rFonts w:hint="eastAsia" w:hAnsi="宋体" w:eastAsia="宋体"/>
                <w:b/>
                <w:color w:val="auto"/>
                <w:szCs w:val="21"/>
                <w:highlight w:val="none"/>
                <w:lang w:eastAsia="zh-CN"/>
              </w:rPr>
            </w:pPr>
            <w:r>
              <w:rPr>
                <w:rFonts w:hAnsi="宋体"/>
                <w:b/>
                <w:color w:val="auto"/>
                <w:szCs w:val="21"/>
                <w:highlight w:val="none"/>
              </w:rPr>
              <w:t>确保工期的技术组织措施</w:t>
            </w:r>
            <w:r>
              <w:rPr>
                <w:rFonts w:hint="eastAsia" w:hAnsi="宋体"/>
                <w:b/>
                <w:color w:val="auto"/>
                <w:szCs w:val="21"/>
                <w:highlight w:val="none"/>
                <w:lang w:eastAsia="zh-CN"/>
              </w:rPr>
              <w:t>（</w:t>
            </w:r>
            <w:r>
              <w:rPr>
                <w:rFonts w:hint="eastAsia" w:hAnsi="宋体"/>
                <w:b/>
                <w:color w:val="auto"/>
                <w:szCs w:val="21"/>
                <w:highlight w:val="none"/>
                <w:lang w:val="en-US" w:eastAsia="zh-CN"/>
              </w:rPr>
              <w:t>4分</w:t>
            </w:r>
            <w:r>
              <w:rPr>
                <w:rFonts w:hint="eastAsia" w:hAnsi="宋体"/>
                <w:b/>
                <w:color w:val="auto"/>
                <w:szCs w:val="21"/>
                <w:highlight w:val="none"/>
                <w:lang w:eastAsia="zh-CN"/>
              </w:rPr>
              <w:t>）</w:t>
            </w:r>
          </w:p>
        </w:tc>
        <w:tc>
          <w:tcPr>
            <w:tcW w:w="5089" w:type="dxa"/>
            <w:gridSpan w:val="2"/>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line="400" w:lineRule="exact"/>
              <w:ind w:left="-35" w:right="-38"/>
              <w:textAlignment w:val="auto"/>
              <w:rPr>
                <w:rFonts w:hAnsi="宋体" w:cs="宋体"/>
                <w:color w:val="auto"/>
                <w:szCs w:val="21"/>
                <w:highlight w:val="none"/>
              </w:rPr>
            </w:pPr>
            <w:r>
              <w:rPr>
                <w:rFonts w:hAnsi="宋体"/>
                <w:bCs/>
                <w:color w:val="auto"/>
                <w:szCs w:val="21"/>
                <w:highlight w:val="none"/>
              </w:rPr>
              <w:t>在施工工艺、施工方法、材料选用、劳动力安排、技术等方面有保证工期的具体措施且措施得当</w:t>
            </w:r>
            <w:r>
              <w:rPr>
                <w:rFonts w:hint="eastAsia" w:hAnsi="宋体"/>
                <w:bCs/>
                <w:color w:val="auto"/>
                <w:szCs w:val="21"/>
                <w:highlight w:val="none"/>
                <w:lang w:eastAsia="zh-CN"/>
              </w:rPr>
              <w:t>；</w:t>
            </w:r>
            <w:r>
              <w:rPr>
                <w:rFonts w:hAnsi="宋体"/>
                <w:bCs/>
                <w:color w:val="auto"/>
                <w:szCs w:val="21"/>
                <w:highlight w:val="none"/>
              </w:rPr>
              <w:t>有控制工期的施工进度计划</w:t>
            </w:r>
            <w:r>
              <w:rPr>
                <w:rFonts w:hint="eastAsia" w:hAnsi="宋体"/>
                <w:bCs/>
                <w:color w:val="auto"/>
                <w:szCs w:val="21"/>
                <w:highlight w:val="none"/>
                <w:lang w:eastAsia="zh-CN"/>
              </w:rPr>
              <w:t>；</w:t>
            </w:r>
            <w:r>
              <w:rPr>
                <w:rFonts w:hAnsi="宋体"/>
                <w:bCs/>
                <w:color w:val="auto"/>
                <w:szCs w:val="21"/>
                <w:highlight w:val="none"/>
              </w:rPr>
              <w:t>应有施工总进度表或施工网络图，各项计划图表编制完善，安排科学合理，符合本项目施工实际要求。</w:t>
            </w:r>
            <w:r>
              <w:rPr>
                <w:rFonts w:hint="eastAsia" w:hAnsi="宋体" w:cs="宋体"/>
                <w:color w:val="auto"/>
                <w:szCs w:val="21"/>
                <w:highlight w:val="none"/>
              </w:rPr>
              <w:t>优的得</w:t>
            </w:r>
            <w:r>
              <w:rPr>
                <w:rFonts w:hint="eastAsia" w:hAnsi="宋体" w:cs="宋体"/>
                <w:color w:val="auto"/>
                <w:szCs w:val="21"/>
                <w:highlight w:val="none"/>
                <w:lang w:val="en-US" w:eastAsia="zh-CN"/>
              </w:rPr>
              <w:t>4</w:t>
            </w:r>
            <w:r>
              <w:rPr>
                <w:rFonts w:hint="eastAsia" w:hAnsi="宋体" w:cs="宋体"/>
                <w:color w:val="auto"/>
                <w:szCs w:val="21"/>
                <w:highlight w:val="none"/>
              </w:rPr>
              <w:t>分，良的得</w:t>
            </w:r>
            <w:r>
              <w:rPr>
                <w:rFonts w:hint="eastAsia" w:hAnsi="宋体" w:cs="宋体"/>
                <w:color w:val="auto"/>
                <w:szCs w:val="21"/>
                <w:highlight w:val="none"/>
                <w:lang w:val="en-US" w:eastAsia="zh-CN"/>
              </w:rPr>
              <w:t>3.2</w:t>
            </w:r>
            <w:r>
              <w:rPr>
                <w:rFonts w:hint="eastAsia" w:hAnsi="宋体" w:cs="宋体"/>
                <w:color w:val="auto"/>
                <w:szCs w:val="21"/>
                <w:highlight w:val="none"/>
              </w:rPr>
              <w:t>分，合格的得</w:t>
            </w:r>
            <w:r>
              <w:rPr>
                <w:rFonts w:hint="eastAsia" w:hAnsi="宋体" w:cs="宋体"/>
                <w:color w:val="auto"/>
                <w:szCs w:val="21"/>
                <w:highlight w:val="none"/>
                <w:lang w:val="en-US" w:eastAsia="zh-CN"/>
              </w:rPr>
              <w:t>2.4</w:t>
            </w:r>
            <w:r>
              <w:rPr>
                <w:rFonts w:hint="eastAsia" w:hAnsi="宋体" w:cs="宋体"/>
                <w:color w:val="auto"/>
                <w:szCs w:val="21"/>
                <w:highlight w:val="none"/>
              </w:rPr>
              <w:t>分，差的不得分。</w:t>
            </w:r>
          </w:p>
        </w:tc>
        <w:tc>
          <w:tcPr>
            <w:tcW w:w="1968" w:type="dxa"/>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line="400" w:lineRule="exact"/>
              <w:ind w:left="-35" w:right="-38"/>
              <w:jc w:val="center"/>
              <w:textAlignment w:val="auto"/>
              <w:rPr>
                <w:rFonts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630" w:type="dxa"/>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400" w:lineRule="exact"/>
              <w:jc w:val="center"/>
              <w:textAlignment w:val="auto"/>
              <w:rPr>
                <w:rFonts w:hint="eastAsia" w:hAnsi="宋体" w:eastAsia="宋体"/>
                <w:b/>
                <w:color w:val="auto"/>
                <w:szCs w:val="21"/>
                <w:highlight w:val="none"/>
                <w:lang w:eastAsia="zh-CN"/>
              </w:rPr>
            </w:pPr>
            <w:r>
              <w:rPr>
                <w:rFonts w:hint="eastAsia" w:hAnsi="宋体"/>
                <w:b/>
                <w:color w:val="auto"/>
                <w:szCs w:val="21"/>
                <w:highlight w:val="none"/>
                <w:lang w:val="en-US" w:eastAsia="zh-CN"/>
              </w:rPr>
              <w:t>8</w:t>
            </w:r>
          </w:p>
        </w:tc>
        <w:tc>
          <w:tcPr>
            <w:tcW w:w="1621" w:type="dxa"/>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line="400" w:lineRule="exact"/>
              <w:ind w:left="-35" w:right="-38"/>
              <w:textAlignment w:val="auto"/>
              <w:rPr>
                <w:rFonts w:hint="eastAsia" w:hAnsi="宋体" w:eastAsia="宋体" w:cs="宋体"/>
                <w:color w:val="auto"/>
                <w:szCs w:val="21"/>
                <w:highlight w:val="none"/>
                <w:lang w:eastAsia="zh-CN"/>
              </w:rPr>
            </w:pPr>
            <w:r>
              <w:rPr>
                <w:rFonts w:hAnsi="宋体"/>
                <w:b/>
                <w:color w:val="auto"/>
                <w:szCs w:val="21"/>
                <w:highlight w:val="none"/>
              </w:rPr>
              <w:t>确保文明施工的技术组织措施</w:t>
            </w:r>
            <w:r>
              <w:rPr>
                <w:rFonts w:hint="eastAsia" w:hAnsi="宋体"/>
                <w:b/>
                <w:color w:val="auto"/>
                <w:szCs w:val="21"/>
                <w:highlight w:val="none"/>
                <w:lang w:eastAsia="zh-CN"/>
              </w:rPr>
              <w:t>（</w:t>
            </w:r>
            <w:r>
              <w:rPr>
                <w:rFonts w:hint="eastAsia" w:hAnsi="宋体"/>
                <w:b/>
                <w:color w:val="auto"/>
                <w:szCs w:val="21"/>
                <w:highlight w:val="none"/>
                <w:lang w:val="en-US" w:eastAsia="zh-CN"/>
              </w:rPr>
              <w:t>4分</w:t>
            </w:r>
            <w:r>
              <w:rPr>
                <w:rFonts w:hint="eastAsia" w:hAnsi="宋体"/>
                <w:b/>
                <w:color w:val="auto"/>
                <w:szCs w:val="21"/>
                <w:highlight w:val="none"/>
                <w:lang w:eastAsia="zh-CN"/>
              </w:rPr>
              <w:t>）</w:t>
            </w:r>
          </w:p>
        </w:tc>
        <w:tc>
          <w:tcPr>
            <w:tcW w:w="5089" w:type="dxa"/>
            <w:gridSpan w:val="2"/>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line="400" w:lineRule="exact"/>
              <w:ind w:left="-35" w:right="-38"/>
              <w:textAlignment w:val="auto"/>
              <w:rPr>
                <w:rFonts w:hint="eastAsia" w:hAnsi="宋体" w:cs="宋体"/>
                <w:color w:val="auto"/>
                <w:szCs w:val="21"/>
                <w:highlight w:val="none"/>
              </w:rPr>
            </w:pPr>
            <w:r>
              <w:rPr>
                <w:rFonts w:hAnsi="宋体"/>
                <w:bCs/>
                <w:color w:val="auto"/>
                <w:szCs w:val="21"/>
                <w:highlight w:val="none"/>
              </w:rPr>
              <w:t>针对本工程项目特点，应有现场文明施工计划，环境保护措施，且计划措施内容应达到</w:t>
            </w:r>
            <w:r>
              <w:rPr>
                <w:bCs/>
                <w:color w:val="auto"/>
                <w:szCs w:val="21"/>
                <w:highlight w:val="none"/>
              </w:rPr>
              <w:t>“</w:t>
            </w:r>
            <w:r>
              <w:rPr>
                <w:rFonts w:hAnsi="宋体"/>
                <w:bCs/>
                <w:color w:val="auto"/>
                <w:szCs w:val="21"/>
                <w:highlight w:val="none"/>
              </w:rPr>
              <w:t>安全文明示范工地</w:t>
            </w:r>
            <w:r>
              <w:rPr>
                <w:bCs/>
                <w:color w:val="auto"/>
                <w:szCs w:val="21"/>
                <w:highlight w:val="none"/>
              </w:rPr>
              <w:t>”</w:t>
            </w:r>
            <w:r>
              <w:rPr>
                <w:rFonts w:hAnsi="宋体"/>
                <w:bCs/>
                <w:color w:val="auto"/>
                <w:szCs w:val="21"/>
                <w:highlight w:val="none"/>
              </w:rPr>
              <w:t>标准</w:t>
            </w:r>
            <w:r>
              <w:rPr>
                <w:rFonts w:hint="eastAsia" w:hAnsi="宋体"/>
                <w:bCs/>
                <w:color w:val="auto"/>
                <w:szCs w:val="21"/>
                <w:highlight w:val="none"/>
                <w:lang w:eastAsia="zh-CN"/>
              </w:rPr>
              <w:t>；</w:t>
            </w:r>
            <w:r>
              <w:rPr>
                <w:rFonts w:hAnsi="宋体"/>
                <w:bCs/>
                <w:color w:val="auto"/>
                <w:szCs w:val="21"/>
                <w:highlight w:val="none"/>
              </w:rPr>
              <w:t>各项措施周全、具体、有效</w:t>
            </w:r>
            <w:r>
              <w:rPr>
                <w:rFonts w:hint="eastAsia" w:hAnsi="宋体"/>
                <w:bCs/>
                <w:color w:val="auto"/>
                <w:szCs w:val="21"/>
                <w:highlight w:val="none"/>
                <w:lang w:eastAsia="zh-CN"/>
              </w:rPr>
              <w:t>；</w:t>
            </w:r>
            <w:r>
              <w:rPr>
                <w:rFonts w:hAnsi="宋体"/>
                <w:bCs/>
                <w:color w:val="auto"/>
                <w:szCs w:val="21"/>
                <w:highlight w:val="none"/>
              </w:rPr>
              <w:t>有具体实现现场文明施工目标的承诺。</w:t>
            </w:r>
            <w:r>
              <w:rPr>
                <w:rFonts w:hint="eastAsia" w:hAnsi="宋体" w:cs="宋体"/>
                <w:color w:val="auto"/>
                <w:szCs w:val="21"/>
                <w:highlight w:val="none"/>
              </w:rPr>
              <w:t>优的得</w:t>
            </w:r>
            <w:r>
              <w:rPr>
                <w:rFonts w:hint="eastAsia" w:hAnsi="宋体" w:cs="宋体"/>
                <w:color w:val="auto"/>
                <w:szCs w:val="21"/>
                <w:highlight w:val="none"/>
                <w:lang w:val="en-US" w:eastAsia="zh-CN"/>
              </w:rPr>
              <w:t>4</w:t>
            </w:r>
            <w:r>
              <w:rPr>
                <w:rFonts w:hint="eastAsia" w:hAnsi="宋体" w:cs="宋体"/>
                <w:color w:val="auto"/>
                <w:szCs w:val="21"/>
                <w:highlight w:val="none"/>
              </w:rPr>
              <w:t>分，良的得</w:t>
            </w:r>
            <w:r>
              <w:rPr>
                <w:rFonts w:hint="eastAsia" w:hAnsi="宋体" w:cs="宋体"/>
                <w:color w:val="auto"/>
                <w:szCs w:val="21"/>
                <w:highlight w:val="none"/>
                <w:lang w:val="en-US" w:eastAsia="zh-CN"/>
              </w:rPr>
              <w:t>3.2</w:t>
            </w:r>
            <w:r>
              <w:rPr>
                <w:rFonts w:hint="eastAsia" w:hAnsi="宋体" w:cs="宋体"/>
                <w:color w:val="auto"/>
                <w:szCs w:val="21"/>
                <w:highlight w:val="none"/>
              </w:rPr>
              <w:t>分，合格的得</w:t>
            </w:r>
            <w:r>
              <w:rPr>
                <w:rFonts w:hint="eastAsia" w:hAnsi="宋体" w:cs="宋体"/>
                <w:color w:val="auto"/>
                <w:szCs w:val="21"/>
                <w:highlight w:val="none"/>
                <w:lang w:val="en-US" w:eastAsia="zh-CN"/>
              </w:rPr>
              <w:t>2.4</w:t>
            </w:r>
            <w:r>
              <w:rPr>
                <w:rFonts w:hint="eastAsia" w:hAnsi="宋体" w:cs="宋体"/>
                <w:color w:val="auto"/>
                <w:szCs w:val="21"/>
                <w:highlight w:val="none"/>
              </w:rPr>
              <w:t>分，差的不得分。</w:t>
            </w:r>
          </w:p>
        </w:tc>
        <w:tc>
          <w:tcPr>
            <w:tcW w:w="1968" w:type="dxa"/>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line="400" w:lineRule="exact"/>
              <w:ind w:left="-35" w:right="-38"/>
              <w:jc w:val="center"/>
              <w:textAlignment w:val="auto"/>
              <w:rPr>
                <w:rFonts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630" w:type="dxa"/>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spacing w:line="400" w:lineRule="exact"/>
              <w:jc w:val="center"/>
              <w:textAlignment w:val="auto"/>
              <w:rPr>
                <w:rFonts w:hint="eastAsia" w:hAnsi="宋体" w:eastAsia="宋体"/>
                <w:b/>
                <w:color w:val="auto"/>
                <w:szCs w:val="21"/>
                <w:highlight w:val="none"/>
                <w:lang w:eastAsia="zh-CN"/>
              </w:rPr>
            </w:pPr>
            <w:r>
              <w:rPr>
                <w:rFonts w:hint="eastAsia" w:hAnsi="宋体"/>
                <w:b/>
                <w:color w:val="auto"/>
                <w:szCs w:val="21"/>
                <w:highlight w:val="none"/>
                <w:lang w:val="en-US" w:eastAsia="zh-CN"/>
              </w:rPr>
              <w:t>9</w:t>
            </w:r>
          </w:p>
        </w:tc>
        <w:tc>
          <w:tcPr>
            <w:tcW w:w="1621" w:type="dxa"/>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line="400" w:lineRule="exact"/>
              <w:ind w:left="-35" w:right="-38"/>
              <w:textAlignment w:val="auto"/>
              <w:rPr>
                <w:rFonts w:hint="eastAsia" w:hAnsi="宋体" w:eastAsia="宋体"/>
                <w:b/>
                <w:color w:val="auto"/>
                <w:szCs w:val="21"/>
                <w:highlight w:val="none"/>
                <w:lang w:eastAsia="zh-CN"/>
              </w:rPr>
            </w:pPr>
            <w:r>
              <w:rPr>
                <w:rFonts w:hAnsi="宋体"/>
                <w:b/>
                <w:color w:val="auto"/>
                <w:szCs w:val="21"/>
                <w:highlight w:val="none"/>
              </w:rPr>
              <w:t>工程施工的重点和</w:t>
            </w:r>
            <w:r>
              <w:rPr>
                <w:rFonts w:hint="eastAsia" w:hAnsi="宋体"/>
                <w:b/>
                <w:color w:val="auto"/>
                <w:szCs w:val="21"/>
                <w:highlight w:val="none"/>
              </w:rPr>
              <w:t>难点及保证措施</w:t>
            </w:r>
            <w:r>
              <w:rPr>
                <w:rFonts w:hint="eastAsia" w:hAnsi="宋体"/>
                <w:b/>
                <w:color w:val="auto"/>
                <w:szCs w:val="21"/>
                <w:highlight w:val="none"/>
                <w:lang w:eastAsia="zh-CN"/>
              </w:rPr>
              <w:t>（</w:t>
            </w:r>
            <w:r>
              <w:rPr>
                <w:rFonts w:hint="eastAsia" w:hAnsi="宋体"/>
                <w:b/>
                <w:color w:val="auto"/>
                <w:szCs w:val="21"/>
                <w:highlight w:val="none"/>
                <w:lang w:val="en-US" w:eastAsia="zh-CN"/>
              </w:rPr>
              <w:t>4分</w:t>
            </w:r>
            <w:r>
              <w:rPr>
                <w:rFonts w:hint="eastAsia" w:hAnsi="宋体"/>
                <w:b/>
                <w:color w:val="auto"/>
                <w:szCs w:val="21"/>
                <w:highlight w:val="none"/>
                <w:lang w:eastAsia="zh-CN"/>
              </w:rPr>
              <w:t>）</w:t>
            </w:r>
          </w:p>
        </w:tc>
        <w:tc>
          <w:tcPr>
            <w:tcW w:w="5089" w:type="dxa"/>
            <w:gridSpan w:val="2"/>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line="400" w:lineRule="exact"/>
              <w:ind w:left="-35" w:right="-38"/>
              <w:textAlignment w:val="auto"/>
              <w:rPr>
                <w:rFonts w:hint="eastAsia" w:hAnsi="宋体" w:eastAsia="宋体" w:cs="宋体"/>
                <w:color w:val="auto"/>
                <w:szCs w:val="21"/>
                <w:highlight w:val="none"/>
                <w:lang w:eastAsia="zh-CN"/>
              </w:rPr>
            </w:pPr>
            <w:r>
              <w:rPr>
                <w:rFonts w:hAnsi="宋体"/>
                <w:bCs/>
                <w:color w:val="auto"/>
                <w:szCs w:val="21"/>
                <w:highlight w:val="none"/>
              </w:rPr>
              <w:t>针对本工程项目特点，</w:t>
            </w:r>
            <w:r>
              <w:rPr>
                <w:rFonts w:hint="eastAsia" w:ascii="宋体" w:hAnsi="宋体" w:cs="宋体"/>
                <w:bCs/>
                <w:color w:val="auto"/>
                <w:szCs w:val="21"/>
                <w:highlight w:val="none"/>
              </w:rPr>
              <w:t>应</w:t>
            </w:r>
            <w:r>
              <w:rPr>
                <w:rFonts w:hint="eastAsia" w:ascii="宋体" w:hAnsi="宋体" w:cs="宋体"/>
                <w:bCs/>
                <w:color w:val="auto"/>
                <w:szCs w:val="21"/>
                <w:highlight w:val="none"/>
                <w:lang w:val="en-US" w:eastAsia="zh-CN"/>
              </w:rPr>
              <w:t>有重点和难点</w:t>
            </w:r>
            <w:r>
              <w:rPr>
                <w:rFonts w:hint="eastAsia" w:ascii="宋体" w:hAnsi="宋体" w:cs="宋体"/>
                <w:bCs/>
                <w:color w:val="auto"/>
                <w:szCs w:val="21"/>
                <w:highlight w:val="none"/>
              </w:rPr>
              <w:t>及保证措施。</w:t>
            </w:r>
            <w:r>
              <w:rPr>
                <w:rFonts w:hint="eastAsia" w:hAnsi="宋体" w:eastAsia="宋体" w:cs="宋体"/>
                <w:b w:val="0"/>
                <w:bCs w:val="0"/>
                <w:color w:val="auto"/>
                <w:highlight w:val="none"/>
                <w:lang w:eastAsia="zh-CN"/>
              </w:rPr>
              <w:t>（如有“危大工程”和“超危大工程”，则须补充完善“危大工程”和“超危大工程”清单，并提供相应的安全技术措施）</w:t>
            </w:r>
            <w:r>
              <w:rPr>
                <w:rFonts w:hint="eastAsia" w:hAnsi="宋体" w:cs="宋体"/>
                <w:b w:val="0"/>
                <w:bCs w:val="0"/>
                <w:color w:val="auto"/>
                <w:highlight w:val="none"/>
                <w:lang w:eastAsia="zh-CN"/>
              </w:rPr>
              <w:t>。</w:t>
            </w:r>
            <w:r>
              <w:rPr>
                <w:rFonts w:hint="eastAsia" w:hAnsi="宋体" w:cs="宋体"/>
                <w:color w:val="auto"/>
                <w:szCs w:val="21"/>
                <w:highlight w:val="none"/>
              </w:rPr>
              <w:t>优的得</w:t>
            </w:r>
            <w:r>
              <w:rPr>
                <w:rFonts w:hint="eastAsia" w:hAnsi="宋体" w:cs="宋体"/>
                <w:color w:val="auto"/>
                <w:szCs w:val="21"/>
                <w:highlight w:val="none"/>
                <w:lang w:val="en-US" w:eastAsia="zh-CN"/>
              </w:rPr>
              <w:t>4</w:t>
            </w:r>
            <w:r>
              <w:rPr>
                <w:rFonts w:hint="eastAsia" w:hAnsi="宋体" w:cs="宋体"/>
                <w:color w:val="auto"/>
                <w:szCs w:val="21"/>
                <w:highlight w:val="none"/>
              </w:rPr>
              <w:t>分，良的得</w:t>
            </w:r>
            <w:r>
              <w:rPr>
                <w:rFonts w:hint="eastAsia" w:hAnsi="宋体" w:cs="宋体"/>
                <w:color w:val="auto"/>
                <w:szCs w:val="21"/>
                <w:highlight w:val="none"/>
                <w:lang w:val="en-US" w:eastAsia="zh-CN"/>
              </w:rPr>
              <w:t>3.2</w:t>
            </w:r>
            <w:r>
              <w:rPr>
                <w:rFonts w:hint="eastAsia" w:hAnsi="宋体" w:cs="宋体"/>
                <w:color w:val="auto"/>
                <w:szCs w:val="21"/>
                <w:highlight w:val="none"/>
              </w:rPr>
              <w:t>分，合格的得</w:t>
            </w:r>
            <w:r>
              <w:rPr>
                <w:rFonts w:hint="eastAsia" w:hAnsi="宋体" w:cs="宋体"/>
                <w:color w:val="auto"/>
                <w:szCs w:val="21"/>
                <w:highlight w:val="none"/>
                <w:lang w:val="en-US" w:eastAsia="zh-CN"/>
              </w:rPr>
              <w:t>2.4</w:t>
            </w:r>
            <w:r>
              <w:rPr>
                <w:rFonts w:hint="eastAsia" w:hAnsi="宋体" w:cs="宋体"/>
                <w:color w:val="auto"/>
                <w:szCs w:val="21"/>
                <w:highlight w:val="none"/>
              </w:rPr>
              <w:t>分，差的不得分。</w:t>
            </w:r>
          </w:p>
        </w:tc>
        <w:tc>
          <w:tcPr>
            <w:tcW w:w="1968" w:type="dxa"/>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line="400" w:lineRule="exact"/>
              <w:ind w:left="-35" w:right="-38"/>
              <w:jc w:val="center"/>
              <w:textAlignment w:val="auto"/>
              <w:rPr>
                <w:rFonts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8" w:hRule="atLeast"/>
        </w:trPr>
        <w:tc>
          <w:tcPr>
            <w:tcW w:w="630" w:type="dxa"/>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spacing w:line="400" w:lineRule="exact"/>
              <w:jc w:val="center"/>
              <w:textAlignment w:val="auto"/>
              <w:rPr>
                <w:rFonts w:hint="default" w:hAnsi="宋体" w:eastAsia="宋体"/>
                <w:b/>
                <w:color w:val="auto"/>
                <w:szCs w:val="21"/>
                <w:highlight w:val="none"/>
                <w:lang w:val="en-US" w:eastAsia="zh-CN"/>
              </w:rPr>
            </w:pPr>
            <w:r>
              <w:rPr>
                <w:rFonts w:hint="eastAsia" w:hAnsi="宋体"/>
                <w:b/>
                <w:color w:val="auto"/>
                <w:szCs w:val="21"/>
                <w:highlight w:val="none"/>
                <w:lang w:val="en-US" w:eastAsia="zh-CN"/>
              </w:rPr>
              <w:t>10</w:t>
            </w:r>
          </w:p>
        </w:tc>
        <w:tc>
          <w:tcPr>
            <w:tcW w:w="1621" w:type="dxa"/>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line="400" w:lineRule="exact"/>
              <w:ind w:left="-35" w:right="-38"/>
              <w:jc w:val="center"/>
              <w:textAlignment w:val="auto"/>
              <w:rPr>
                <w:rFonts w:hint="eastAsia" w:hAnsi="宋体" w:eastAsia="宋体"/>
                <w:b/>
                <w:color w:val="auto"/>
                <w:szCs w:val="21"/>
                <w:highlight w:val="none"/>
                <w:lang w:eastAsia="zh-CN"/>
              </w:rPr>
            </w:pPr>
            <w:r>
              <w:rPr>
                <w:rFonts w:hint="eastAsia" w:hAnsi="宋体"/>
                <w:b/>
                <w:color w:val="auto"/>
                <w:szCs w:val="21"/>
                <w:highlight w:val="none"/>
              </w:rPr>
              <w:t>施工总平面布置图</w:t>
            </w:r>
            <w:r>
              <w:rPr>
                <w:rFonts w:hint="eastAsia" w:hAnsi="宋体"/>
                <w:b/>
                <w:color w:val="auto"/>
                <w:szCs w:val="21"/>
                <w:highlight w:val="none"/>
                <w:lang w:eastAsia="zh-CN"/>
              </w:rPr>
              <w:t>（</w:t>
            </w:r>
            <w:r>
              <w:rPr>
                <w:rFonts w:hint="eastAsia" w:hAnsi="宋体"/>
                <w:b/>
                <w:color w:val="auto"/>
                <w:szCs w:val="21"/>
                <w:highlight w:val="none"/>
                <w:lang w:val="en-US" w:eastAsia="zh-CN"/>
              </w:rPr>
              <w:t>4分</w:t>
            </w:r>
            <w:r>
              <w:rPr>
                <w:rFonts w:hint="eastAsia" w:hAnsi="宋体"/>
                <w:b/>
                <w:color w:val="auto"/>
                <w:szCs w:val="21"/>
                <w:highlight w:val="none"/>
                <w:lang w:eastAsia="zh-CN"/>
              </w:rPr>
              <w:t>）</w:t>
            </w:r>
          </w:p>
        </w:tc>
        <w:tc>
          <w:tcPr>
            <w:tcW w:w="5089" w:type="dxa"/>
            <w:gridSpan w:val="2"/>
            <w:tcBorders>
              <w:top w:val="single" w:color="auto" w:sz="4" w:space="0"/>
              <w:left w:val="single" w:color="000000" w:sz="4" w:space="0"/>
              <w:bottom w:val="single" w:color="auto" w:sz="4" w:space="0"/>
              <w:right w:val="single" w:color="000000" w:sz="4" w:space="0"/>
            </w:tcBorders>
            <w:noWrap w:val="0"/>
            <w:vAlign w:val="center"/>
          </w:tcPr>
          <w:p>
            <w:pPr>
              <w:pageBreakBefore w:val="0"/>
              <w:tabs>
                <w:tab w:val="left" w:pos="1450"/>
              </w:tabs>
              <w:kinsoku/>
              <w:wordWrap/>
              <w:overflowPunct/>
              <w:topLinePunct w:val="0"/>
              <w:autoSpaceDE/>
              <w:autoSpaceDN/>
              <w:bidi w:val="0"/>
              <w:adjustRightInd w:val="0"/>
              <w:snapToGrid w:val="0"/>
              <w:spacing w:line="400" w:lineRule="exact"/>
              <w:ind w:left="-35" w:right="-38"/>
              <w:textAlignment w:val="auto"/>
              <w:rPr>
                <w:rFonts w:hint="eastAsia" w:hAnsi="宋体" w:eastAsia="宋体"/>
                <w:bCs/>
                <w:color w:val="auto"/>
                <w:szCs w:val="21"/>
                <w:highlight w:val="none"/>
                <w:lang w:eastAsia="zh-CN"/>
              </w:rPr>
            </w:pPr>
            <w:r>
              <w:rPr>
                <w:rFonts w:hint="eastAsia" w:hAnsi="宋体"/>
                <w:bCs/>
                <w:color w:val="auto"/>
                <w:szCs w:val="21"/>
                <w:highlight w:val="none"/>
                <w:lang w:eastAsia="zh-CN"/>
              </w:rPr>
              <w:t>依据施工总平面布置图设计的内容、各种区域划分及满足现行规范要求的情况进行评审：</w:t>
            </w:r>
            <w:r>
              <w:rPr>
                <w:rFonts w:hint="eastAsia" w:hAnsi="宋体" w:cs="宋体"/>
                <w:color w:val="auto"/>
                <w:szCs w:val="21"/>
                <w:highlight w:val="none"/>
              </w:rPr>
              <w:t>优的得</w:t>
            </w:r>
            <w:r>
              <w:rPr>
                <w:rFonts w:hint="eastAsia" w:hAnsi="宋体" w:cs="宋体"/>
                <w:color w:val="auto"/>
                <w:szCs w:val="21"/>
                <w:highlight w:val="none"/>
                <w:lang w:val="en-US" w:eastAsia="zh-CN"/>
              </w:rPr>
              <w:t>4</w:t>
            </w:r>
            <w:r>
              <w:rPr>
                <w:rFonts w:hint="eastAsia" w:hAnsi="宋体" w:cs="宋体"/>
                <w:color w:val="auto"/>
                <w:szCs w:val="21"/>
                <w:highlight w:val="none"/>
              </w:rPr>
              <w:t>分，良的得</w:t>
            </w:r>
            <w:r>
              <w:rPr>
                <w:rFonts w:hint="eastAsia" w:hAnsi="宋体" w:cs="宋体"/>
                <w:color w:val="auto"/>
                <w:szCs w:val="21"/>
                <w:highlight w:val="none"/>
                <w:lang w:val="en-US" w:eastAsia="zh-CN"/>
              </w:rPr>
              <w:t>3.2</w:t>
            </w:r>
            <w:r>
              <w:rPr>
                <w:rFonts w:hint="eastAsia" w:hAnsi="宋体" w:cs="宋体"/>
                <w:color w:val="auto"/>
                <w:szCs w:val="21"/>
                <w:highlight w:val="none"/>
              </w:rPr>
              <w:t>分，合格的得</w:t>
            </w:r>
            <w:r>
              <w:rPr>
                <w:rFonts w:hint="eastAsia" w:hAnsi="宋体" w:cs="宋体"/>
                <w:color w:val="auto"/>
                <w:szCs w:val="21"/>
                <w:highlight w:val="none"/>
                <w:lang w:val="en-US" w:eastAsia="zh-CN"/>
              </w:rPr>
              <w:t>2.4</w:t>
            </w:r>
            <w:r>
              <w:rPr>
                <w:rFonts w:hint="eastAsia" w:hAnsi="宋体" w:cs="宋体"/>
                <w:color w:val="auto"/>
                <w:szCs w:val="21"/>
                <w:highlight w:val="none"/>
              </w:rPr>
              <w:t>分，差的不得分。</w:t>
            </w:r>
          </w:p>
        </w:tc>
        <w:tc>
          <w:tcPr>
            <w:tcW w:w="1968" w:type="dxa"/>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line="400" w:lineRule="exact"/>
              <w:ind w:left="-35" w:right="-38"/>
              <w:jc w:val="center"/>
              <w:textAlignment w:val="auto"/>
              <w:rPr>
                <w:rFonts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8" w:hRule="atLeast"/>
        </w:trPr>
        <w:tc>
          <w:tcPr>
            <w:tcW w:w="630" w:type="dxa"/>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spacing w:line="400" w:lineRule="exact"/>
              <w:jc w:val="center"/>
              <w:textAlignment w:val="auto"/>
              <w:rPr>
                <w:rFonts w:hint="eastAsia" w:hAnsi="宋体"/>
                <w:b/>
                <w:color w:val="auto"/>
                <w:szCs w:val="21"/>
                <w:highlight w:val="none"/>
                <w:lang w:val="en-US" w:eastAsia="zh-CN"/>
              </w:rPr>
            </w:pPr>
            <w:r>
              <w:rPr>
                <w:rFonts w:hint="eastAsia" w:ascii="宋体" w:hAnsi="宋体"/>
                <w:b/>
                <w:color w:val="auto"/>
                <w:szCs w:val="21"/>
                <w:highlight w:val="none"/>
                <w:lang w:val="en-US" w:eastAsia="zh-CN"/>
              </w:rPr>
              <w:t>四</w:t>
            </w:r>
          </w:p>
        </w:tc>
        <w:tc>
          <w:tcPr>
            <w:tcW w:w="1621" w:type="dxa"/>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spacing w:line="400" w:lineRule="exact"/>
              <w:jc w:val="center"/>
              <w:textAlignment w:val="auto"/>
              <w:rPr>
                <w:rFonts w:hint="eastAsia" w:hAnsi="宋体" w:eastAsia="宋体"/>
                <w:b/>
                <w:color w:val="auto"/>
                <w:szCs w:val="21"/>
                <w:highlight w:val="none"/>
                <w:lang w:eastAsia="zh-CN"/>
              </w:rPr>
            </w:pPr>
            <w:r>
              <w:rPr>
                <w:rFonts w:hint="eastAsia" w:hAnsi="宋体"/>
                <w:b/>
                <w:color w:val="auto"/>
                <w:szCs w:val="21"/>
                <w:highlight w:val="none"/>
              </w:rPr>
              <w:t>不良行为记录的应用</w:t>
            </w:r>
            <w:r>
              <w:rPr>
                <w:rFonts w:hint="eastAsia" w:hAnsi="宋体"/>
                <w:b/>
                <w:color w:val="auto"/>
                <w:szCs w:val="21"/>
                <w:highlight w:val="none"/>
                <w:lang w:eastAsia="zh-CN"/>
              </w:rPr>
              <w:t>（</w:t>
            </w:r>
            <w:r>
              <w:rPr>
                <w:rFonts w:hint="eastAsia" w:hAnsi="宋体"/>
                <w:b/>
                <w:color w:val="auto"/>
                <w:szCs w:val="21"/>
                <w:highlight w:val="none"/>
                <w:lang w:val="en-US" w:eastAsia="zh-CN"/>
              </w:rPr>
              <w:t>2分</w:t>
            </w:r>
            <w:r>
              <w:rPr>
                <w:rFonts w:hint="eastAsia" w:hAnsi="宋体"/>
                <w:b/>
                <w:color w:val="auto"/>
                <w:szCs w:val="21"/>
                <w:highlight w:val="none"/>
                <w:lang w:eastAsia="zh-CN"/>
              </w:rPr>
              <w:t>）</w:t>
            </w:r>
          </w:p>
        </w:tc>
        <w:tc>
          <w:tcPr>
            <w:tcW w:w="5089" w:type="dxa"/>
            <w:gridSpan w:val="2"/>
            <w:tcBorders>
              <w:top w:val="single" w:color="auto" w:sz="4" w:space="0"/>
              <w:left w:val="single" w:color="000000" w:sz="4" w:space="0"/>
              <w:bottom w:val="single" w:color="auto" w:sz="4" w:space="0"/>
              <w:right w:val="single" w:color="000000" w:sz="4" w:space="0"/>
            </w:tcBorders>
            <w:noWrap w:val="0"/>
            <w:vAlign w:val="center"/>
          </w:tcPr>
          <w:p>
            <w:pPr>
              <w:pageBreakBefore w:val="0"/>
              <w:tabs>
                <w:tab w:val="left" w:pos="1450"/>
              </w:tabs>
              <w:kinsoku/>
              <w:wordWrap/>
              <w:overflowPunct/>
              <w:topLinePunct w:val="0"/>
              <w:autoSpaceDE/>
              <w:autoSpaceDN/>
              <w:bidi w:val="0"/>
              <w:adjustRightInd w:val="0"/>
              <w:snapToGrid w:val="0"/>
              <w:spacing w:line="400" w:lineRule="exact"/>
              <w:ind w:left="-35" w:right="-38"/>
              <w:textAlignment w:val="auto"/>
              <w:rPr>
                <w:rFonts w:hint="eastAsia" w:hAnsi="宋体"/>
                <w:bCs/>
                <w:color w:val="auto"/>
                <w:szCs w:val="21"/>
                <w:highlight w:val="none"/>
                <w:lang w:val="en-US" w:eastAsia="zh-CN"/>
              </w:rPr>
            </w:pPr>
            <w:r>
              <w:rPr>
                <w:rFonts w:hint="eastAsia" w:hAnsi="宋体"/>
                <w:bCs/>
                <w:color w:val="auto"/>
                <w:szCs w:val="21"/>
                <w:highlight w:val="none"/>
                <w:lang w:val="en-US" w:eastAsia="zh-CN"/>
              </w:rPr>
              <w:t>1.供应商未被安庆市（含五县两市）公共资源交易监督管理部门记不良行为记录的，或者供应商被安庆市（含五县两市）公共资源交易监督管理部门记录并披露的不良行为记录，但提交响应文件截止日不处于公示有效期内（公示有效期即限制行为开始时间至限制行为结束时间），得2分。</w:t>
            </w:r>
          </w:p>
          <w:p>
            <w:pPr>
              <w:pageBreakBefore w:val="0"/>
              <w:tabs>
                <w:tab w:val="left" w:pos="1450"/>
              </w:tabs>
              <w:kinsoku/>
              <w:wordWrap/>
              <w:overflowPunct/>
              <w:topLinePunct w:val="0"/>
              <w:autoSpaceDE/>
              <w:autoSpaceDN/>
              <w:bidi w:val="0"/>
              <w:adjustRightInd w:val="0"/>
              <w:snapToGrid w:val="0"/>
              <w:spacing w:line="400" w:lineRule="exact"/>
              <w:ind w:left="-35" w:right="-38"/>
              <w:textAlignment w:val="auto"/>
              <w:rPr>
                <w:rFonts w:hAnsi="宋体"/>
                <w:bCs/>
                <w:color w:val="auto"/>
                <w:szCs w:val="21"/>
                <w:highlight w:val="none"/>
              </w:rPr>
            </w:pPr>
            <w:r>
              <w:rPr>
                <w:rFonts w:hint="eastAsia" w:hAnsi="宋体"/>
                <w:bCs/>
                <w:color w:val="auto"/>
                <w:szCs w:val="21"/>
                <w:highlight w:val="none"/>
                <w:lang w:val="en-US" w:eastAsia="zh-CN"/>
              </w:rPr>
              <w:t>2.供应商被安庆市（含五县两市）公共资源交易监督管理部门记录并披露的不良行为记录，且提交响应文件截止日仍处于公示有效期内（公示有效期即限制行为开始时间至限制行为结束时间），得0分。</w:t>
            </w:r>
          </w:p>
        </w:tc>
        <w:tc>
          <w:tcPr>
            <w:tcW w:w="1968" w:type="dxa"/>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spacing w:line="400" w:lineRule="exact"/>
              <w:jc w:val="center"/>
              <w:textAlignment w:val="auto"/>
              <w:rPr>
                <w:rFonts w:hAnsi="宋体" w:cs="宋体"/>
                <w:color w:val="auto"/>
                <w:szCs w:val="21"/>
                <w:highlight w:val="none"/>
              </w:rPr>
            </w:pPr>
            <w:r>
              <w:rPr>
                <w:rFonts w:hint="eastAsia" w:hAnsi="宋体" w:cs="宋体"/>
                <w:color w:val="auto"/>
                <w:szCs w:val="21"/>
                <w:highlight w:val="none"/>
              </w:rPr>
              <w:t>注：</w:t>
            </w:r>
            <w:r>
              <w:rPr>
                <w:rFonts w:hint="eastAsia" w:hAnsi="宋体" w:cs="宋体"/>
                <w:color w:val="auto"/>
                <w:szCs w:val="21"/>
                <w:highlight w:val="none"/>
                <w:lang w:eastAsia="zh-CN"/>
              </w:rPr>
              <w:t>供应商磋商响应文件</w:t>
            </w:r>
            <w:r>
              <w:rPr>
                <w:rFonts w:hint="eastAsia" w:hAnsi="宋体" w:cs="宋体"/>
                <w:color w:val="auto"/>
                <w:szCs w:val="21"/>
                <w:highlight w:val="none"/>
              </w:rPr>
              <w:t>中无需提供，以</w:t>
            </w:r>
            <w:r>
              <w:rPr>
                <w:rFonts w:hint="eastAsia" w:hAnsi="宋体" w:cs="宋体"/>
                <w:color w:val="auto"/>
                <w:szCs w:val="21"/>
                <w:highlight w:val="none"/>
                <w:lang w:eastAsia="zh-CN"/>
              </w:rPr>
              <w:t>磋商小组</w:t>
            </w:r>
            <w:r>
              <w:rPr>
                <w:rFonts w:hint="eastAsia" w:hAnsi="宋体" w:cs="宋体"/>
                <w:color w:val="auto"/>
                <w:szCs w:val="21"/>
                <w:highlight w:val="none"/>
              </w:rPr>
              <w:t>评标时实时查询为准。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630" w:type="dxa"/>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spacing w:line="400" w:lineRule="exact"/>
              <w:jc w:val="center"/>
              <w:textAlignment w:val="auto"/>
              <w:rPr>
                <w:rFonts w:hint="default" w:ascii="宋体" w:hAnsi="宋体"/>
                <w:b/>
                <w:color w:val="auto"/>
                <w:szCs w:val="21"/>
                <w:highlight w:val="none"/>
                <w:lang w:val="en-US" w:eastAsia="zh-CN"/>
              </w:rPr>
            </w:pPr>
            <w:r>
              <w:rPr>
                <w:rFonts w:hint="eastAsia" w:ascii="宋体" w:hAnsi="宋体"/>
                <w:b/>
                <w:color w:val="auto"/>
                <w:szCs w:val="21"/>
                <w:highlight w:val="none"/>
                <w:lang w:val="en-US" w:eastAsia="zh-CN"/>
              </w:rPr>
              <w:t>五</w:t>
            </w:r>
          </w:p>
        </w:tc>
        <w:tc>
          <w:tcPr>
            <w:tcW w:w="1621" w:type="dxa"/>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spacing w:line="400" w:lineRule="exact"/>
              <w:jc w:val="center"/>
              <w:textAlignment w:val="auto"/>
              <w:rPr>
                <w:rFonts w:hint="eastAsia" w:hAnsi="宋体" w:eastAsia="宋体"/>
                <w:b/>
                <w:color w:val="auto"/>
                <w:szCs w:val="21"/>
                <w:highlight w:val="none"/>
                <w:lang w:val="en-US" w:eastAsia="zh-CN"/>
              </w:rPr>
            </w:pPr>
            <w:r>
              <w:rPr>
                <w:rFonts w:hint="eastAsia" w:hAnsi="宋体"/>
                <w:b/>
                <w:color w:val="auto"/>
                <w:szCs w:val="21"/>
                <w:highlight w:val="none"/>
                <w:lang w:val="en-US" w:eastAsia="zh-CN"/>
              </w:rPr>
              <w:t>信用（5分）</w:t>
            </w:r>
          </w:p>
        </w:tc>
        <w:tc>
          <w:tcPr>
            <w:tcW w:w="5089" w:type="dxa"/>
            <w:gridSpan w:val="2"/>
            <w:tcBorders>
              <w:top w:val="single" w:color="auto" w:sz="4" w:space="0"/>
              <w:left w:val="single" w:color="000000" w:sz="4" w:space="0"/>
              <w:bottom w:val="single" w:color="auto" w:sz="4" w:space="0"/>
              <w:right w:val="single" w:color="000000" w:sz="4" w:space="0"/>
            </w:tcBorders>
            <w:noWrap w:val="0"/>
            <w:vAlign w:val="center"/>
          </w:tcPr>
          <w:p>
            <w:pPr>
              <w:widowControl/>
              <w:jc w:val="left"/>
              <w:rPr>
                <w:highlight w:val="none"/>
              </w:rPr>
            </w:pPr>
            <w:r>
              <w:rPr>
                <w:rFonts w:hint="eastAsia"/>
                <w:highlight w:val="none"/>
                <w:lang w:val="en-US" w:eastAsia="zh-CN"/>
              </w:rPr>
              <w:t>供应商</w:t>
            </w:r>
            <w:r>
              <w:rPr>
                <w:rFonts w:hint="eastAsia"/>
                <w:highlight w:val="none"/>
              </w:rPr>
              <w:t>信用分以在</w:t>
            </w:r>
            <w:r>
              <w:rPr>
                <w:rFonts w:hint="eastAsia"/>
                <w:highlight w:val="none"/>
                <w:lang w:val="en-US" w:eastAsia="zh-CN"/>
              </w:rPr>
              <w:t>响应</w:t>
            </w:r>
            <w:r>
              <w:rPr>
                <w:rFonts w:hint="eastAsia"/>
                <w:highlight w:val="none"/>
              </w:rPr>
              <w:t>文件提交截止时间前安庆市住房和城乡建设局在官网公告的最新一期企业信用分为准。</w:t>
            </w:r>
            <w:r>
              <w:rPr>
                <w:rFonts w:hint="eastAsia"/>
                <w:highlight w:val="none"/>
                <w:lang w:val="en-US" w:eastAsia="zh-CN"/>
              </w:rPr>
              <w:t>磋商</w:t>
            </w:r>
            <w:r>
              <w:rPr>
                <w:rFonts w:hint="eastAsia"/>
                <w:highlight w:val="none"/>
              </w:rPr>
              <w:t>时自行提供网页</w:t>
            </w:r>
            <w:r>
              <w:rPr>
                <w:rFonts w:hint="eastAsia"/>
                <w:highlight w:val="none"/>
                <w:lang w:val="en-US" w:eastAsia="zh-CN"/>
              </w:rPr>
              <w:t>公告</w:t>
            </w:r>
            <w:r>
              <w:rPr>
                <w:rFonts w:hint="eastAsia"/>
                <w:highlight w:val="none"/>
              </w:rPr>
              <w:t>截图，未提供或提供不正确的视为无信用分。具体如下：</w:t>
            </w:r>
          </w:p>
          <w:p>
            <w:pPr>
              <w:pStyle w:val="29"/>
              <w:numPr>
                <w:ilvl w:val="0"/>
                <w:numId w:val="0"/>
              </w:numPr>
              <w:spacing w:line="360" w:lineRule="auto"/>
              <w:rPr>
                <w:highlight w:val="none"/>
              </w:rPr>
            </w:pPr>
            <w:r>
              <w:rPr>
                <w:highlight w:val="none"/>
              </w:rPr>
              <w:t>A≥90</w:t>
            </w:r>
            <w:r>
              <w:rPr>
                <w:rFonts w:hint="eastAsia"/>
                <w:highlight w:val="none"/>
              </w:rPr>
              <w:t>，得</w:t>
            </w:r>
            <w:r>
              <w:rPr>
                <w:rFonts w:hint="eastAsia"/>
                <w:highlight w:val="none"/>
                <w:lang w:val="en-US" w:eastAsia="zh-CN"/>
              </w:rPr>
              <w:t>5</w:t>
            </w:r>
            <w:r>
              <w:rPr>
                <w:rFonts w:hint="eastAsia"/>
                <w:highlight w:val="none"/>
              </w:rPr>
              <w:t>分；</w:t>
            </w:r>
          </w:p>
          <w:p>
            <w:pPr>
              <w:pStyle w:val="29"/>
              <w:numPr>
                <w:ilvl w:val="0"/>
                <w:numId w:val="0"/>
              </w:numPr>
              <w:spacing w:line="360" w:lineRule="auto"/>
              <w:rPr>
                <w:highlight w:val="none"/>
              </w:rPr>
            </w:pPr>
            <w:r>
              <w:rPr>
                <w:highlight w:val="none"/>
              </w:rPr>
              <w:t>90＞A≥80</w:t>
            </w:r>
            <w:r>
              <w:rPr>
                <w:rFonts w:hint="eastAsia"/>
                <w:highlight w:val="none"/>
              </w:rPr>
              <w:t>，得</w:t>
            </w:r>
            <w:r>
              <w:rPr>
                <w:rFonts w:hint="eastAsia"/>
                <w:highlight w:val="none"/>
                <w:lang w:val="en-US" w:eastAsia="zh-CN"/>
              </w:rPr>
              <w:t>4</w:t>
            </w:r>
            <w:r>
              <w:rPr>
                <w:rFonts w:hint="eastAsia"/>
                <w:highlight w:val="none"/>
              </w:rPr>
              <w:t>分；</w:t>
            </w:r>
          </w:p>
          <w:p>
            <w:pPr>
              <w:pStyle w:val="29"/>
              <w:numPr>
                <w:ilvl w:val="0"/>
                <w:numId w:val="0"/>
              </w:numPr>
              <w:spacing w:line="360" w:lineRule="auto"/>
              <w:rPr>
                <w:highlight w:val="none"/>
              </w:rPr>
            </w:pPr>
            <w:r>
              <w:rPr>
                <w:highlight w:val="none"/>
              </w:rPr>
              <w:t>80＞A≥70</w:t>
            </w:r>
            <w:r>
              <w:rPr>
                <w:rFonts w:hint="eastAsia"/>
                <w:highlight w:val="none"/>
              </w:rPr>
              <w:t>，得</w:t>
            </w:r>
            <w:r>
              <w:rPr>
                <w:rFonts w:hint="eastAsia"/>
                <w:highlight w:val="none"/>
                <w:lang w:val="en-US" w:eastAsia="zh-CN"/>
              </w:rPr>
              <w:t>3</w:t>
            </w:r>
            <w:r>
              <w:rPr>
                <w:rFonts w:hint="eastAsia"/>
                <w:highlight w:val="none"/>
              </w:rPr>
              <w:t>分；</w:t>
            </w:r>
          </w:p>
          <w:p>
            <w:pPr>
              <w:pStyle w:val="29"/>
              <w:numPr>
                <w:ilvl w:val="0"/>
                <w:numId w:val="0"/>
              </w:numPr>
              <w:spacing w:line="360" w:lineRule="auto"/>
              <w:rPr>
                <w:highlight w:val="none"/>
              </w:rPr>
            </w:pPr>
            <w:r>
              <w:rPr>
                <w:highlight w:val="none"/>
              </w:rPr>
              <w:t>70＞A≥60</w:t>
            </w:r>
            <w:r>
              <w:rPr>
                <w:rFonts w:hint="eastAsia"/>
                <w:highlight w:val="none"/>
              </w:rPr>
              <w:t>，得</w:t>
            </w:r>
            <w:r>
              <w:rPr>
                <w:rFonts w:hint="eastAsia"/>
                <w:highlight w:val="none"/>
                <w:lang w:val="en-US" w:eastAsia="zh-CN"/>
              </w:rPr>
              <w:t>2</w:t>
            </w:r>
            <w:r>
              <w:rPr>
                <w:rFonts w:hint="eastAsia"/>
                <w:highlight w:val="none"/>
              </w:rPr>
              <w:t>分；</w:t>
            </w:r>
          </w:p>
          <w:p>
            <w:pPr>
              <w:pStyle w:val="29"/>
              <w:numPr>
                <w:ilvl w:val="0"/>
                <w:numId w:val="0"/>
              </w:numPr>
              <w:spacing w:line="360" w:lineRule="auto"/>
              <w:rPr>
                <w:highlight w:val="none"/>
              </w:rPr>
            </w:pPr>
            <w:r>
              <w:rPr>
                <w:highlight w:val="none"/>
              </w:rPr>
              <w:t>60＞A≥50</w:t>
            </w:r>
            <w:r>
              <w:rPr>
                <w:rFonts w:hint="eastAsia"/>
                <w:highlight w:val="none"/>
              </w:rPr>
              <w:t>，得</w:t>
            </w:r>
            <w:r>
              <w:rPr>
                <w:rFonts w:hint="eastAsia"/>
                <w:highlight w:val="none"/>
                <w:lang w:val="en-US" w:eastAsia="zh-CN"/>
              </w:rPr>
              <w:t>1</w:t>
            </w:r>
            <w:r>
              <w:rPr>
                <w:rFonts w:hint="eastAsia"/>
                <w:highlight w:val="none"/>
              </w:rPr>
              <w:t>分；</w:t>
            </w:r>
          </w:p>
          <w:p>
            <w:pPr>
              <w:pageBreakBefore w:val="0"/>
              <w:tabs>
                <w:tab w:val="left" w:pos="1450"/>
              </w:tabs>
              <w:kinsoku/>
              <w:wordWrap/>
              <w:overflowPunct/>
              <w:topLinePunct w:val="0"/>
              <w:autoSpaceDE/>
              <w:autoSpaceDN/>
              <w:bidi w:val="0"/>
              <w:adjustRightInd w:val="0"/>
              <w:snapToGrid w:val="0"/>
              <w:spacing w:line="400" w:lineRule="exact"/>
              <w:ind w:left="-35" w:right="-38"/>
              <w:textAlignment w:val="auto"/>
              <w:rPr>
                <w:rFonts w:hint="eastAsia" w:hAnsi="宋体"/>
                <w:bCs/>
                <w:color w:val="auto"/>
                <w:szCs w:val="21"/>
                <w:highlight w:val="none"/>
                <w:lang w:val="en-US" w:eastAsia="zh-CN"/>
              </w:rPr>
            </w:pPr>
            <w:r>
              <w:rPr>
                <w:highlight w:val="none"/>
              </w:rPr>
              <w:t>A</w:t>
            </w:r>
            <w:r>
              <w:rPr>
                <w:rFonts w:hint="eastAsia"/>
                <w:highlight w:val="none"/>
                <w:lang w:val="en-US" w:eastAsia="zh-CN"/>
              </w:rPr>
              <w:t>＜50</w:t>
            </w:r>
            <w:r>
              <w:rPr>
                <w:rFonts w:hint="eastAsia"/>
                <w:highlight w:val="none"/>
              </w:rPr>
              <w:t>，得</w:t>
            </w:r>
            <w:r>
              <w:rPr>
                <w:rFonts w:hint="eastAsia"/>
                <w:highlight w:val="none"/>
                <w:lang w:val="en-US" w:eastAsia="zh-CN"/>
              </w:rPr>
              <w:t>0</w:t>
            </w:r>
            <w:r>
              <w:rPr>
                <w:rFonts w:hint="eastAsia"/>
                <w:highlight w:val="none"/>
              </w:rPr>
              <w:t>分</w:t>
            </w:r>
            <w:r>
              <w:rPr>
                <w:rFonts w:hint="eastAsia"/>
                <w:highlight w:val="none"/>
                <w:lang w:eastAsia="zh-CN"/>
              </w:rPr>
              <w:t>。</w:t>
            </w:r>
          </w:p>
        </w:tc>
        <w:tc>
          <w:tcPr>
            <w:tcW w:w="1968" w:type="dxa"/>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spacing w:line="400" w:lineRule="exact"/>
              <w:jc w:val="center"/>
              <w:textAlignment w:val="auto"/>
              <w:rPr>
                <w:rFonts w:hint="eastAsia"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6" w:hRule="atLeast"/>
        </w:trPr>
        <w:tc>
          <w:tcPr>
            <w:tcW w:w="630" w:type="dxa"/>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400" w:lineRule="exact"/>
              <w:jc w:val="center"/>
              <w:textAlignment w:val="auto"/>
              <w:rPr>
                <w:rFonts w:hint="default" w:ascii="宋体" w:hAnsi="宋体"/>
                <w:b/>
                <w:color w:val="auto"/>
                <w:szCs w:val="21"/>
                <w:highlight w:val="none"/>
                <w:lang w:val="en-US" w:eastAsia="zh-CN"/>
              </w:rPr>
            </w:pPr>
            <w:r>
              <w:rPr>
                <w:rFonts w:hint="eastAsia" w:ascii="宋体" w:hAnsi="宋体"/>
                <w:b/>
                <w:color w:val="auto"/>
                <w:szCs w:val="21"/>
                <w:highlight w:val="none"/>
                <w:lang w:val="en-US" w:eastAsia="zh-CN"/>
              </w:rPr>
              <w:t>五</w:t>
            </w:r>
          </w:p>
        </w:tc>
        <w:tc>
          <w:tcPr>
            <w:tcW w:w="1621" w:type="dxa"/>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400" w:lineRule="exact"/>
              <w:jc w:val="center"/>
              <w:textAlignment w:val="auto"/>
              <w:rPr>
                <w:rFonts w:hint="eastAsia" w:ascii="Times New Roman" w:hAnsi="宋体" w:cs="Times New Roman"/>
                <w:b/>
                <w:color w:val="auto"/>
                <w:szCs w:val="21"/>
                <w:highlight w:val="none"/>
              </w:rPr>
            </w:pPr>
            <w:r>
              <w:rPr>
                <w:rFonts w:hint="eastAsia" w:ascii="Times New Roman" w:hAnsi="宋体" w:cs="Times New Roman"/>
                <w:b/>
                <w:color w:val="auto"/>
                <w:szCs w:val="21"/>
                <w:highlight w:val="none"/>
                <w:lang w:val="en-US" w:eastAsia="zh-CN"/>
              </w:rPr>
              <w:t>报价</w:t>
            </w:r>
            <w:r>
              <w:rPr>
                <w:rFonts w:hint="eastAsia" w:hAnsi="宋体" w:cs="Times New Roman"/>
                <w:b/>
                <w:color w:val="auto"/>
                <w:szCs w:val="21"/>
                <w:highlight w:val="none"/>
                <w:lang w:val="en-US" w:eastAsia="zh-CN"/>
              </w:rPr>
              <w:t>（15分）</w:t>
            </w:r>
          </w:p>
        </w:tc>
        <w:tc>
          <w:tcPr>
            <w:tcW w:w="5089" w:type="dxa"/>
            <w:gridSpan w:val="2"/>
            <w:tcBorders>
              <w:top w:val="single" w:color="auto" w:sz="4" w:space="0"/>
              <w:left w:val="single" w:color="000000" w:sz="4" w:space="0"/>
              <w:bottom w:val="single" w:color="000000" w:sz="4" w:space="0"/>
              <w:right w:val="single" w:color="000000" w:sz="4" w:space="0"/>
            </w:tcBorders>
            <w:noWrap w:val="0"/>
            <w:vAlign w:val="top"/>
          </w:tcPr>
          <w:p>
            <w:pPr>
              <w:spacing w:line="360" w:lineRule="auto"/>
              <w:rPr>
                <w:rFonts w:ascii="宋体" w:cs="黑体"/>
                <w:bCs/>
                <w:snapToGrid w:val="0"/>
                <w:color w:val="auto"/>
                <w:szCs w:val="21"/>
                <w:highlight w:val="none"/>
              </w:rPr>
            </w:pPr>
            <w:r>
              <w:rPr>
                <w:rFonts w:hint="eastAsia" w:ascii="宋体" w:cs="黑体"/>
                <w:bCs/>
                <w:snapToGrid w:val="0"/>
                <w:color w:val="auto"/>
                <w:szCs w:val="21"/>
                <w:highlight w:val="none"/>
              </w:rPr>
              <w:t>价格分统一采用低价优先法，即满足磋商文件要求且报价最低的最后磋商报价为评标基准价，其价格分为满分</w:t>
            </w:r>
            <w:r>
              <w:rPr>
                <w:rFonts w:hint="eastAsia" w:ascii="宋体" w:cs="黑体"/>
                <w:bCs/>
                <w:snapToGrid w:val="0"/>
                <w:color w:val="auto"/>
                <w:szCs w:val="21"/>
                <w:highlight w:val="none"/>
                <w:lang w:val="en-US" w:eastAsia="zh-CN"/>
              </w:rPr>
              <w:t>15</w:t>
            </w:r>
            <w:r>
              <w:rPr>
                <w:rFonts w:hint="eastAsia" w:ascii="宋体" w:cs="黑体"/>
                <w:bCs/>
                <w:snapToGrid w:val="0"/>
                <w:color w:val="auto"/>
                <w:szCs w:val="21"/>
                <w:highlight w:val="none"/>
              </w:rPr>
              <w:t xml:space="preserve">分。其他供应商的价格分统一按照下列公式计算： </w:t>
            </w:r>
          </w:p>
          <w:p>
            <w:pPr>
              <w:spacing w:line="360" w:lineRule="auto"/>
              <w:rPr>
                <w:rFonts w:ascii="宋体" w:cs="黑体"/>
                <w:bCs/>
                <w:snapToGrid w:val="0"/>
                <w:color w:val="auto"/>
                <w:szCs w:val="21"/>
                <w:highlight w:val="none"/>
              </w:rPr>
            </w:pPr>
            <w:r>
              <w:rPr>
                <w:rFonts w:hint="eastAsia" w:ascii="宋体" w:cs="黑体"/>
                <w:bCs/>
                <w:snapToGrid w:val="0"/>
                <w:color w:val="auto"/>
                <w:szCs w:val="21"/>
                <w:highlight w:val="none"/>
              </w:rPr>
              <w:t>磋商报价得分＝（评标基准价/最后磋商报价）×</w:t>
            </w:r>
            <w:r>
              <w:rPr>
                <w:rFonts w:hint="eastAsia" w:ascii="宋体" w:cs="黑体"/>
                <w:bCs/>
                <w:snapToGrid w:val="0"/>
                <w:color w:val="auto"/>
                <w:szCs w:val="21"/>
                <w:highlight w:val="none"/>
                <w:lang w:val="en-US" w:eastAsia="zh-CN"/>
              </w:rPr>
              <w:t>15</w:t>
            </w:r>
            <w:r>
              <w:rPr>
                <w:rFonts w:hint="eastAsia" w:ascii="宋体" w:cs="黑体"/>
                <w:bCs/>
                <w:snapToGrid w:val="0"/>
                <w:color w:val="auto"/>
                <w:szCs w:val="21"/>
                <w:highlight w:val="none"/>
              </w:rPr>
              <w:t xml:space="preserve">％×100 </w:t>
            </w:r>
          </w:p>
          <w:p>
            <w:pPr>
              <w:spacing w:line="360" w:lineRule="auto"/>
              <w:rPr>
                <w:rFonts w:ascii="宋体" w:cs="黑体"/>
                <w:bCs/>
                <w:snapToGrid w:val="0"/>
                <w:color w:val="auto"/>
                <w:szCs w:val="21"/>
                <w:highlight w:val="none"/>
              </w:rPr>
            </w:pPr>
            <w:r>
              <w:rPr>
                <w:rFonts w:hint="eastAsia" w:ascii="宋体" w:cs="黑体"/>
                <w:bCs/>
                <w:snapToGrid w:val="0"/>
                <w:color w:val="auto"/>
                <w:szCs w:val="21"/>
                <w:highlight w:val="none"/>
              </w:rPr>
              <w:t>最后磋商报价，若有报价扣除，以扣除后价格参与评审。</w:t>
            </w:r>
          </w:p>
          <w:p>
            <w:pPr>
              <w:spacing w:line="360" w:lineRule="auto"/>
              <w:rPr>
                <w:rFonts w:hint="eastAsia" w:ascii="Times New Roman" w:hAnsi="宋体" w:cs="Times New Roman"/>
                <w:b/>
                <w:color w:val="auto"/>
                <w:szCs w:val="21"/>
                <w:highlight w:val="none"/>
              </w:rPr>
            </w:pPr>
            <w:r>
              <w:rPr>
                <w:rFonts w:hint="eastAsia" w:ascii="宋体" w:hAnsi="宋体" w:cs="黑体"/>
                <w:bCs/>
                <w:snapToGrid w:val="0"/>
                <w:color w:val="auto"/>
                <w:szCs w:val="21"/>
                <w:highlight w:val="none"/>
              </w:rPr>
              <w:t>（商务报价分计算至小数点后第二位、小数点后第三位四舍五入）</w:t>
            </w:r>
          </w:p>
        </w:tc>
        <w:tc>
          <w:tcPr>
            <w:tcW w:w="1968" w:type="dxa"/>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400" w:lineRule="exact"/>
              <w:jc w:val="center"/>
              <w:textAlignment w:val="auto"/>
              <w:rPr>
                <w:rFonts w:hint="eastAsia" w:hAnsi="宋体" w:cs="宋体"/>
                <w:color w:val="auto"/>
                <w:szCs w:val="21"/>
                <w:highlight w:val="none"/>
              </w:rPr>
            </w:pPr>
          </w:p>
        </w:tc>
      </w:tr>
    </w:tbl>
    <w:p>
      <w:pPr>
        <w:spacing w:line="360" w:lineRule="auto"/>
        <w:rPr>
          <w:rFonts w:hint="eastAsia" w:ascii="宋体" w:hAnsi="宋体" w:cs="宋体"/>
          <w:b/>
          <w:szCs w:val="21"/>
          <w:highlight w:val="none"/>
        </w:rPr>
      </w:pPr>
    </w:p>
    <w:p>
      <w:pPr>
        <w:spacing w:line="360" w:lineRule="auto"/>
        <w:ind w:firstLine="422" w:firstLineChars="200"/>
        <w:rPr>
          <w:rFonts w:ascii="宋体" w:cs="宋体"/>
          <w:b/>
          <w:szCs w:val="21"/>
          <w:highlight w:val="none"/>
        </w:rPr>
      </w:pPr>
      <w:r>
        <w:rPr>
          <w:rFonts w:hint="eastAsia" w:ascii="宋体" w:hAnsi="宋体" w:cs="宋体"/>
          <w:b/>
          <w:szCs w:val="21"/>
          <w:highlight w:val="none"/>
        </w:rPr>
        <w:t>备注：</w:t>
      </w:r>
    </w:p>
    <w:p>
      <w:pPr>
        <w:spacing w:line="360" w:lineRule="auto"/>
        <w:ind w:firstLine="422" w:firstLineChars="200"/>
        <w:rPr>
          <w:rFonts w:ascii="宋体" w:cs="宋体"/>
          <w:b/>
          <w:snapToGrid w:val="0"/>
          <w:kern w:val="0"/>
          <w:szCs w:val="21"/>
          <w:highlight w:val="none"/>
        </w:rPr>
      </w:pPr>
      <w:r>
        <w:rPr>
          <w:rFonts w:hint="eastAsia" w:ascii="宋体" w:hAnsi="宋体" w:cs="宋体"/>
          <w:b/>
          <w:szCs w:val="21"/>
          <w:highlight w:val="none"/>
        </w:rPr>
        <w:t>（</w:t>
      </w:r>
      <w:r>
        <w:rPr>
          <w:rFonts w:ascii="宋体" w:hAnsi="宋体" w:cs="宋体"/>
          <w:b/>
          <w:szCs w:val="21"/>
          <w:highlight w:val="none"/>
        </w:rPr>
        <w:t>1</w:t>
      </w:r>
      <w:r>
        <w:rPr>
          <w:rFonts w:hint="eastAsia" w:ascii="宋体" w:hAnsi="宋体" w:cs="宋体"/>
          <w:b/>
          <w:szCs w:val="21"/>
          <w:highlight w:val="none"/>
        </w:rPr>
        <w:t>）各磋商小组成员按以上评分项目进行评判，</w:t>
      </w:r>
      <w:r>
        <w:rPr>
          <w:rFonts w:hint="eastAsia" w:ascii="宋体" w:hAnsi="宋体" w:cs="宋体"/>
          <w:b/>
          <w:snapToGrid w:val="0"/>
          <w:kern w:val="0"/>
          <w:szCs w:val="21"/>
          <w:highlight w:val="none"/>
        </w:rPr>
        <w:t>磋商小组各成员应当独立对每个有效供应商的响应情况进行评价、打分，然后汇总每个供应商每项评分因素的得分。各供应商的最终得分为所有磋商小组成员评分的平均值（平均值计算精确至小数点后二位，小数点后第三位四舍五入）。</w:t>
      </w:r>
    </w:p>
    <w:p>
      <w:pPr>
        <w:spacing w:line="360" w:lineRule="auto"/>
        <w:ind w:firstLine="310" w:firstLineChars="147"/>
        <w:rPr>
          <w:rFonts w:ascii="宋体" w:cs="宋体"/>
          <w:b/>
          <w:color w:val="FF0000"/>
          <w:szCs w:val="21"/>
          <w:highlight w:val="none"/>
        </w:rPr>
      </w:pPr>
      <w:r>
        <w:rPr>
          <w:rFonts w:hint="eastAsia" w:ascii="宋体" w:hAnsi="宋体" w:cs="宋体"/>
          <w:b/>
          <w:szCs w:val="21"/>
          <w:highlight w:val="none"/>
        </w:rPr>
        <w:t>（2）</w:t>
      </w:r>
      <w:r>
        <w:rPr>
          <w:rFonts w:hint="eastAsia" w:ascii="宋体" w:hAnsi="宋体" w:cs="宋体"/>
          <w:b/>
          <w:color w:val="000000"/>
          <w:szCs w:val="21"/>
          <w:highlight w:val="none"/>
        </w:rPr>
        <w:t>磋商小组成员在打出各主观评分项最低分或者不得分时</w:t>
      </w:r>
      <w:r>
        <w:rPr>
          <w:rFonts w:hint="eastAsia" w:ascii="宋体" w:hAnsi="宋体" w:cs="宋体"/>
          <w:b/>
          <w:szCs w:val="21"/>
          <w:highlight w:val="none"/>
        </w:rPr>
        <w:t>，须书面说明理由。</w:t>
      </w:r>
    </w:p>
    <w:p>
      <w:pPr>
        <w:spacing w:line="360" w:lineRule="auto"/>
        <w:ind w:firstLine="316" w:firstLineChars="150"/>
        <w:rPr>
          <w:rFonts w:ascii="宋体" w:cs="宋体"/>
          <w:b/>
          <w:szCs w:val="21"/>
          <w:highlight w:val="none"/>
        </w:rPr>
      </w:pPr>
      <w:r>
        <w:rPr>
          <w:rFonts w:hint="eastAsia" w:ascii="宋体" w:hAnsi="宋体" w:cs="宋体"/>
          <w:b/>
          <w:szCs w:val="21"/>
          <w:highlight w:val="none"/>
        </w:rPr>
        <w:t>（3）供应商提供的业绩证明材料要能清晰反映业绩评分的实质内容，否则磋商小组不予认可。</w:t>
      </w:r>
    </w:p>
    <w:p>
      <w:pPr>
        <w:spacing w:line="360" w:lineRule="auto"/>
        <w:ind w:firstLine="310" w:firstLineChars="147"/>
        <w:rPr>
          <w:rFonts w:ascii="宋体"/>
          <w:szCs w:val="21"/>
          <w:highlight w:val="none"/>
        </w:rPr>
      </w:pPr>
      <w:r>
        <w:rPr>
          <w:rFonts w:hint="eastAsia" w:ascii="宋体" w:hAnsi="宋体" w:cs="宋体"/>
          <w:b/>
          <w:szCs w:val="21"/>
          <w:highlight w:val="none"/>
        </w:rPr>
        <w:t>（4）以上评分项中要求供应商提供复印件或影印件等相关证明材料的，相关证明材料均须加盖供应商公章，否则该项均不得分。</w:t>
      </w:r>
      <w:r>
        <w:rPr>
          <w:rFonts w:ascii="宋体" w:hAnsi="宋体"/>
          <w:szCs w:val="21"/>
          <w:highlight w:val="none"/>
        </w:rPr>
        <w:t xml:space="preserve">   </w:t>
      </w:r>
    </w:p>
    <w:p>
      <w:pPr>
        <w:spacing w:line="480" w:lineRule="exact"/>
        <w:rPr>
          <w:rFonts w:ascii="宋体"/>
          <w:szCs w:val="21"/>
          <w:highlight w:val="none"/>
        </w:rPr>
      </w:pPr>
      <w:r>
        <w:rPr>
          <w:rFonts w:ascii="宋体" w:hAnsi="宋体"/>
          <w:szCs w:val="21"/>
          <w:highlight w:val="none"/>
        </w:rPr>
        <w:t xml:space="preserve">  </w:t>
      </w:r>
      <w:r>
        <w:rPr>
          <w:rFonts w:ascii="宋体" w:hAnsi="宋体"/>
          <w:b/>
          <w:bCs/>
          <w:szCs w:val="21"/>
          <w:highlight w:val="none"/>
        </w:rPr>
        <w:t xml:space="preserve"> 2</w:t>
      </w:r>
      <w:r>
        <w:rPr>
          <w:rFonts w:hint="eastAsia" w:ascii="宋体" w:hAnsi="宋体"/>
          <w:b/>
          <w:bCs/>
          <w:szCs w:val="21"/>
          <w:highlight w:val="none"/>
        </w:rPr>
        <w:t>6</w:t>
      </w:r>
      <w:r>
        <w:rPr>
          <w:rFonts w:ascii="宋体" w:hAnsi="宋体"/>
          <w:b/>
          <w:bCs/>
          <w:szCs w:val="21"/>
          <w:highlight w:val="none"/>
        </w:rPr>
        <w:t xml:space="preserve"> </w:t>
      </w:r>
      <w:r>
        <w:rPr>
          <w:rFonts w:hint="eastAsia" w:ascii="宋体" w:hAnsi="宋体"/>
          <w:b/>
          <w:bCs/>
          <w:szCs w:val="21"/>
          <w:highlight w:val="none"/>
        </w:rPr>
        <w:t>澄清及错误修正</w:t>
      </w:r>
    </w:p>
    <w:p>
      <w:pPr>
        <w:spacing w:line="480" w:lineRule="exact"/>
        <w:ind w:firstLine="420" w:firstLineChars="200"/>
        <w:rPr>
          <w:rFonts w:ascii="宋体" w:hAnsi="宋体"/>
          <w:szCs w:val="21"/>
          <w:highlight w:val="none"/>
          <w:lang w:val="zh-CN"/>
        </w:rPr>
      </w:pPr>
      <w:r>
        <w:rPr>
          <w:rFonts w:hint="eastAsia"/>
          <w:szCs w:val="21"/>
          <w:highlight w:val="none"/>
        </w:rPr>
        <w:t>磋商和评审过程中，如响应文件中存在的细微偏差并未在实质上违背磋商文件的要求，只是在个别地方存在漏项或者提供不完整的信息或数据，并且补正这些漏项或不完整不会对其它供应商造成不公平的结果的，则该细微偏差不构成供应商的非实质响应。磋商小组可以</w:t>
      </w:r>
      <w:r>
        <w:rPr>
          <w:rFonts w:hint="eastAsia" w:ascii="宋体" w:hAnsi="宋体"/>
          <w:szCs w:val="21"/>
          <w:highlight w:val="none"/>
        </w:rPr>
        <w:t>通过电子交易系统</w:t>
      </w:r>
      <w:r>
        <w:rPr>
          <w:rFonts w:hint="eastAsia"/>
          <w:szCs w:val="21"/>
          <w:highlight w:val="none"/>
        </w:rPr>
        <w:t>要求供应商对所提交响应文件中不明确内容进行书面澄清或说明，或者对细微偏差进行补正。有关澄清说明与答复，供应商应在磋商小组规定时间内</w:t>
      </w:r>
      <w:r>
        <w:rPr>
          <w:rFonts w:hint="eastAsia" w:ascii="宋体" w:hAnsi="宋体"/>
          <w:szCs w:val="21"/>
          <w:highlight w:val="none"/>
        </w:rPr>
        <w:t>通过电子交易系统</w:t>
      </w:r>
      <w:r>
        <w:rPr>
          <w:rFonts w:hint="eastAsia"/>
          <w:szCs w:val="21"/>
          <w:highlight w:val="none"/>
        </w:rPr>
        <w:t>按磋商文件的约定进行签署。磋商小组不接受供应商主动</w:t>
      </w:r>
      <w:r>
        <w:rPr>
          <w:rFonts w:hint="eastAsia" w:ascii="宋体" w:hAnsi="宋体"/>
          <w:szCs w:val="21"/>
          <w:highlight w:val="none"/>
          <w:lang w:val="zh-CN"/>
        </w:rPr>
        <w:t>提出的澄清、说明或补正。</w:t>
      </w:r>
    </w:p>
    <w:p>
      <w:pPr>
        <w:autoSpaceDE w:val="0"/>
        <w:autoSpaceDN w:val="0"/>
        <w:adjustRightInd w:val="0"/>
        <w:snapToGrid w:val="0"/>
        <w:spacing w:line="480" w:lineRule="exact"/>
        <w:ind w:firstLine="411" w:firstLineChars="196"/>
        <w:rPr>
          <w:rFonts w:ascii="宋体" w:hAnsi="宋体"/>
          <w:b/>
          <w:bCs/>
          <w:szCs w:val="21"/>
          <w:highlight w:val="none"/>
        </w:rPr>
      </w:pPr>
      <w:r>
        <w:rPr>
          <w:rFonts w:hint="eastAsia" w:ascii="宋体" w:hAnsi="宋体"/>
          <w:szCs w:val="21"/>
          <w:highlight w:val="none"/>
        </w:rPr>
        <w:t>27、</w:t>
      </w:r>
      <w:r>
        <w:rPr>
          <w:rFonts w:hint="eastAsia" w:ascii="宋体" w:hAnsi="宋体"/>
          <w:b/>
          <w:bCs/>
          <w:szCs w:val="21"/>
          <w:highlight w:val="none"/>
        </w:rPr>
        <w:t>确定成交供应商</w:t>
      </w:r>
    </w:p>
    <w:p>
      <w:pPr>
        <w:widowControl/>
        <w:spacing w:line="500" w:lineRule="exact"/>
        <w:ind w:firstLine="420"/>
        <w:jc w:val="left"/>
        <w:rPr>
          <w:rStyle w:val="76"/>
          <w:color w:val="000000" w:themeColor="text1"/>
          <w:szCs w:val="21"/>
          <w:highlight w:val="none"/>
          <w14:textFill>
            <w14:solidFill>
              <w14:schemeClr w14:val="tx1"/>
            </w14:solidFill>
          </w14:textFill>
        </w:rPr>
      </w:pPr>
      <w:r>
        <w:rPr>
          <w:rFonts w:hint="eastAsia" w:ascii="宋体" w:hAnsi="宋体"/>
          <w:szCs w:val="21"/>
          <w:highlight w:val="none"/>
        </w:rPr>
        <w:t>磋商小组查询排序前三名的供应商信用记录，供应商存在不良信用记录的，磋商小组</w:t>
      </w:r>
      <w:r>
        <w:rPr>
          <w:highlight w:val="none"/>
        </w:rPr>
        <w:fldChar w:fldCharType="begin"/>
      </w:r>
      <w:r>
        <w:rPr>
          <w:highlight w:val="none"/>
        </w:rPr>
        <w:instrText xml:space="preserve"> HYPERLINK "http://www.ccgp.gov.cn/），若核查存在政府采购严重违法失信名单记录的投标人，评标委员会不得将其推荐为中标候选人，依序递补，并再次对递补的投标人进行核查及计算信用评审价。" </w:instrText>
      </w:r>
      <w:r>
        <w:rPr>
          <w:highlight w:val="none"/>
        </w:rPr>
        <w:fldChar w:fldCharType="separate"/>
      </w:r>
      <w:r>
        <w:rPr>
          <w:rStyle w:val="76"/>
          <w:rFonts w:hint="eastAsia"/>
          <w:color w:val="000000" w:themeColor="text1"/>
          <w:szCs w:val="21"/>
          <w:highlight w:val="none"/>
          <w:u w:val="none"/>
          <w14:textFill>
            <w14:solidFill>
              <w14:schemeClr w14:val="tx1"/>
            </w14:solidFill>
          </w14:textFill>
        </w:rPr>
        <w:t>不得将其推荐为成交候选人，依序递补，并再次对递补的供应商进行核查。</w:t>
      </w:r>
      <w:r>
        <w:rPr>
          <w:rStyle w:val="76"/>
          <w:rFonts w:hint="eastAsia"/>
          <w:color w:val="000000" w:themeColor="text1"/>
          <w:szCs w:val="21"/>
          <w:highlight w:val="none"/>
          <w:u w:val="none"/>
          <w14:textFill>
            <w14:solidFill>
              <w14:schemeClr w14:val="tx1"/>
            </w14:solidFill>
          </w14:textFill>
        </w:rPr>
        <w:fldChar w:fldCharType="end"/>
      </w:r>
    </w:p>
    <w:p>
      <w:pPr>
        <w:widowControl/>
        <w:spacing w:line="500" w:lineRule="exact"/>
        <w:ind w:firstLine="420"/>
        <w:jc w:val="left"/>
        <w:rPr>
          <w:rFonts w:ascii="宋体" w:hAnsi="宋体"/>
          <w:szCs w:val="21"/>
          <w:highlight w:val="none"/>
        </w:rPr>
      </w:pPr>
      <w:r>
        <w:rPr>
          <w:rFonts w:ascii="宋体" w:hAnsi="宋体"/>
          <w:szCs w:val="21"/>
          <w:highlight w:val="none"/>
        </w:rPr>
        <w:t>27.1</w:t>
      </w:r>
      <w:r>
        <w:rPr>
          <w:rFonts w:hint="eastAsia" w:ascii="宋体" w:hAnsi="宋体"/>
          <w:szCs w:val="21"/>
          <w:highlight w:val="none"/>
        </w:rPr>
        <w:t>不良信用记录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磋商的，联合体任何成员存在以上不良信用记录的，联合体投标将被认定为响应无效。</w:t>
      </w:r>
    </w:p>
    <w:p>
      <w:pPr>
        <w:widowControl/>
        <w:spacing w:line="500" w:lineRule="exact"/>
        <w:ind w:firstLine="420"/>
        <w:jc w:val="left"/>
        <w:rPr>
          <w:rFonts w:ascii="宋体" w:hAnsi="宋体" w:cs="宋体"/>
          <w:color w:val="000000"/>
          <w:szCs w:val="21"/>
          <w:highlight w:val="none"/>
        </w:rPr>
      </w:pPr>
      <w:r>
        <w:rPr>
          <w:rFonts w:hint="eastAsia" w:ascii="宋体" w:hAnsi="宋体"/>
          <w:szCs w:val="21"/>
          <w:highlight w:val="none"/>
        </w:rPr>
        <w:t>2</w:t>
      </w:r>
      <w:r>
        <w:rPr>
          <w:rFonts w:ascii="宋体" w:hAnsi="宋体"/>
          <w:szCs w:val="21"/>
          <w:highlight w:val="none"/>
        </w:rPr>
        <w:t>7.2</w:t>
      </w:r>
      <w:r>
        <w:rPr>
          <w:rFonts w:hint="eastAsia" w:ascii="宋体" w:hAnsi="宋体"/>
          <w:szCs w:val="21"/>
          <w:highlight w:val="none"/>
        </w:rPr>
        <w:t>信用信息查询渠道：中国政府采购网（www.ccgp.gov.cn）、“信用中国”网站（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highlight w:val="none"/>
        </w:rPr>
        <w:t>www.creditchina.gov.cn</w:t>
      </w:r>
      <w:r>
        <w:rPr>
          <w:rFonts w:hint="eastAsia"/>
          <w:highlight w:val="none"/>
        </w:rPr>
        <w:fldChar w:fldCharType="end"/>
      </w:r>
      <w:r>
        <w:rPr>
          <w:rFonts w:hint="eastAsia" w:ascii="宋体" w:hAnsi="宋体"/>
          <w:szCs w:val="21"/>
          <w:highlight w:val="none"/>
        </w:rPr>
        <w:t>）。</w:t>
      </w:r>
    </w:p>
    <w:p>
      <w:pPr>
        <w:spacing w:line="480" w:lineRule="exact"/>
        <w:ind w:firstLine="420" w:firstLineChars="200"/>
        <w:rPr>
          <w:rFonts w:ascii="宋体"/>
          <w:szCs w:val="21"/>
          <w:highlight w:val="none"/>
          <w:lang w:val="zh-CN"/>
        </w:rPr>
      </w:pPr>
      <w:r>
        <w:rPr>
          <w:rFonts w:hint="eastAsia" w:ascii="宋体" w:hAnsi="宋体"/>
          <w:szCs w:val="21"/>
          <w:highlight w:val="none"/>
        </w:rPr>
        <w:t>磋商小组应当对通过失信核查的供应商根据综合评分情况，按照评审得分由高到低顺序推荐</w:t>
      </w:r>
      <w:r>
        <w:rPr>
          <w:rFonts w:ascii="宋体" w:hAnsi="宋体"/>
          <w:szCs w:val="21"/>
          <w:highlight w:val="none"/>
        </w:rPr>
        <w:t>3</w:t>
      </w:r>
      <w:r>
        <w:rPr>
          <w:rFonts w:hint="eastAsia" w:ascii="宋体" w:hAnsi="宋体"/>
          <w:szCs w:val="21"/>
          <w:highlight w:val="none"/>
        </w:rPr>
        <w:t>名成交候选供应商，并编写评审报告。评审得分相同的，按照最后报价由低到高的顺序推荐；评审得分且最后报价相同的，按照技术指标优劣顺序推荐；评审总分、最后报价、技术指标优劣均相同的，采用采购人摇号方式确定成交候选人排序。</w:t>
      </w:r>
    </w:p>
    <w:p>
      <w:pPr>
        <w:spacing w:line="360" w:lineRule="auto"/>
        <w:ind w:firstLine="413" w:firstLineChars="196"/>
        <w:rPr>
          <w:rFonts w:ascii="宋体" w:cs="宋体"/>
          <w:b/>
          <w:szCs w:val="21"/>
          <w:highlight w:val="none"/>
        </w:rPr>
      </w:pPr>
      <w:r>
        <w:rPr>
          <w:rFonts w:ascii="宋体" w:hAnsi="宋体" w:cs="宋体"/>
          <w:b/>
          <w:szCs w:val="21"/>
          <w:highlight w:val="none"/>
        </w:rPr>
        <w:t>2</w:t>
      </w:r>
      <w:r>
        <w:rPr>
          <w:rFonts w:hint="eastAsia" w:ascii="宋体" w:hAnsi="宋体" w:cs="宋体"/>
          <w:b/>
          <w:szCs w:val="21"/>
          <w:highlight w:val="none"/>
        </w:rPr>
        <w:t>8、开标评标异常情况处理</w:t>
      </w:r>
    </w:p>
    <w:p>
      <w:pPr>
        <w:spacing w:line="360" w:lineRule="auto"/>
        <w:ind w:firstLine="420" w:firstLineChars="200"/>
        <w:rPr>
          <w:rFonts w:ascii="宋体" w:cs="宋体"/>
          <w:szCs w:val="21"/>
          <w:highlight w:val="none"/>
        </w:rPr>
      </w:pPr>
      <w:r>
        <w:rPr>
          <w:rFonts w:ascii="宋体" w:hAnsi="宋体" w:cs="宋体"/>
          <w:szCs w:val="21"/>
          <w:highlight w:val="none"/>
        </w:rPr>
        <w:t>2</w:t>
      </w:r>
      <w:r>
        <w:rPr>
          <w:rFonts w:hint="eastAsia" w:ascii="宋体" w:hAnsi="宋体" w:cs="宋体"/>
          <w:szCs w:val="21"/>
          <w:highlight w:val="none"/>
        </w:rPr>
        <w:t>8</w:t>
      </w:r>
      <w:r>
        <w:rPr>
          <w:rFonts w:ascii="宋体" w:hAnsi="宋体" w:cs="宋体"/>
          <w:szCs w:val="21"/>
          <w:highlight w:val="none"/>
        </w:rPr>
        <w:t>.1</w:t>
      </w:r>
      <w:r>
        <w:rPr>
          <w:rFonts w:hint="eastAsia" w:ascii="宋体" w:hAnsi="宋体" w:cs="宋体"/>
          <w:szCs w:val="21"/>
          <w:highlight w:val="none"/>
        </w:rPr>
        <w:t>、在磋商采购中，出现下列情况之一的，应予废标，采购单位重新组织采购：</w:t>
      </w:r>
    </w:p>
    <w:p>
      <w:pPr>
        <w:spacing w:line="360" w:lineRule="auto"/>
        <w:ind w:firstLine="420" w:firstLineChars="200"/>
        <w:rPr>
          <w:rFonts w:ascii="宋体" w:cs="宋体"/>
          <w:szCs w:val="21"/>
          <w:highlight w:val="none"/>
        </w:rPr>
      </w:pPr>
      <w:r>
        <w:rPr>
          <w:rFonts w:ascii="宋体" w:hAnsi="宋体" w:cs="宋体"/>
          <w:szCs w:val="21"/>
          <w:highlight w:val="none"/>
        </w:rPr>
        <w:t xml:space="preserve">(1) </w:t>
      </w:r>
      <w:r>
        <w:rPr>
          <w:rFonts w:hint="eastAsia" w:ascii="宋体" w:hAnsi="宋体" w:cs="宋体"/>
          <w:szCs w:val="21"/>
          <w:highlight w:val="none"/>
        </w:rPr>
        <w:t>符合专业条件的供应商或者对磋商文件作实质响应的供应商不足三家的；</w:t>
      </w:r>
    </w:p>
    <w:p>
      <w:pPr>
        <w:spacing w:line="360" w:lineRule="auto"/>
        <w:ind w:firstLine="420" w:firstLineChars="200"/>
        <w:rPr>
          <w:rFonts w:ascii="宋体" w:cs="宋体"/>
          <w:szCs w:val="21"/>
          <w:highlight w:val="none"/>
        </w:rPr>
      </w:pPr>
      <w:r>
        <w:rPr>
          <w:rFonts w:ascii="宋体" w:hAnsi="宋体" w:cs="宋体"/>
          <w:szCs w:val="21"/>
          <w:highlight w:val="none"/>
        </w:rPr>
        <w:t>(2)</w:t>
      </w:r>
      <w:r>
        <w:rPr>
          <w:rFonts w:ascii="宋体" w:hAnsi="宋体" w:cs="宋体"/>
          <w:szCs w:val="21"/>
          <w:highlight w:val="none"/>
        </w:rPr>
        <w:tab/>
      </w:r>
      <w:r>
        <w:rPr>
          <w:rFonts w:hint="eastAsia" w:ascii="宋体" w:hAnsi="宋体" w:cs="宋体"/>
          <w:szCs w:val="21"/>
          <w:highlight w:val="none"/>
        </w:rPr>
        <w:t>出现影响采购公正的违法、违规行为的；</w:t>
      </w:r>
    </w:p>
    <w:p>
      <w:pPr>
        <w:spacing w:line="360" w:lineRule="auto"/>
        <w:ind w:firstLine="420" w:firstLineChars="200"/>
        <w:rPr>
          <w:rFonts w:ascii="宋体" w:cs="宋体"/>
          <w:szCs w:val="21"/>
          <w:highlight w:val="none"/>
        </w:rPr>
      </w:pPr>
      <w:r>
        <w:rPr>
          <w:rFonts w:ascii="宋体" w:hAnsi="宋体" w:cs="宋体"/>
          <w:szCs w:val="21"/>
          <w:highlight w:val="none"/>
        </w:rPr>
        <w:t>(3)</w:t>
      </w:r>
      <w:r>
        <w:rPr>
          <w:rFonts w:ascii="宋体" w:hAnsi="宋体" w:cs="宋体"/>
          <w:szCs w:val="21"/>
          <w:highlight w:val="none"/>
        </w:rPr>
        <w:tab/>
      </w:r>
      <w:r>
        <w:rPr>
          <w:rFonts w:hint="eastAsia" w:ascii="宋体" w:hAnsi="宋体" w:cs="宋体"/>
          <w:szCs w:val="21"/>
          <w:highlight w:val="none"/>
        </w:rPr>
        <w:t>供应商的报价均超过了最高磋商限价，采购人不能支付的；</w:t>
      </w:r>
    </w:p>
    <w:p>
      <w:pPr>
        <w:spacing w:line="360" w:lineRule="auto"/>
        <w:ind w:firstLine="420" w:firstLineChars="200"/>
        <w:rPr>
          <w:rFonts w:ascii="宋体" w:hAnsi="宋体" w:cs="宋体"/>
          <w:szCs w:val="21"/>
          <w:highlight w:val="none"/>
        </w:rPr>
      </w:pPr>
      <w:r>
        <w:rPr>
          <w:rFonts w:ascii="宋体" w:hAnsi="宋体" w:cs="宋体"/>
          <w:szCs w:val="21"/>
          <w:highlight w:val="none"/>
        </w:rPr>
        <w:t>(4)</w:t>
      </w:r>
      <w:r>
        <w:rPr>
          <w:rFonts w:ascii="宋体" w:hAnsi="宋体" w:cs="宋体"/>
          <w:szCs w:val="21"/>
          <w:highlight w:val="none"/>
        </w:rPr>
        <w:tab/>
      </w:r>
      <w:r>
        <w:rPr>
          <w:rFonts w:hint="eastAsia" w:ascii="宋体" w:hAnsi="宋体" w:cs="宋体"/>
          <w:szCs w:val="21"/>
          <w:highlight w:val="none"/>
        </w:rPr>
        <w:t>因重大变故，采购任务取消的。</w:t>
      </w:r>
    </w:p>
    <w:p>
      <w:pPr>
        <w:spacing w:line="360" w:lineRule="auto"/>
        <w:ind w:firstLine="420" w:firstLineChars="200"/>
        <w:rPr>
          <w:rFonts w:ascii="宋体" w:cs="宋体"/>
          <w:szCs w:val="21"/>
          <w:highlight w:val="none"/>
        </w:rPr>
      </w:pPr>
      <w:r>
        <w:rPr>
          <w:rFonts w:hint="eastAsia" w:ascii="宋体" w:hAnsi="宋体"/>
          <w:szCs w:val="21"/>
          <w:highlight w:val="none"/>
        </w:rPr>
        <w:t>28.2、供应商的响应文件创建标识码、文件制作机器码任一项一致的将不予通过符合性评审，</w:t>
      </w:r>
      <w:r>
        <w:rPr>
          <w:rFonts w:ascii="宋体" w:hAnsi="宋体" w:cs="宋体"/>
          <w:kern w:val="0"/>
          <w:szCs w:val="21"/>
          <w:highlight w:val="none"/>
        </w:rPr>
        <w:t>并予以披露，记入不良行为记录</w:t>
      </w:r>
      <w:r>
        <w:rPr>
          <w:rFonts w:hint="eastAsia" w:ascii="宋体" w:hAnsi="宋体" w:cs="宋体"/>
          <w:kern w:val="0"/>
          <w:szCs w:val="21"/>
          <w:highlight w:val="none"/>
        </w:rPr>
        <w:t>。</w:t>
      </w:r>
    </w:p>
    <w:p>
      <w:pPr>
        <w:spacing w:line="360" w:lineRule="auto"/>
        <w:ind w:firstLine="422" w:firstLineChars="200"/>
        <w:rPr>
          <w:rFonts w:ascii="宋体" w:cs="宋体"/>
          <w:b/>
          <w:szCs w:val="21"/>
          <w:highlight w:val="none"/>
        </w:rPr>
      </w:pPr>
      <w:r>
        <w:rPr>
          <w:rFonts w:hint="eastAsia" w:ascii="宋体" w:hAnsi="宋体" w:cs="宋体"/>
          <w:b/>
          <w:szCs w:val="21"/>
          <w:highlight w:val="none"/>
        </w:rPr>
        <w:t>29、评标过程的保密性</w:t>
      </w:r>
    </w:p>
    <w:p>
      <w:pPr>
        <w:spacing w:line="360" w:lineRule="auto"/>
        <w:ind w:firstLine="420" w:firstLineChars="200"/>
        <w:rPr>
          <w:rFonts w:ascii="宋体" w:cs="宋体"/>
          <w:szCs w:val="21"/>
          <w:highlight w:val="none"/>
        </w:rPr>
      </w:pPr>
      <w:r>
        <w:rPr>
          <w:rFonts w:hint="eastAsia" w:ascii="宋体" w:hAnsi="宋体" w:cs="宋体"/>
          <w:szCs w:val="21"/>
          <w:highlight w:val="none"/>
        </w:rPr>
        <w:t>29</w:t>
      </w:r>
      <w:r>
        <w:rPr>
          <w:rFonts w:ascii="宋体" w:hAnsi="宋体" w:cs="宋体"/>
          <w:szCs w:val="21"/>
          <w:highlight w:val="none"/>
        </w:rPr>
        <w:t>.1</w:t>
      </w:r>
      <w:r>
        <w:rPr>
          <w:rFonts w:hint="eastAsia" w:ascii="宋体" w:hAnsi="宋体" w:cs="宋体"/>
          <w:szCs w:val="21"/>
          <w:highlight w:val="none"/>
        </w:rPr>
        <w:t>、磋商后，直到授予成交人合同止，凡是与响应文件审查、澄清、评价、比较以及授标建议等评审方面的情况，均不得向供应商或其他无关的人员透露。</w:t>
      </w:r>
    </w:p>
    <w:p>
      <w:pPr>
        <w:spacing w:line="360" w:lineRule="auto"/>
        <w:ind w:firstLine="420" w:firstLineChars="200"/>
        <w:rPr>
          <w:rFonts w:ascii="宋体" w:cs="宋体"/>
          <w:szCs w:val="21"/>
          <w:highlight w:val="none"/>
        </w:rPr>
      </w:pPr>
      <w:r>
        <w:rPr>
          <w:rFonts w:hint="eastAsia" w:ascii="宋体" w:hAnsi="宋体" w:cs="宋体"/>
          <w:szCs w:val="21"/>
          <w:highlight w:val="none"/>
        </w:rPr>
        <w:t>29</w:t>
      </w:r>
      <w:r>
        <w:rPr>
          <w:rFonts w:ascii="宋体" w:hAnsi="宋体" w:cs="宋体"/>
          <w:szCs w:val="21"/>
          <w:highlight w:val="none"/>
        </w:rPr>
        <w:t>.2</w:t>
      </w:r>
      <w:r>
        <w:rPr>
          <w:rFonts w:hint="eastAsia" w:ascii="宋体" w:hAnsi="宋体" w:cs="宋体"/>
          <w:szCs w:val="21"/>
          <w:highlight w:val="none"/>
        </w:rPr>
        <w:t>、在评标过程中，供应商如向磋商小组成员施加任何影响，都将会导致其响应文件被拒绝。</w:t>
      </w:r>
    </w:p>
    <w:p>
      <w:pPr>
        <w:spacing w:line="360" w:lineRule="auto"/>
        <w:ind w:firstLine="420" w:firstLineChars="200"/>
        <w:rPr>
          <w:rFonts w:ascii="宋体" w:cs="宋体"/>
          <w:szCs w:val="21"/>
          <w:highlight w:val="none"/>
        </w:rPr>
      </w:pPr>
      <w:bookmarkStart w:id="84" w:name="_Toc23618"/>
      <w:r>
        <w:rPr>
          <w:rFonts w:hint="eastAsia" w:ascii="宋体" w:hAnsi="宋体" w:cs="宋体"/>
          <w:szCs w:val="21"/>
          <w:highlight w:val="none"/>
        </w:rPr>
        <w:t>29</w:t>
      </w:r>
      <w:r>
        <w:rPr>
          <w:rFonts w:ascii="宋体" w:hAnsi="宋体" w:cs="宋体"/>
          <w:szCs w:val="21"/>
          <w:highlight w:val="none"/>
        </w:rPr>
        <w:t>.3</w:t>
      </w:r>
      <w:r>
        <w:rPr>
          <w:rFonts w:hint="eastAsia" w:ascii="宋体" w:hAnsi="宋体" w:cs="宋体"/>
          <w:szCs w:val="21"/>
          <w:highlight w:val="none"/>
        </w:rPr>
        <w:t>、成交人确定后，采购单位不对未成交人就评标过程及未能成交原因做出任何解释。未成交人不得向磋商小组组成人员或其他有关人员询问评标过程的情况和要求提供材料。</w:t>
      </w:r>
      <w:bookmarkEnd w:id="84"/>
    </w:p>
    <w:p>
      <w:pPr>
        <w:keepNext w:val="0"/>
        <w:keepLines w:val="0"/>
        <w:pageBreakBefore w:val="0"/>
        <w:widowControl/>
        <w:kinsoku/>
        <w:wordWrap/>
        <w:overflowPunct/>
        <w:topLinePunct w:val="0"/>
        <w:autoSpaceDE/>
        <w:autoSpaceDN/>
        <w:bidi w:val="0"/>
        <w:adjustRightInd/>
        <w:snapToGrid/>
        <w:spacing w:line="360" w:lineRule="auto"/>
        <w:ind w:firstLine="405"/>
        <w:jc w:val="left"/>
        <w:textAlignment w:val="auto"/>
        <w:rPr>
          <w:rFonts w:hint="eastAsia" w:ascii="宋体" w:hAnsi="宋体" w:cs="宋体"/>
          <w:szCs w:val="21"/>
          <w:highlight w:val="none"/>
        </w:rPr>
      </w:pPr>
      <w:bookmarkStart w:id="85" w:name="_Toc417655921"/>
      <w:bookmarkStart w:id="86" w:name="_Toc418517858"/>
      <w:bookmarkStart w:id="87" w:name="_Toc26993"/>
      <w:bookmarkStart w:id="88" w:name="_Toc15032"/>
      <w:bookmarkStart w:id="89" w:name="_Toc3764"/>
      <w:r>
        <w:rPr>
          <w:rFonts w:hint="eastAsia" w:ascii="宋体" w:hAnsi="宋体" w:cs="宋体"/>
          <w:szCs w:val="21"/>
          <w:highlight w:val="none"/>
          <w:lang w:val="en-US" w:eastAsia="zh-CN"/>
        </w:rPr>
        <w:t>29.4.1、</w:t>
      </w:r>
      <w:r>
        <w:rPr>
          <w:rFonts w:hint="eastAsia" w:ascii="宋体" w:hAnsi="宋体" w:cs="宋体"/>
          <w:szCs w:val="21"/>
          <w:highlight w:val="none"/>
        </w:rPr>
        <w:t>招标代理费：按差额定率累进法计算。以成交价为计算基数，按下表规定的80%收取：</w:t>
      </w:r>
    </w:p>
    <w:p>
      <w:pPr>
        <w:pStyle w:val="24"/>
        <w:rPr>
          <w:rFonts w:hint="eastAsia" w:ascii="宋体" w:hAnsi="宋体" w:cs="宋体"/>
          <w:szCs w:val="21"/>
          <w:highlight w:val="none"/>
        </w:rPr>
      </w:pPr>
    </w:p>
    <w:p>
      <w:pPr>
        <w:pStyle w:val="24"/>
        <w:rPr>
          <w:rFonts w:hint="eastAsia" w:ascii="宋体" w:hAnsi="宋体" w:cs="宋体"/>
          <w:szCs w:val="21"/>
          <w:highlight w:val="none"/>
          <w:lang w:val="en-US" w:eastAsia="zh-CN"/>
        </w:rPr>
      </w:pPr>
    </w:p>
    <w:tbl>
      <w:tblPr>
        <w:tblStyle w:val="63"/>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3543" w:type="dxa"/>
          </w:tcPr>
          <w:p>
            <w:pPr>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-67945</wp:posOffset>
                      </wp:positionH>
                      <wp:positionV relativeFrom="paragraph">
                        <wp:posOffset>22225</wp:posOffset>
                      </wp:positionV>
                      <wp:extent cx="2258060" cy="464185"/>
                      <wp:effectExtent l="1270" t="4445" r="7620" b="7620"/>
                      <wp:wrapNone/>
                      <wp:docPr id="2" name="直接连接符 2"/>
                      <wp:cNvGraphicFramePr/>
                      <a:graphic xmlns:a="http://schemas.openxmlformats.org/drawingml/2006/main">
                        <a:graphicData uri="http://schemas.microsoft.com/office/word/2010/wordprocessingShape">
                          <wps:wsp>
                            <wps:cNvCnPr/>
                            <wps:spPr>
                              <a:xfrm>
                                <a:off x="0" y="0"/>
                                <a:ext cx="2258060" cy="4641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5pt;margin-top:1.75pt;height:36.55pt;width:177.8pt;z-index:251661312;mso-width-relative:page;mso-height-relative:page;" filled="f" stroked="t" coordsize="21600,21600" o:gfxdata="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as4wdgAAAAIAQAADwAAAAAAAAABACAAAAAiAAAAZHJzL2Rvd25yZXYueG1s&#10;UEsBAhQAFAAAAAgAh07iQEsh8dX4AQAA6QMAAA4AAAAAAAAAAQAgAAAAJwEAAGRycy9lMm9Eb2Mu&#10;eG1sUEsFBgAAAAAGAAYAWQEAAJEFAAAAAA==&#10;">
                      <v:fill on="f" focussize="0,0"/>
                      <v:stroke color="#000000" joinstyle="round"/>
                      <v:imagedata o:title=""/>
                      <o:lock v:ext="edit" aspectratio="f"/>
                    </v:line>
                  </w:pict>
                </mc:Fallback>
              </mc:AlternateContent>
            </w:r>
            <w:r>
              <w:rPr>
                <w:rFonts w:hint="eastAsia" w:ascii="宋体" w:hAnsi="宋体" w:cs="宋体"/>
                <w:color w:val="auto"/>
                <w:szCs w:val="21"/>
                <w:highlight w:val="none"/>
              </w:rPr>
              <w:t xml:space="preserve">          费率</w:t>
            </w:r>
          </w:p>
          <w:p>
            <w:pPr>
              <w:rPr>
                <w:rFonts w:ascii="宋体" w:hAnsi="宋体" w:cs="宋体"/>
                <w:color w:val="auto"/>
                <w:szCs w:val="21"/>
                <w:highlight w:val="none"/>
              </w:rPr>
            </w:pPr>
            <w:r>
              <w:rPr>
                <w:rFonts w:hint="eastAsia" w:ascii="宋体" w:hAnsi="宋体" w:cs="宋体"/>
                <w:color w:val="auto"/>
                <w:szCs w:val="21"/>
                <w:highlight w:val="none"/>
              </w:rPr>
              <w:t>成交价</w:t>
            </w:r>
          </w:p>
        </w:tc>
        <w:tc>
          <w:tcPr>
            <w:tcW w:w="386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trPr>
        <w:tc>
          <w:tcPr>
            <w:tcW w:w="3543" w:type="dxa"/>
          </w:tcPr>
          <w:p>
            <w:pPr>
              <w:rPr>
                <w:rFonts w:ascii="宋体" w:hAnsi="宋体" w:cs="宋体"/>
                <w:color w:val="auto"/>
                <w:szCs w:val="21"/>
                <w:highlight w:val="none"/>
              </w:rPr>
            </w:pPr>
            <w:r>
              <w:rPr>
                <w:rFonts w:hint="eastAsia" w:ascii="宋体" w:hAnsi="宋体" w:cs="宋体"/>
                <w:color w:val="auto"/>
                <w:szCs w:val="21"/>
                <w:highlight w:val="none"/>
              </w:rPr>
              <w:t>100万元以下</w:t>
            </w:r>
          </w:p>
        </w:tc>
        <w:tc>
          <w:tcPr>
            <w:tcW w:w="3860" w:type="dxa"/>
          </w:tcPr>
          <w:p>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543" w:type="dxa"/>
          </w:tcPr>
          <w:p>
            <w:pPr>
              <w:rPr>
                <w:rFonts w:ascii="宋体" w:hAnsi="宋体" w:cs="宋体"/>
                <w:color w:val="auto"/>
                <w:szCs w:val="21"/>
                <w:highlight w:val="none"/>
              </w:rPr>
            </w:pPr>
            <w:r>
              <w:rPr>
                <w:rFonts w:hint="eastAsia" w:ascii="宋体" w:hAnsi="宋体" w:cs="宋体"/>
                <w:color w:val="auto"/>
                <w:szCs w:val="21"/>
                <w:highlight w:val="none"/>
              </w:rPr>
              <w:t>100～500万元</w:t>
            </w:r>
          </w:p>
        </w:tc>
        <w:tc>
          <w:tcPr>
            <w:tcW w:w="3860" w:type="dxa"/>
          </w:tcPr>
          <w:p>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543" w:type="dxa"/>
          </w:tcPr>
          <w:p>
            <w:pPr>
              <w:rPr>
                <w:rFonts w:ascii="宋体" w:hAnsi="宋体" w:cs="宋体"/>
                <w:color w:val="auto"/>
                <w:szCs w:val="21"/>
                <w:highlight w:val="none"/>
              </w:rPr>
            </w:pPr>
            <w:r>
              <w:rPr>
                <w:rFonts w:hint="eastAsia" w:ascii="宋体" w:hAnsi="宋体" w:cs="宋体"/>
                <w:color w:val="auto"/>
                <w:szCs w:val="21"/>
                <w:highlight w:val="none"/>
              </w:rPr>
              <w:t>500～1000万元</w:t>
            </w:r>
          </w:p>
        </w:tc>
        <w:tc>
          <w:tcPr>
            <w:tcW w:w="3860" w:type="dxa"/>
          </w:tcPr>
          <w:p>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543" w:type="dxa"/>
          </w:tcPr>
          <w:p>
            <w:pPr>
              <w:rPr>
                <w:rFonts w:ascii="宋体" w:hAnsi="宋体" w:cs="宋体"/>
                <w:color w:val="auto"/>
                <w:szCs w:val="21"/>
                <w:highlight w:val="none"/>
              </w:rPr>
            </w:pPr>
            <w:r>
              <w:rPr>
                <w:rFonts w:hint="eastAsia" w:ascii="宋体" w:hAnsi="宋体" w:cs="宋体"/>
                <w:color w:val="auto"/>
                <w:szCs w:val="21"/>
                <w:highlight w:val="none"/>
              </w:rPr>
              <w:t>1000～5000万元</w:t>
            </w:r>
          </w:p>
        </w:tc>
        <w:tc>
          <w:tcPr>
            <w:tcW w:w="3860" w:type="dxa"/>
          </w:tcPr>
          <w:p>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543" w:type="dxa"/>
          </w:tcPr>
          <w:p>
            <w:pPr>
              <w:rPr>
                <w:rFonts w:ascii="宋体" w:hAnsi="宋体" w:cs="宋体"/>
                <w:color w:val="auto"/>
                <w:szCs w:val="21"/>
                <w:highlight w:val="none"/>
              </w:rPr>
            </w:pPr>
            <w:r>
              <w:rPr>
                <w:rFonts w:hint="eastAsia" w:ascii="宋体" w:hAnsi="宋体" w:cs="宋体"/>
                <w:color w:val="auto"/>
                <w:szCs w:val="21"/>
                <w:highlight w:val="none"/>
              </w:rPr>
              <w:t>5000万元～1亿元</w:t>
            </w:r>
          </w:p>
        </w:tc>
        <w:tc>
          <w:tcPr>
            <w:tcW w:w="3860" w:type="dxa"/>
          </w:tcPr>
          <w:p>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543" w:type="dxa"/>
          </w:tcPr>
          <w:p>
            <w:pPr>
              <w:rPr>
                <w:rFonts w:ascii="宋体" w:hAnsi="宋体" w:cs="宋体"/>
                <w:color w:val="auto"/>
                <w:szCs w:val="21"/>
                <w:highlight w:val="none"/>
              </w:rPr>
            </w:pPr>
            <w:r>
              <w:rPr>
                <w:rFonts w:hint="eastAsia" w:ascii="宋体" w:hAnsi="宋体" w:cs="宋体"/>
                <w:color w:val="auto"/>
                <w:szCs w:val="21"/>
                <w:highlight w:val="none"/>
              </w:rPr>
              <w:t>1～5亿元</w:t>
            </w:r>
          </w:p>
        </w:tc>
        <w:tc>
          <w:tcPr>
            <w:tcW w:w="3860" w:type="dxa"/>
          </w:tcPr>
          <w:p>
            <w:pPr>
              <w:jc w:val="center"/>
              <w:rPr>
                <w:rFonts w:ascii="宋体" w:hAnsi="宋体" w:cs="宋体"/>
                <w:color w:val="auto"/>
                <w:szCs w:val="21"/>
                <w:highlight w:val="none"/>
              </w:rPr>
            </w:pPr>
            <w:r>
              <w:rPr>
                <w:rFonts w:hint="eastAsia" w:ascii="宋体" w:hAnsi="宋体" w:cs="宋体"/>
                <w:color w:val="auto"/>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543" w:type="dxa"/>
          </w:tcPr>
          <w:p>
            <w:pPr>
              <w:rPr>
                <w:rFonts w:ascii="宋体" w:hAnsi="宋体" w:cs="宋体"/>
                <w:color w:val="auto"/>
                <w:szCs w:val="21"/>
                <w:highlight w:val="none"/>
              </w:rPr>
            </w:pPr>
            <w:r>
              <w:rPr>
                <w:rFonts w:hint="eastAsia" w:ascii="宋体" w:hAnsi="宋体" w:cs="宋体"/>
                <w:color w:val="auto"/>
                <w:szCs w:val="21"/>
                <w:highlight w:val="none"/>
              </w:rPr>
              <w:t>5～10亿元</w:t>
            </w:r>
          </w:p>
        </w:tc>
        <w:tc>
          <w:tcPr>
            <w:tcW w:w="3860" w:type="dxa"/>
          </w:tcPr>
          <w:p>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543" w:type="dxa"/>
          </w:tcPr>
          <w:p>
            <w:pPr>
              <w:rPr>
                <w:rFonts w:ascii="宋体" w:hAnsi="宋体" w:cs="宋体"/>
                <w:color w:val="auto"/>
                <w:szCs w:val="21"/>
                <w:highlight w:val="none"/>
              </w:rPr>
            </w:pPr>
            <w:r>
              <w:rPr>
                <w:rFonts w:hint="eastAsia" w:ascii="宋体" w:hAnsi="宋体" w:cs="宋体"/>
                <w:color w:val="auto"/>
                <w:szCs w:val="21"/>
                <w:highlight w:val="none"/>
              </w:rPr>
              <w:t>10～50亿元</w:t>
            </w:r>
          </w:p>
        </w:tc>
        <w:tc>
          <w:tcPr>
            <w:tcW w:w="3860" w:type="dxa"/>
          </w:tcPr>
          <w:p>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543" w:type="dxa"/>
          </w:tcPr>
          <w:p>
            <w:pPr>
              <w:rPr>
                <w:rFonts w:ascii="宋体" w:hAnsi="宋体" w:cs="宋体"/>
                <w:color w:val="auto"/>
                <w:szCs w:val="21"/>
                <w:highlight w:val="none"/>
              </w:rPr>
            </w:pPr>
            <w:r>
              <w:rPr>
                <w:rFonts w:hint="eastAsia" w:ascii="宋体" w:hAnsi="宋体" w:cs="宋体"/>
                <w:color w:val="auto"/>
                <w:szCs w:val="21"/>
                <w:highlight w:val="none"/>
              </w:rPr>
              <w:t>50～100亿元</w:t>
            </w:r>
          </w:p>
        </w:tc>
        <w:tc>
          <w:tcPr>
            <w:tcW w:w="3860" w:type="dxa"/>
          </w:tcPr>
          <w:p>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543" w:type="dxa"/>
          </w:tcPr>
          <w:p>
            <w:pPr>
              <w:rPr>
                <w:rFonts w:ascii="宋体" w:hAnsi="宋体" w:cs="宋体"/>
                <w:color w:val="auto"/>
                <w:szCs w:val="21"/>
                <w:highlight w:val="none"/>
              </w:rPr>
            </w:pPr>
            <w:r>
              <w:rPr>
                <w:rFonts w:hint="eastAsia" w:ascii="宋体" w:hAnsi="宋体" w:cs="宋体"/>
                <w:color w:val="auto"/>
                <w:szCs w:val="21"/>
                <w:highlight w:val="none"/>
              </w:rPr>
              <w:t>100亿以上</w:t>
            </w:r>
          </w:p>
        </w:tc>
        <w:tc>
          <w:tcPr>
            <w:tcW w:w="3860" w:type="dxa"/>
          </w:tcPr>
          <w:p>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0.004%</w:t>
            </w:r>
          </w:p>
        </w:tc>
      </w:tr>
    </w:tbl>
    <w:p>
      <w:pPr>
        <w:pStyle w:val="33"/>
        <w:pageBreakBefore w:val="0"/>
        <w:kinsoku/>
        <w:wordWrap/>
        <w:overflowPunct/>
        <w:topLinePunct w:val="0"/>
        <w:autoSpaceDE/>
        <w:autoSpaceDN/>
        <w:bidi w:val="0"/>
        <w:adjustRightInd/>
        <w:snapToGrid/>
        <w:spacing w:beforeAutospacing="0" w:afterAutospacing="0" w:line="400" w:lineRule="exact"/>
        <w:ind w:firstLine="420"/>
        <w:textAlignment w:val="auto"/>
        <w:rPr>
          <w:rFonts w:hint="eastAsia" w:ascii="宋体" w:hAnsi="宋体" w:eastAsia="宋体" w:cs="宋体"/>
          <w:color w:val="auto"/>
          <w:highlight w:val="none"/>
        </w:rPr>
      </w:pPr>
      <w:r>
        <w:rPr>
          <w:rFonts w:hint="eastAsia" w:ascii="宋体" w:hAnsi="宋体" w:cs="宋体"/>
          <w:color w:val="auto"/>
          <w:szCs w:val="21"/>
          <w:highlight w:val="none"/>
          <w:lang w:val="en-US" w:eastAsia="zh-CN"/>
        </w:rPr>
        <w:t>29.4.2、</w:t>
      </w:r>
      <w:r>
        <w:rPr>
          <w:rFonts w:hint="eastAsia" w:ascii="宋体" w:hAnsi="宋体" w:eastAsia="宋体" w:cs="宋体"/>
          <w:color w:val="auto"/>
          <w:highlight w:val="none"/>
        </w:rPr>
        <w:t>工程量清单和</w:t>
      </w:r>
      <w:r>
        <w:rPr>
          <w:rFonts w:hint="eastAsia" w:hAnsi="宋体" w:eastAsia="宋体" w:cs="宋体"/>
          <w:color w:val="auto"/>
          <w:highlight w:val="none"/>
          <w:lang w:eastAsia="zh-CN"/>
        </w:rPr>
        <w:t>最高投标限价</w:t>
      </w:r>
      <w:r>
        <w:rPr>
          <w:rFonts w:hint="eastAsia" w:ascii="宋体" w:hAnsi="宋体" w:eastAsia="宋体" w:cs="宋体"/>
          <w:color w:val="auto"/>
          <w:highlight w:val="none"/>
        </w:rPr>
        <w:t>编制费：以</w:t>
      </w:r>
      <w:r>
        <w:rPr>
          <w:rFonts w:hint="eastAsia" w:ascii="宋体" w:hAnsi="宋体" w:eastAsia="宋体" w:cs="宋体"/>
          <w:color w:val="auto"/>
          <w:highlight w:val="none"/>
          <w:lang w:eastAsia="zh-CN"/>
        </w:rPr>
        <w:t>成交价</w:t>
      </w:r>
      <w:r>
        <w:rPr>
          <w:rFonts w:hint="eastAsia" w:ascii="宋体" w:hAnsi="宋体" w:eastAsia="宋体" w:cs="宋体"/>
          <w:color w:val="auto"/>
          <w:highlight w:val="none"/>
        </w:rPr>
        <w:t>为计算基数，按照</w:t>
      </w:r>
      <w:r>
        <w:rPr>
          <w:rFonts w:hint="eastAsia" w:ascii="宋体" w:hAnsi="宋体" w:eastAsia="宋体" w:cs="宋体"/>
          <w:color w:val="auto"/>
          <w:highlight w:val="none"/>
          <w:lang w:val="en-US" w:eastAsia="zh-CN"/>
        </w:rPr>
        <w:t>下表</w:t>
      </w:r>
      <w:r>
        <w:rPr>
          <w:rFonts w:hint="eastAsia" w:ascii="宋体" w:hAnsi="宋体" w:eastAsia="宋体" w:cs="宋体"/>
          <w:color w:val="auto"/>
          <w:highlight w:val="none"/>
        </w:rPr>
        <w:t>规定标准70%收取。</w:t>
      </w:r>
    </w:p>
    <w:tbl>
      <w:tblPr>
        <w:tblStyle w:val="63"/>
        <w:tblW w:w="0" w:type="auto"/>
        <w:jc w:val="center"/>
        <w:tblLayout w:type="fixed"/>
        <w:tblCellMar>
          <w:top w:w="0" w:type="dxa"/>
          <w:left w:w="0" w:type="dxa"/>
          <w:bottom w:w="0" w:type="dxa"/>
          <w:right w:w="0" w:type="dxa"/>
        </w:tblCellMar>
      </w:tblPr>
      <w:tblGrid>
        <w:gridCol w:w="1723"/>
        <w:gridCol w:w="837"/>
        <w:gridCol w:w="941"/>
        <w:gridCol w:w="579"/>
        <w:gridCol w:w="547"/>
        <w:gridCol w:w="588"/>
        <w:gridCol w:w="631"/>
        <w:gridCol w:w="575"/>
        <w:gridCol w:w="589"/>
        <w:gridCol w:w="727"/>
        <w:gridCol w:w="773"/>
      </w:tblGrid>
      <w:tr>
        <w:tblPrEx>
          <w:tblCellMar>
            <w:top w:w="0" w:type="dxa"/>
            <w:left w:w="0" w:type="dxa"/>
            <w:bottom w:w="0" w:type="dxa"/>
            <w:right w:w="0" w:type="dxa"/>
          </w:tblCellMar>
        </w:tblPrEx>
        <w:trPr>
          <w:trHeight w:val="546" w:hRule="atLeast"/>
          <w:jc w:val="center"/>
        </w:trPr>
        <w:tc>
          <w:tcPr>
            <w:tcW w:w="2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收费基础</w:t>
            </w:r>
          </w:p>
        </w:tc>
        <w:tc>
          <w:tcPr>
            <w:tcW w:w="94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工程类型</w:t>
            </w:r>
          </w:p>
        </w:tc>
        <w:tc>
          <w:tcPr>
            <w:tcW w:w="5009"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单位工程金额(万元)</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bCs/>
                <w:color w:val="auto"/>
                <w:sz w:val="21"/>
                <w:highlight w:val="none"/>
              </w:rPr>
              <w:t xml:space="preserve">费率：‰ </w:t>
            </w:r>
          </w:p>
        </w:tc>
      </w:tr>
      <w:tr>
        <w:tblPrEx>
          <w:tblCellMar>
            <w:top w:w="0" w:type="dxa"/>
            <w:left w:w="0" w:type="dxa"/>
            <w:bottom w:w="0" w:type="dxa"/>
            <w:right w:w="0" w:type="dxa"/>
          </w:tblCellMar>
        </w:tblPrEx>
        <w:trPr>
          <w:trHeight w:val="953" w:hRule="atLeast"/>
          <w:jc w:val="center"/>
        </w:trPr>
        <w:tc>
          <w:tcPr>
            <w:tcW w:w="2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1"/>
                <w:szCs w:val="21"/>
                <w:highlight w:val="none"/>
              </w:rPr>
            </w:pPr>
          </w:p>
        </w:tc>
        <w:tc>
          <w:tcPr>
            <w:tcW w:w="9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highlight w:val="none"/>
              </w:rPr>
            </w:pPr>
          </w:p>
        </w:tc>
        <w:tc>
          <w:tcPr>
            <w:tcW w:w="57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100</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以内</w:t>
            </w:r>
          </w:p>
        </w:tc>
        <w:tc>
          <w:tcPr>
            <w:tcW w:w="54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200</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以内</w:t>
            </w:r>
          </w:p>
        </w:tc>
        <w:tc>
          <w:tcPr>
            <w:tcW w:w="58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500</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以内</w:t>
            </w:r>
          </w:p>
        </w:tc>
        <w:tc>
          <w:tcPr>
            <w:tcW w:w="63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1000</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以内</w:t>
            </w:r>
          </w:p>
        </w:tc>
        <w:tc>
          <w:tcPr>
            <w:tcW w:w="5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2000</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以内</w:t>
            </w:r>
          </w:p>
        </w:tc>
        <w:tc>
          <w:tcPr>
            <w:tcW w:w="58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5000</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以内</w:t>
            </w:r>
          </w:p>
        </w:tc>
        <w:tc>
          <w:tcPr>
            <w:tcW w:w="72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10000</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以内</w:t>
            </w:r>
          </w:p>
        </w:tc>
        <w:tc>
          <w:tcPr>
            <w:tcW w:w="77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10000</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以上</w:t>
            </w:r>
          </w:p>
        </w:tc>
      </w:tr>
      <w:tr>
        <w:tblPrEx>
          <w:tblCellMar>
            <w:top w:w="0" w:type="dxa"/>
            <w:left w:w="0" w:type="dxa"/>
            <w:bottom w:w="0" w:type="dxa"/>
            <w:right w:w="0" w:type="dxa"/>
          </w:tblCellMar>
        </w:tblPrEx>
        <w:trPr>
          <w:trHeight w:val="546" w:hRule="atLeast"/>
          <w:jc w:val="center"/>
        </w:trPr>
        <w:tc>
          <w:tcPr>
            <w:tcW w:w="1723"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工程量清单编制</w:t>
            </w:r>
          </w:p>
        </w:tc>
        <w:tc>
          <w:tcPr>
            <w:tcW w:w="837"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成交价</w:t>
            </w:r>
          </w:p>
        </w:tc>
        <w:tc>
          <w:tcPr>
            <w:tcW w:w="9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建筑工程</w:t>
            </w:r>
          </w:p>
        </w:tc>
        <w:tc>
          <w:tcPr>
            <w:tcW w:w="57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w:t>
            </w:r>
          </w:p>
        </w:tc>
        <w:tc>
          <w:tcPr>
            <w:tcW w:w="54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w:t>
            </w:r>
          </w:p>
        </w:tc>
        <w:tc>
          <w:tcPr>
            <w:tcW w:w="58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w:t>
            </w:r>
          </w:p>
        </w:tc>
        <w:tc>
          <w:tcPr>
            <w:tcW w:w="631"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w:t>
            </w:r>
          </w:p>
        </w:tc>
        <w:tc>
          <w:tcPr>
            <w:tcW w:w="57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589"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w:t>
            </w:r>
          </w:p>
        </w:tc>
        <w:tc>
          <w:tcPr>
            <w:tcW w:w="72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77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w:t>
            </w:r>
          </w:p>
        </w:tc>
      </w:tr>
      <w:tr>
        <w:tblPrEx>
          <w:tblCellMar>
            <w:top w:w="0" w:type="dxa"/>
            <w:left w:w="0" w:type="dxa"/>
            <w:bottom w:w="0" w:type="dxa"/>
            <w:right w:w="0" w:type="dxa"/>
          </w:tblCellMar>
        </w:tblPrEx>
        <w:trPr>
          <w:trHeight w:val="546" w:hRule="atLeast"/>
          <w:jc w:val="center"/>
        </w:trPr>
        <w:tc>
          <w:tcPr>
            <w:tcW w:w="172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highlight w:val="none"/>
              </w:rPr>
            </w:pPr>
          </w:p>
        </w:tc>
        <w:tc>
          <w:tcPr>
            <w:tcW w:w="83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highlight w:val="none"/>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安装工程</w:t>
            </w:r>
          </w:p>
        </w:tc>
        <w:tc>
          <w:tcPr>
            <w:tcW w:w="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5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w:t>
            </w:r>
          </w:p>
        </w:tc>
        <w:tc>
          <w:tcPr>
            <w:tcW w:w="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w:t>
            </w:r>
          </w:p>
        </w:tc>
        <w:tc>
          <w:tcPr>
            <w:tcW w:w="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w:t>
            </w:r>
          </w:p>
        </w:tc>
        <w:tc>
          <w:tcPr>
            <w:tcW w:w="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w:t>
            </w:r>
          </w:p>
        </w:tc>
        <w:tc>
          <w:tcPr>
            <w:tcW w:w="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r>
      <w:tr>
        <w:tblPrEx>
          <w:tblCellMar>
            <w:top w:w="0" w:type="dxa"/>
            <w:left w:w="0" w:type="dxa"/>
            <w:bottom w:w="0" w:type="dxa"/>
            <w:right w:w="0" w:type="dxa"/>
          </w:tblCellMar>
        </w:tblPrEx>
        <w:trPr>
          <w:trHeight w:val="544" w:hRule="atLeast"/>
          <w:jc w:val="center"/>
        </w:trPr>
        <w:tc>
          <w:tcPr>
            <w:tcW w:w="172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最高投标限价</w:t>
            </w:r>
          </w:p>
        </w:tc>
        <w:tc>
          <w:tcPr>
            <w:tcW w:w="83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成交价</w:t>
            </w:r>
          </w:p>
        </w:tc>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建筑工程</w:t>
            </w:r>
          </w:p>
        </w:tc>
        <w:tc>
          <w:tcPr>
            <w:tcW w:w="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5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CellMar>
            <w:top w:w="0" w:type="dxa"/>
            <w:left w:w="0" w:type="dxa"/>
            <w:bottom w:w="0" w:type="dxa"/>
            <w:right w:w="0" w:type="dxa"/>
          </w:tblCellMar>
        </w:tblPrEx>
        <w:trPr>
          <w:trHeight w:val="544" w:hRule="atLeast"/>
          <w:jc w:val="center"/>
        </w:trPr>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1"/>
                <w:szCs w:val="21"/>
                <w:highlight w:val="none"/>
              </w:rPr>
            </w:pPr>
          </w:p>
        </w:tc>
        <w:tc>
          <w:tcPr>
            <w:tcW w:w="8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1"/>
                <w:szCs w:val="21"/>
                <w:highlight w:val="none"/>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安装工程</w:t>
            </w:r>
          </w:p>
        </w:tc>
        <w:tc>
          <w:tcPr>
            <w:tcW w:w="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p>
        </w:tc>
        <w:tc>
          <w:tcPr>
            <w:tcW w:w="5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r>
      <w:tr>
        <w:tblPrEx>
          <w:tblCellMar>
            <w:top w:w="0" w:type="dxa"/>
            <w:left w:w="0" w:type="dxa"/>
            <w:bottom w:w="0" w:type="dxa"/>
            <w:right w:w="0" w:type="dxa"/>
          </w:tblCellMar>
        </w:tblPrEx>
        <w:trPr>
          <w:trHeight w:val="566" w:hRule="atLeast"/>
          <w:jc w:val="center"/>
        </w:trPr>
        <w:tc>
          <w:tcPr>
            <w:tcW w:w="35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钢筋及预埋件计算</w:t>
            </w:r>
          </w:p>
        </w:tc>
        <w:tc>
          <w:tcPr>
            <w:tcW w:w="5009"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10元/吨</w:t>
            </w:r>
          </w:p>
        </w:tc>
      </w:tr>
    </w:tbl>
    <w:p>
      <w:pPr>
        <w:pStyle w:val="33"/>
        <w:pageBreakBefore w:val="0"/>
        <w:kinsoku/>
        <w:wordWrap/>
        <w:overflowPunct/>
        <w:topLinePunct w:val="0"/>
        <w:autoSpaceDE/>
        <w:autoSpaceDN/>
        <w:bidi w:val="0"/>
        <w:adjustRightInd/>
        <w:snapToGrid/>
        <w:spacing w:beforeAutospacing="0" w:afterAutospacing="0" w:line="40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说明：</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 1 \* GB3 \* MERGEFORMAT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①</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按</w:t>
      </w:r>
      <w:r>
        <w:rPr>
          <w:rFonts w:hint="eastAsia" w:ascii="宋体" w:hAnsi="宋体" w:eastAsia="宋体" w:cs="宋体"/>
          <w:color w:val="auto"/>
          <w:highlight w:val="none"/>
          <w:lang w:eastAsia="zh-CN"/>
        </w:rPr>
        <w:t>上述</w:t>
      </w:r>
      <w:r>
        <w:rPr>
          <w:rFonts w:hint="eastAsia" w:ascii="宋体" w:hAnsi="宋体" w:eastAsia="宋体" w:cs="宋体"/>
          <w:color w:val="auto"/>
          <w:highlight w:val="none"/>
        </w:rPr>
        <w:t>收费标准</w:t>
      </w:r>
      <w:r>
        <w:rPr>
          <w:rFonts w:hint="eastAsia" w:ascii="宋体" w:hAnsi="宋体" w:eastAsia="宋体" w:cs="宋体"/>
          <w:color w:val="auto"/>
          <w:highlight w:val="none"/>
          <w:lang w:eastAsia="zh-CN"/>
        </w:rPr>
        <w:t>计算</w:t>
      </w:r>
      <w:r>
        <w:rPr>
          <w:rFonts w:hint="eastAsia" w:ascii="宋体" w:hAnsi="宋体" w:eastAsia="宋体" w:cs="宋体"/>
          <w:color w:val="auto"/>
          <w:highlight w:val="none"/>
        </w:rPr>
        <w:t>不足1000元的，按1000元计费。</w:t>
      </w:r>
    </w:p>
    <w:p>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 2 \* GB3 \* MERGEFORMAT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②</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“建筑工程”适用建筑工程及配套的装饰工程、安装工程；市政工程等。“安装工程”适用单独安装工程、装饰工程（含二次装饰装修）；房屋修缮；园林绿化及仿古建筑工程等。</w:t>
      </w:r>
    </w:p>
    <w:p>
      <w:pPr>
        <w:spacing w:line="360" w:lineRule="auto"/>
        <w:ind w:firstLine="420" w:firstLineChars="200"/>
        <w:rPr>
          <w:rFonts w:ascii="宋体" w:hAnsi="宋体" w:cs="宋体"/>
          <w:szCs w:val="21"/>
          <w:highlight w:val="none"/>
        </w:rPr>
      </w:pPr>
      <w:r>
        <w:rPr>
          <w:rFonts w:hint="eastAsia" w:ascii="宋体" w:hAnsi="宋体" w:cs="宋体"/>
          <w:color w:val="auto"/>
          <w:szCs w:val="21"/>
          <w:highlight w:val="none"/>
          <w:lang w:eastAsia="zh-CN"/>
        </w:rPr>
        <w:t>成交人</w:t>
      </w:r>
      <w:r>
        <w:rPr>
          <w:rFonts w:hint="eastAsia" w:ascii="宋体" w:hAnsi="宋体" w:cs="宋体"/>
          <w:color w:val="auto"/>
          <w:szCs w:val="21"/>
          <w:highlight w:val="none"/>
        </w:rPr>
        <w:t>应在收到缴费通知后三日内按磋商文件要求缴纳招标代理费、工程量清单和最高投标限价编制费。完成缴费后请</w:t>
      </w:r>
      <w:r>
        <w:rPr>
          <w:rFonts w:ascii="宋体" w:hAnsi="宋体" w:cs="宋体"/>
          <w:color w:val="auto"/>
          <w:szCs w:val="21"/>
          <w:highlight w:val="none"/>
        </w:rPr>
        <w:t>在</w:t>
      </w:r>
      <w:r>
        <w:rPr>
          <w:rFonts w:hint="eastAsia" w:ascii="宋体" w:hAnsi="宋体" w:cs="宋体"/>
          <w:color w:val="auto"/>
          <w:szCs w:val="21"/>
          <w:highlight w:val="none"/>
        </w:rPr>
        <w:t>7</w:t>
      </w:r>
      <w:r>
        <w:rPr>
          <w:rFonts w:ascii="宋体" w:hAnsi="宋体" w:cs="宋体"/>
          <w:color w:val="auto"/>
          <w:szCs w:val="21"/>
          <w:highlight w:val="none"/>
        </w:rPr>
        <w:t>个工作日内前来开具增值税发票，逾期按普票开具，不再开具专票。</w:t>
      </w:r>
    </w:p>
    <w:p>
      <w:pPr>
        <w:rPr>
          <w:rFonts w:cs="宋体"/>
          <w:highlight w:val="none"/>
        </w:rPr>
      </w:pPr>
      <w:r>
        <w:rPr>
          <w:rFonts w:cs="宋体"/>
          <w:highlight w:val="none"/>
        </w:rPr>
        <w:t xml:space="preserve">    </w:t>
      </w:r>
      <w:bookmarkStart w:id="90" w:name="_Toc6762"/>
      <w:bookmarkStart w:id="91" w:name="_Toc4638"/>
      <w:bookmarkStart w:id="92" w:name="_Toc15512"/>
      <w:bookmarkStart w:id="93" w:name="_Toc2498"/>
      <w:bookmarkStart w:id="94" w:name="_Toc21769"/>
      <w:bookmarkStart w:id="95" w:name="_Toc476584428"/>
      <w:bookmarkStart w:id="96" w:name="_Toc10691"/>
      <w:r>
        <w:rPr>
          <w:rFonts w:hint="eastAsia" w:cs="宋体"/>
          <w:highlight w:val="none"/>
        </w:rPr>
        <w:t>29</w:t>
      </w:r>
      <w:r>
        <w:rPr>
          <w:rFonts w:cs="宋体"/>
          <w:highlight w:val="none"/>
        </w:rPr>
        <w:t>.5</w:t>
      </w:r>
      <w:r>
        <w:rPr>
          <w:rFonts w:hint="eastAsia" w:cs="宋体"/>
          <w:highlight w:val="none"/>
        </w:rPr>
        <w:t>、成交通知书</w:t>
      </w:r>
      <w:bookmarkEnd w:id="85"/>
      <w:bookmarkEnd w:id="86"/>
      <w:bookmarkEnd w:id="87"/>
      <w:bookmarkEnd w:id="88"/>
      <w:bookmarkEnd w:id="89"/>
      <w:bookmarkEnd w:id="90"/>
      <w:bookmarkEnd w:id="91"/>
      <w:bookmarkEnd w:id="92"/>
      <w:bookmarkEnd w:id="93"/>
      <w:bookmarkEnd w:id="94"/>
      <w:bookmarkEnd w:id="95"/>
      <w:bookmarkEnd w:id="96"/>
    </w:p>
    <w:p>
      <w:pPr>
        <w:pStyle w:val="58"/>
        <w:widowControl w:val="0"/>
        <w:spacing w:before="0" w:beforeAutospacing="0" w:after="0" w:afterAutospacing="0" w:line="400" w:lineRule="exact"/>
        <w:ind w:firstLine="420" w:firstLineChars="200"/>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采购人在评审报告推荐的成交候选人中按顺序确定成交人。采购人将向成交人发出成交通知书，并在安徽省政府采购网</w:t>
      </w:r>
      <w:r>
        <w:rPr>
          <w:rFonts w:hint="eastAsia" w:ascii="宋体" w:hAnsi="宋体" w:eastAsia="宋体" w:cs="Times New Roman"/>
          <w:kern w:val="2"/>
          <w:sz w:val="21"/>
          <w:szCs w:val="21"/>
          <w:highlight w:val="none"/>
          <w:lang w:eastAsia="zh-CN"/>
        </w:rPr>
        <w:t>、</w:t>
      </w:r>
      <w:r>
        <w:rPr>
          <w:rFonts w:hint="eastAsia" w:ascii="宋体" w:hAnsi="宋体" w:eastAsia="宋体" w:cs="Times New Roman"/>
          <w:kern w:val="2"/>
          <w:sz w:val="21"/>
          <w:szCs w:val="21"/>
          <w:highlight w:val="none"/>
        </w:rPr>
        <w:t>安庆市公共资源交易服务网、安庆市政府信息公开网、安徽省招标投标信息网上公告成交结果。供应商如有质疑、投诉，必须在成交公告约定的质疑、投诉期内以书面形式向有关机构提出。</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29.6、根据相关规定，对中标或成交结果提出质疑的，为中标或成交结果公告期限届满之日起七个工作日内以书面形式向采购人提出。建议在成交公告质疑期满（无异议）后，采购人与成交人签订采购合同。</w:t>
      </w:r>
    </w:p>
    <w:p>
      <w:pPr>
        <w:spacing w:line="360" w:lineRule="auto"/>
        <w:ind w:firstLine="420" w:firstLineChars="200"/>
        <w:rPr>
          <w:rFonts w:hint="eastAsia" w:ascii="宋体" w:hAnsi="宋体" w:eastAsia="宋体" w:cs="宋体"/>
          <w:color w:val="auto"/>
          <w:highlight w:val="none"/>
        </w:rPr>
      </w:pPr>
      <w:bookmarkStart w:id="97" w:name="_Toc54941338"/>
      <w:r>
        <w:rPr>
          <w:rFonts w:hint="eastAsia" w:ascii="宋体" w:hAnsi="宋体" w:eastAsia="宋体" w:cs="宋体"/>
          <w:color w:val="auto"/>
          <w:highlight w:val="none"/>
        </w:rPr>
        <w:t>七、合同授予</w:t>
      </w:r>
      <w:bookmarkEnd w:id="97"/>
    </w:p>
    <w:p>
      <w:pPr>
        <w:spacing w:line="360" w:lineRule="auto"/>
        <w:ind w:firstLine="420" w:firstLineChars="200"/>
        <w:rPr>
          <w:rFonts w:hint="eastAsia" w:ascii="宋体" w:hAnsi="宋体" w:eastAsia="宋体" w:cs="宋体"/>
          <w:color w:val="auto"/>
          <w:highlight w:val="none"/>
        </w:rPr>
      </w:pPr>
      <w:bookmarkStart w:id="98" w:name="_Toc18179"/>
      <w:bookmarkStart w:id="99" w:name="_Toc15562"/>
      <w:bookmarkStart w:id="100" w:name="_Toc28577"/>
      <w:bookmarkStart w:id="101" w:name="_Toc3632"/>
      <w:bookmarkStart w:id="102" w:name="_Toc417655923"/>
      <w:bookmarkStart w:id="103" w:name="_Toc418517860"/>
      <w:bookmarkStart w:id="104" w:name="_Toc21358"/>
      <w:bookmarkStart w:id="105" w:name="_Toc16466"/>
      <w:bookmarkStart w:id="106" w:name="_Toc3930"/>
      <w:bookmarkStart w:id="107" w:name="_Toc476584429"/>
      <w:bookmarkStart w:id="108" w:name="_Toc22183"/>
      <w:bookmarkStart w:id="109" w:name="_Toc24860"/>
      <w:r>
        <w:rPr>
          <w:rFonts w:hint="eastAsia" w:ascii="宋体" w:hAnsi="宋体" w:eastAsia="宋体" w:cs="宋体"/>
          <w:color w:val="auto"/>
          <w:highlight w:val="none"/>
        </w:rPr>
        <w:t>30、签订合同</w:t>
      </w:r>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30.1.1、成交人的成交价即为合同价款。</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30.1.2、成交人在收到成交通知书起</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个工作日内，与采购人签订合同。采购人应在合同签订之日起2个工作日内将所有合同报</w:t>
      </w:r>
      <w:r>
        <w:rPr>
          <w:rFonts w:hint="eastAsia" w:ascii="宋体" w:hAnsi="宋体" w:eastAsia="宋体" w:cs="宋体"/>
          <w:color w:val="auto"/>
          <w:highlight w:val="none"/>
          <w:lang w:val="en-US" w:eastAsia="zh-CN"/>
        </w:rPr>
        <w:t>监督管理部门</w:t>
      </w:r>
      <w:r>
        <w:rPr>
          <w:rFonts w:hint="eastAsia" w:ascii="宋体" w:hAnsi="宋体" w:eastAsia="宋体" w:cs="宋体"/>
          <w:color w:val="auto"/>
          <w:highlight w:val="none"/>
        </w:rPr>
        <w:t>备案并公开。</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30.1.3、成交人拒绝与采购人签订合同的，采购人可以按照评审报告推荐的成交候选人名单排序，确定下一候选人为成交人，也可以重新开展政府采购活动。。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30.1.4采购单位对在</w:t>
      </w:r>
      <w:r>
        <w:rPr>
          <w:rFonts w:hint="eastAsia" w:ascii="宋体" w:hAnsi="宋体" w:eastAsia="宋体" w:cs="宋体"/>
          <w:color w:val="auto"/>
          <w:highlight w:val="none"/>
          <w:lang w:val="en-US" w:eastAsia="zh-CN"/>
        </w:rPr>
        <w:t>监督管理部门</w:t>
      </w:r>
      <w:r>
        <w:rPr>
          <w:rFonts w:hint="eastAsia" w:ascii="宋体" w:hAnsi="宋体" w:eastAsia="宋体" w:cs="宋体"/>
          <w:color w:val="auto"/>
          <w:highlight w:val="none"/>
        </w:rPr>
        <w:t>完成备案的项目合同在安庆市公共资源交易服务网、安庆市政府信息公开网等网站进行公告。为遵守保密规定，对涉及国家秘密和商业秘密而不应公示的内容，采购人应当在提交采购合同到</w:t>
      </w:r>
      <w:r>
        <w:rPr>
          <w:rFonts w:hint="eastAsia" w:ascii="宋体" w:hAnsi="宋体" w:eastAsia="宋体" w:cs="宋体"/>
          <w:color w:val="auto"/>
          <w:highlight w:val="none"/>
          <w:lang w:val="en-US" w:eastAsia="zh-CN"/>
        </w:rPr>
        <w:t>监督管理部门</w:t>
      </w:r>
      <w:r>
        <w:rPr>
          <w:rFonts w:hint="eastAsia" w:ascii="宋体" w:hAnsi="宋体" w:eastAsia="宋体" w:cs="宋体"/>
          <w:color w:val="auto"/>
          <w:highlight w:val="none"/>
        </w:rPr>
        <w:t>备案的同时，提供财政</w:t>
      </w:r>
      <w:r>
        <w:rPr>
          <w:rFonts w:hint="eastAsia" w:ascii="宋体" w:hAnsi="宋体" w:eastAsia="宋体" w:cs="宋体"/>
          <w:color w:val="auto"/>
          <w:highlight w:val="none"/>
          <w:lang w:val="en-US" w:eastAsia="zh-CN"/>
        </w:rPr>
        <w:t>部门</w:t>
      </w:r>
      <w:r>
        <w:rPr>
          <w:rFonts w:hint="eastAsia" w:ascii="宋体" w:hAnsi="宋体" w:eastAsia="宋体" w:cs="宋体"/>
          <w:color w:val="auto"/>
          <w:highlight w:val="none"/>
        </w:rPr>
        <w:t>书面同意不予公告的相关证明，否则视为采购人委托</w:t>
      </w:r>
      <w:r>
        <w:rPr>
          <w:rFonts w:hint="eastAsia" w:ascii="宋体" w:hAnsi="宋体" w:eastAsia="宋体" w:cs="宋体"/>
          <w:color w:val="auto"/>
          <w:highlight w:val="none"/>
          <w:lang w:val="en-US" w:eastAsia="zh-CN"/>
        </w:rPr>
        <w:t>采购代理机构</w:t>
      </w:r>
      <w:r>
        <w:rPr>
          <w:rFonts w:hint="eastAsia" w:ascii="宋体" w:hAnsi="宋体" w:eastAsia="宋体" w:cs="宋体"/>
          <w:color w:val="auto"/>
          <w:highlight w:val="none"/>
        </w:rPr>
        <w:t>将采购合同依法进行公告。</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31、履约保证金</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31.1、成交人在签订合同前必须按磋商文件的约定，及时、足额向采购人提交履约保证金。</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31.2、若成交人不能按须知前附表执行，采购人可在无须征得成交人同意的情况下，不与其签订合同。给采购单位造成的损失，成交人还应当予以赔偿。</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31.3、履约保证金按合同条款约定退还。</w:t>
      </w:r>
    </w:p>
    <w:p>
      <w:pPr>
        <w:widowControl/>
        <w:spacing w:line="500" w:lineRule="exact"/>
        <w:ind w:firstLine="422" w:firstLineChars="200"/>
        <w:jc w:val="left"/>
        <w:rPr>
          <w:rFonts w:ascii="宋体" w:hAnsi="宋体"/>
          <w:b/>
          <w:bCs/>
          <w:szCs w:val="21"/>
          <w:highlight w:val="none"/>
        </w:rPr>
      </w:pPr>
      <w:r>
        <w:rPr>
          <w:rFonts w:hint="eastAsia" w:ascii="宋体" w:hAnsi="宋体"/>
          <w:b/>
          <w:bCs/>
          <w:szCs w:val="21"/>
          <w:highlight w:val="none"/>
        </w:rPr>
        <w:t>32、质疑和投诉</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32.1</w:t>
      </w:r>
      <w:r>
        <w:rPr>
          <w:rFonts w:hint="eastAsia" w:ascii="宋体" w:hAnsi="宋体" w:cs="宋体"/>
          <w:color w:val="auto"/>
          <w:highlight w:val="none"/>
          <w:lang w:eastAsia="zh-CN"/>
        </w:rPr>
        <w:t>供应商</w:t>
      </w:r>
      <w:r>
        <w:rPr>
          <w:rFonts w:hint="eastAsia" w:ascii="宋体" w:hAnsi="宋体" w:eastAsia="宋体" w:cs="宋体"/>
          <w:color w:val="auto"/>
          <w:highlight w:val="none"/>
        </w:rPr>
        <w:t>认为磋商文件、采购过程和成交结果使自己的权益受到损害的，可以根据《中华人民共和国政府采购法》、《中华人民共和国政府采购法实施条例》和《政府采购质疑和投诉办法》的有关规定，依法向采购人或其委托的采购代理机构提出质疑。</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32.2质疑供应商应当是参与所质疑项目采购活动的供应商。质疑供应商应按照财政部制定的《政府采购供应商质疑函范本》格式（详见磋商文件第六章）和《政府采购质疑和投诉办法》的要求，在法定质疑期内以书面或电子形式提出质疑，超出法定质疑期提交的质疑将被拒绝。针对同一采购程序环节的质疑应一次性提出。</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32.3采购代理机构质疑函接收部门、联系电话和通讯地址，见</w:t>
      </w:r>
      <w:r>
        <w:rPr>
          <w:rFonts w:hint="eastAsia" w:ascii="宋体" w:hAnsi="宋体" w:cs="宋体"/>
          <w:color w:val="auto"/>
          <w:highlight w:val="none"/>
          <w:lang w:val="en-US" w:eastAsia="zh-CN"/>
        </w:rPr>
        <w:t>磋商</w:t>
      </w:r>
      <w:r>
        <w:rPr>
          <w:rFonts w:hint="eastAsia" w:ascii="宋体" w:hAnsi="宋体" w:eastAsia="宋体" w:cs="宋体"/>
          <w:color w:val="auto"/>
          <w:highlight w:val="none"/>
        </w:rPr>
        <w:t>须知前附表。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32.4质疑供应商对采购人、采购代理机构的答复不满意， 或采购人、采购代理机构未在规定时间内做出答复的，可以在答复期满后 15 个工作日内向监督管理部门提起投诉。</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33、未尽事宜</w:t>
      </w:r>
    </w:p>
    <w:p>
      <w:pPr>
        <w:spacing w:line="360" w:lineRule="auto"/>
        <w:ind w:firstLine="420" w:firstLineChars="200"/>
        <w:rPr>
          <w:rFonts w:ascii="宋体" w:cs="宋体"/>
          <w:b/>
          <w:bCs/>
          <w:snapToGrid w:val="0"/>
          <w:kern w:val="0"/>
          <w:sz w:val="32"/>
          <w:szCs w:val="32"/>
          <w:highlight w:val="none"/>
        </w:rPr>
      </w:pPr>
      <w:r>
        <w:rPr>
          <w:rFonts w:hint="eastAsia" w:ascii="宋体" w:hAnsi="宋体" w:eastAsia="宋体" w:cs="宋体"/>
          <w:color w:val="auto"/>
          <w:highlight w:val="none"/>
        </w:rPr>
        <w:t>依据《政府采购竞争性磋商采购方式管理暂行办法》并参照《中华人民共和国政府采购法》、《中华人民共和国政府采购法实施条例》及其他有关法律法规规定执行。</w:t>
      </w:r>
    </w:p>
    <w:p>
      <w:pPr>
        <w:rPr>
          <w:rFonts w:eastAsia="仿宋_GB2312"/>
          <w:sz w:val="28"/>
          <w:szCs w:val="28"/>
          <w:highlight w:val="none"/>
        </w:rPr>
      </w:pPr>
      <w:r>
        <w:rPr>
          <w:rFonts w:ascii="宋体" w:cs="宋体"/>
          <w:b/>
          <w:bCs/>
          <w:snapToGrid w:val="0"/>
          <w:kern w:val="0"/>
          <w:sz w:val="32"/>
          <w:szCs w:val="32"/>
          <w:highlight w:val="none"/>
        </w:rPr>
        <w:br w:type="page"/>
      </w:r>
    </w:p>
    <w:p>
      <w:pPr>
        <w:pStyle w:val="3"/>
        <w:ind w:left="0" w:leftChars="0" w:firstLine="3213" w:firstLineChars="1000"/>
        <w:jc w:val="both"/>
        <w:rPr>
          <w:rFonts w:hint="eastAsia" w:ascii="宋体" w:hAnsi="宋体" w:cs="宋体"/>
          <w:color w:val="auto"/>
          <w:highlight w:val="none"/>
        </w:rPr>
      </w:pPr>
      <w:bookmarkStart w:id="110" w:name="_Toc54941340"/>
      <w:bookmarkStart w:id="111" w:name="_Toc10569"/>
      <w:bookmarkStart w:id="112" w:name="_Toc8866"/>
      <w:r>
        <w:rPr>
          <w:rFonts w:hint="eastAsia" w:ascii="Arial" w:hAnsi="Arial"/>
          <w:kern w:val="2"/>
          <w:sz w:val="32"/>
          <w:szCs w:val="32"/>
          <w:highlight w:val="none"/>
        </w:rPr>
        <w:t>第</w:t>
      </w:r>
      <w:r>
        <w:rPr>
          <w:rFonts w:hint="eastAsia" w:ascii="Arial" w:hAnsi="Arial"/>
          <w:kern w:val="2"/>
          <w:sz w:val="32"/>
          <w:szCs w:val="32"/>
          <w:highlight w:val="none"/>
          <w:lang w:val="en-US" w:eastAsia="zh-CN"/>
        </w:rPr>
        <w:t>三</w:t>
      </w:r>
      <w:r>
        <w:rPr>
          <w:rFonts w:hint="eastAsia" w:ascii="Arial" w:hAnsi="Arial"/>
          <w:kern w:val="2"/>
          <w:sz w:val="32"/>
          <w:szCs w:val="32"/>
          <w:highlight w:val="none"/>
        </w:rPr>
        <w:t xml:space="preserve">章     </w:t>
      </w:r>
      <w:bookmarkEnd w:id="110"/>
      <w:bookmarkEnd w:id="111"/>
      <w:r>
        <w:rPr>
          <w:rFonts w:hint="eastAsia" w:ascii="Arial" w:hAnsi="Arial"/>
          <w:kern w:val="2"/>
          <w:sz w:val="32"/>
          <w:szCs w:val="32"/>
          <w:highlight w:val="none"/>
        </w:rPr>
        <w:t>合同条款</w:t>
      </w:r>
      <w:bookmarkEnd w:id="112"/>
    </w:p>
    <w:p>
      <w:pPr>
        <w:pStyle w:val="425"/>
        <w:pageBreakBefore w:val="0"/>
        <w:kinsoku/>
        <w:wordWrap/>
        <w:overflowPunct/>
        <w:topLinePunct w:val="0"/>
        <w:bidi w:val="0"/>
        <w:spacing w:before="0" w:beforeLines="0" w:beforeAutospacing="0" w:after="0" w:afterLines="0" w:afterAutospacing="0" w:line="240" w:lineRule="auto"/>
        <w:ind w:left="0" w:right="0" w:firstLine="643"/>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建设工程施工合同（</w:t>
      </w:r>
      <w:r>
        <w:rPr>
          <w:rFonts w:hint="eastAsia" w:ascii="宋体" w:hAnsi="宋体" w:eastAsia="宋体" w:cs="宋体"/>
          <w:bCs/>
          <w:color w:val="auto"/>
          <w:sz w:val="32"/>
          <w:szCs w:val="32"/>
          <w:highlight w:val="none"/>
        </w:rPr>
        <w:t>GF—201</w:t>
      </w:r>
      <w:r>
        <w:rPr>
          <w:rFonts w:hint="eastAsia" w:ascii="宋体" w:hAnsi="宋体" w:eastAsia="宋体" w:cs="宋体"/>
          <w:bCs/>
          <w:color w:val="auto"/>
          <w:sz w:val="32"/>
          <w:szCs w:val="32"/>
          <w:highlight w:val="none"/>
          <w:lang w:val="en-US" w:eastAsia="zh-CN"/>
        </w:rPr>
        <w:t>7</w:t>
      </w:r>
      <w:r>
        <w:rPr>
          <w:rFonts w:hint="eastAsia" w:ascii="宋体" w:hAnsi="宋体" w:eastAsia="宋体" w:cs="宋体"/>
          <w:bCs/>
          <w:color w:val="auto"/>
          <w:sz w:val="32"/>
          <w:szCs w:val="32"/>
          <w:highlight w:val="none"/>
        </w:rPr>
        <w:t>—0201</w:t>
      </w:r>
      <w:r>
        <w:rPr>
          <w:rFonts w:hint="eastAsia" w:ascii="宋体" w:hAnsi="宋体" w:eastAsia="宋体" w:cs="宋体"/>
          <w:b/>
          <w:color w:val="auto"/>
          <w:sz w:val="32"/>
          <w:szCs w:val="32"/>
          <w:highlight w:val="none"/>
        </w:rPr>
        <w:t>示范文本）</w:t>
      </w:r>
    </w:p>
    <w:p>
      <w:pPr>
        <w:pageBreakBefore w:val="0"/>
        <w:kinsoku/>
        <w:wordWrap/>
        <w:overflowPunct/>
        <w:topLinePunct w:val="0"/>
        <w:bidi w:val="0"/>
        <w:spacing w:line="240" w:lineRule="auto"/>
        <w:jc w:val="center"/>
        <w:rPr>
          <w:rFonts w:hint="eastAsia"/>
          <w:b/>
          <w:bCs/>
          <w:color w:val="auto"/>
          <w:sz w:val="32"/>
          <w:szCs w:val="40"/>
          <w:highlight w:val="none"/>
          <w:lang w:val="zh-CN"/>
        </w:rPr>
      </w:pPr>
      <w:bookmarkStart w:id="113" w:name="_Toc27346"/>
      <w:bookmarkStart w:id="114" w:name="_Toc11581"/>
      <w:bookmarkStart w:id="115" w:name="_Toc22091"/>
      <w:bookmarkStart w:id="116" w:name="_Toc296503025"/>
      <w:bookmarkStart w:id="117" w:name="_Toc296890982"/>
      <w:r>
        <w:rPr>
          <w:rFonts w:hint="eastAsia"/>
          <w:b/>
          <w:bCs/>
          <w:color w:val="auto"/>
          <w:sz w:val="32"/>
          <w:szCs w:val="40"/>
          <w:highlight w:val="none"/>
          <w:lang w:val="zh-CN"/>
        </w:rPr>
        <w:t>说明</w:t>
      </w:r>
      <w:bookmarkEnd w:id="113"/>
      <w:bookmarkEnd w:id="114"/>
      <w:bookmarkEnd w:id="115"/>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了指导建设工程施工合同当事人的签约行为，维护合同当事人的合法权益，依据《中华人民共和国民法典》、《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一、《示范文本》的组成</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《示范文本》由合同协议书、通用合同条款和专用合同条款三部分组成。</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（一）合同协议书</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（二）通用合同条款</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通用合同条款是合同当事人根据《中华人民共和国建筑法》、《中华人民共和国民法典》等法律法规的规定，就工程建设的实施及相关事项，对合同当事人的权利义务作出的原则性约定。</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（三）专用合同条款</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1.专用合同条款的编号应与相应的通用合同条款的编号一致；</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2.合同当事人可以通过对专用合同条款的修改，满足具体建设工程的特殊要求，避免直接修改通用合同条款；</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3.在专用合同条款中有横道线的地方，合同当事人可针对相应的通用合同条款进行细化、完善、补充、修改或另行约定；如无细化、完善、补充、修改或另行约定，则填写“无”或划“/”。</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二、《示范文本》的性质和适用范围</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bookmarkEnd w:id="116"/>
      <w:bookmarkEnd w:id="117"/>
      <w:bookmarkStart w:id="118" w:name="_Toc351203632"/>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p>
    <w:p>
      <w:pPr>
        <w:pStyle w:val="83"/>
        <w:rPr>
          <w:rFonts w:hint="eastAsia" w:ascii="宋体" w:hAnsi="宋体" w:eastAsia="宋体" w:cs="宋体"/>
          <w:color w:val="auto"/>
          <w:szCs w:val="21"/>
          <w:highlight w:val="none"/>
        </w:rPr>
      </w:pPr>
    </w:p>
    <w:p>
      <w:pPr>
        <w:pStyle w:val="83"/>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r>
        <w:rPr>
          <w:rFonts w:hint="eastAsia" w:ascii="宋体" w:hAnsi="宋体" w:eastAsia="宋体" w:cs="宋体"/>
          <w:b/>
          <w:bCs/>
          <w:color w:val="auto"/>
          <w:sz w:val="36"/>
          <w:szCs w:val="21"/>
          <w:highlight w:val="none"/>
        </w:rPr>
        <w:t>第一部分 合同协议书</w:t>
      </w:r>
    </w:p>
    <w:p>
      <w:pPr>
        <w:pageBreakBefore w:val="0"/>
        <w:kinsoku/>
        <w:wordWrap/>
        <w:overflowPunct/>
        <w:topLinePunct w:val="0"/>
        <w:bidi w:val="0"/>
        <w:spacing w:line="240" w:lineRule="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发包人（全称）：</w:t>
      </w:r>
      <w:r>
        <w:rPr>
          <w:rFonts w:hint="eastAsia" w:ascii="宋体" w:hAnsi="宋体" w:eastAsia="宋体" w:cs="宋体"/>
          <w:b/>
          <w:color w:val="auto"/>
          <w:sz w:val="21"/>
          <w:szCs w:val="21"/>
          <w:highlight w:val="none"/>
          <w:u w:val="single"/>
        </w:rPr>
        <w:t>                       </w:t>
      </w:r>
    </w:p>
    <w:p>
      <w:pPr>
        <w:pageBreakBefore w:val="0"/>
        <w:kinsoku/>
        <w:wordWrap/>
        <w:overflowPunct/>
        <w:topLinePunct w:val="0"/>
        <w:bidi w:val="0"/>
        <w:spacing w:line="240" w:lineRule="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承包人（全称）：</w:t>
      </w:r>
      <w:r>
        <w:rPr>
          <w:rFonts w:hint="eastAsia" w:ascii="宋体" w:hAnsi="宋体" w:eastAsia="宋体" w:cs="宋体"/>
          <w:b/>
          <w:color w:val="auto"/>
          <w:sz w:val="21"/>
          <w:szCs w:val="21"/>
          <w:highlight w:val="none"/>
          <w:u w:val="single"/>
        </w:rPr>
        <w:t>                      </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根据《中华人民共和国民法典》、《中华人民共和国建筑法》及有关法律规定，遵循平等、自愿、公平和诚实信用的原则，双方就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工程施工及有关事项协商一致，共同达成如下协议：</w:t>
      </w:r>
    </w:p>
    <w:p>
      <w:pPr>
        <w:pStyle w:val="7"/>
        <w:pageBreakBefore w:val="0"/>
        <w:kinsoku/>
        <w:wordWrap/>
        <w:overflowPunct/>
        <w:topLinePunct w:val="0"/>
        <w:bidi w:val="0"/>
        <w:spacing w:before="120" w:after="120" w:line="24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119" w:name="_Toc351203481"/>
      <w:r>
        <w:rPr>
          <w:rFonts w:hint="eastAsia" w:ascii="宋体" w:hAnsi="宋体" w:eastAsia="宋体" w:cs="宋体"/>
          <w:b/>
          <w:bCs/>
          <w:color w:val="auto"/>
          <w:sz w:val="21"/>
          <w:szCs w:val="21"/>
          <w:highlight w:val="none"/>
        </w:rPr>
        <w:t>一、工程概况</w:t>
      </w:r>
      <w:bookmarkEnd w:id="119"/>
    </w:p>
    <w:p>
      <w:pPr>
        <w:pageBreakBefore w:val="0"/>
        <w:kinsoku/>
        <w:wordWrap/>
        <w:overflowPunct/>
        <w:topLinePunct w:val="0"/>
        <w:bidi w:val="0"/>
        <w:spacing w:line="240" w:lineRule="auto"/>
        <w:ind w:firstLine="411" w:firstLineChars="196"/>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1.工程名称：</w:t>
      </w: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2.工程地点：</w:t>
      </w: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3.工程立项批准文号：</w:t>
      </w:r>
      <w:r>
        <w:rPr>
          <w:rFonts w:hint="eastAsia" w:ascii="宋体" w:hAnsi="宋体" w:eastAsia="宋体" w:cs="宋体"/>
          <w:color w:val="auto"/>
          <w:sz w:val="21"/>
          <w:szCs w:val="21"/>
          <w:highlight w:val="none"/>
          <w:u w:val="single"/>
        </w:rPr>
        <w:t xml:space="preserve">       </w:t>
      </w:r>
      <w:r>
        <w:rPr>
          <w:rFonts w:hint="eastAsia" w:ascii="宋体" w:hAnsi="宋体" w:eastAsia="宋体" w:cs="宋体"/>
          <w:bCs/>
          <w:color w:val="auto"/>
          <w:sz w:val="21"/>
          <w:szCs w:val="21"/>
          <w:highlight w:val="none"/>
        </w:rPr>
        <w:t>。</w:t>
      </w:r>
    </w:p>
    <w:p>
      <w:pPr>
        <w:pageBreakBefore w:val="0"/>
        <w:kinsoku/>
        <w:wordWrap/>
        <w:overflowPunct/>
        <w:topLinePunct w:val="0"/>
        <w:bidi w:val="0"/>
        <w:spacing w:line="24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4.资金来源：</w:t>
      </w:r>
      <w:r>
        <w:rPr>
          <w:rFonts w:hint="eastAsia" w:ascii="宋体" w:hAnsi="宋体" w:eastAsia="宋体" w:cs="宋体"/>
          <w:color w:val="auto"/>
          <w:sz w:val="21"/>
          <w:szCs w:val="21"/>
          <w:highlight w:val="none"/>
          <w:u w:val="single"/>
        </w:rPr>
        <w:t xml:space="preserve">       </w:t>
      </w:r>
      <w:r>
        <w:rPr>
          <w:rFonts w:hint="eastAsia" w:ascii="宋体" w:hAnsi="宋体" w:eastAsia="宋体" w:cs="宋体"/>
          <w:bCs/>
          <w:color w:val="auto"/>
          <w:sz w:val="21"/>
          <w:szCs w:val="21"/>
          <w:highlight w:val="none"/>
        </w:rPr>
        <w:t>。</w:t>
      </w:r>
    </w:p>
    <w:p>
      <w:pPr>
        <w:pageBreakBefore w:val="0"/>
        <w:kinsoku/>
        <w:wordWrap/>
        <w:overflowPunct/>
        <w:topLinePunct w:val="0"/>
        <w:bidi w:val="0"/>
        <w:spacing w:line="24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5.工程内容：</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施工图设计文件及工程量清单列示的全部内容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群体工程应附《承包人承揽工程项目一览表》（附件1）。</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6.工程承包范围：</w:t>
      </w:r>
      <w:r>
        <w:rPr>
          <w:rFonts w:hint="eastAsia" w:ascii="宋体" w:hAnsi="宋体" w:eastAsia="宋体" w:cs="宋体"/>
          <w:color w:val="auto"/>
          <w:sz w:val="21"/>
          <w:szCs w:val="21"/>
          <w:highlight w:val="none"/>
          <w:u w:val="single"/>
          <w:lang w:eastAsia="zh-CN"/>
        </w:rPr>
        <w:t>施工图设计文件及工程量清单列示的全部内容</w:t>
      </w:r>
      <w:r>
        <w:rPr>
          <w:rFonts w:hint="eastAsia" w:ascii="宋体" w:hAnsi="宋体" w:eastAsia="宋体" w:cs="宋体"/>
          <w:color w:val="auto"/>
          <w:sz w:val="21"/>
          <w:szCs w:val="21"/>
          <w:highlight w:val="none"/>
        </w:rPr>
        <w:t>。</w:t>
      </w:r>
    </w:p>
    <w:p>
      <w:pPr>
        <w:pStyle w:val="7"/>
        <w:pageBreakBefore w:val="0"/>
        <w:kinsoku/>
        <w:wordWrap/>
        <w:overflowPunct/>
        <w:topLinePunct w:val="0"/>
        <w:bidi w:val="0"/>
        <w:spacing w:before="120" w:after="120" w:line="240" w:lineRule="auto"/>
        <w:rPr>
          <w:rFonts w:hint="eastAsia" w:ascii="宋体" w:hAnsi="宋体" w:eastAsia="宋体" w:cs="宋体"/>
          <w:b/>
          <w:bCs/>
          <w:color w:val="auto"/>
          <w:sz w:val="21"/>
          <w:szCs w:val="21"/>
          <w:highlight w:val="none"/>
        </w:rPr>
      </w:pPr>
      <w:r>
        <w:rPr>
          <w:rFonts w:hint="eastAsia" w:ascii="宋体" w:hAnsi="宋体" w:eastAsia="宋体" w:cs="宋体"/>
          <w:b w:val="0"/>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120" w:name="_Toc351203482"/>
      <w:r>
        <w:rPr>
          <w:rFonts w:hint="eastAsia" w:ascii="宋体" w:hAnsi="宋体" w:eastAsia="宋体" w:cs="宋体"/>
          <w:b/>
          <w:bCs/>
          <w:color w:val="auto"/>
          <w:sz w:val="21"/>
          <w:szCs w:val="21"/>
          <w:highlight w:val="none"/>
        </w:rPr>
        <w:t>二、合同工期</w:t>
      </w:r>
      <w:bookmarkEnd w:id="120"/>
    </w:p>
    <w:p>
      <w:pPr>
        <w:pageBreakBefore w:val="0"/>
        <w:kinsoku/>
        <w:wordWrap/>
        <w:overflowPunct/>
        <w:topLinePunct w:val="0"/>
        <w:bidi w:val="0"/>
        <w:spacing w:line="24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计划开工日期：</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日。</w:t>
      </w:r>
    </w:p>
    <w:p>
      <w:pPr>
        <w:pageBreakBefore w:val="0"/>
        <w:kinsoku/>
        <w:wordWrap/>
        <w:overflowPunct/>
        <w:topLinePunct w:val="0"/>
        <w:bidi w:val="0"/>
        <w:spacing w:line="24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计划竣工日期：</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日。</w:t>
      </w:r>
    </w:p>
    <w:p>
      <w:pPr>
        <w:pageBreakBefore w:val="0"/>
        <w:kinsoku/>
        <w:wordWrap/>
        <w:overflowPunct/>
        <w:topLinePunct w:val="0"/>
        <w:bidi w:val="0"/>
        <w:spacing w:line="24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工期总日历天数：</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天。工期总日历天数与根据前述计划开竣工日期计算的工期天数不一致的，以工期总日历天数为准。</w:t>
      </w:r>
    </w:p>
    <w:p>
      <w:pPr>
        <w:pStyle w:val="7"/>
        <w:pageBreakBefore w:val="0"/>
        <w:kinsoku/>
        <w:wordWrap/>
        <w:overflowPunct/>
        <w:topLinePunct w:val="0"/>
        <w:bidi w:val="0"/>
        <w:spacing w:before="120" w:after="120" w:line="240" w:lineRule="auto"/>
        <w:rPr>
          <w:rFonts w:hint="eastAsia" w:ascii="宋体" w:hAnsi="宋体" w:eastAsia="宋体" w:cs="宋体"/>
          <w:bCs w:val="0"/>
          <w:color w:val="auto"/>
          <w:sz w:val="21"/>
          <w:szCs w:val="21"/>
          <w:highlight w:val="none"/>
        </w:rPr>
      </w:pPr>
      <w:r>
        <w:rPr>
          <w:rFonts w:hint="eastAsia" w:ascii="宋体" w:hAnsi="宋体" w:eastAsia="宋体" w:cs="宋体"/>
          <w:b/>
          <w:bCs/>
          <w:color w:val="auto"/>
          <w:sz w:val="21"/>
          <w:szCs w:val="21"/>
          <w:highlight w:val="none"/>
        </w:rPr>
        <w:t xml:space="preserve">    </w:t>
      </w:r>
      <w:bookmarkStart w:id="121" w:name="_Toc351203483"/>
      <w:r>
        <w:rPr>
          <w:rFonts w:hint="eastAsia" w:ascii="宋体" w:hAnsi="宋体" w:eastAsia="宋体" w:cs="宋体"/>
          <w:b/>
          <w:bCs/>
          <w:color w:val="auto"/>
          <w:sz w:val="21"/>
          <w:szCs w:val="21"/>
          <w:highlight w:val="none"/>
        </w:rPr>
        <w:t>三、质量标准</w:t>
      </w:r>
      <w:bookmarkEnd w:id="121"/>
    </w:p>
    <w:p>
      <w:pPr>
        <w:pageBreakBefore w:val="0"/>
        <w:kinsoku/>
        <w:wordWrap/>
        <w:overflowPunct/>
        <w:topLinePunct w:val="0"/>
        <w:bidi w:val="0"/>
        <w:spacing w:line="24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工程质量符合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国家相关施工验收规范合格</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标准。</w:t>
      </w:r>
    </w:p>
    <w:p>
      <w:pPr>
        <w:pStyle w:val="7"/>
        <w:pageBreakBefore w:val="0"/>
        <w:kinsoku/>
        <w:wordWrap/>
        <w:overflowPunct/>
        <w:topLinePunct w:val="0"/>
        <w:bidi w:val="0"/>
        <w:spacing w:before="120" w:after="120" w:line="24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122" w:name="_Toc351203484"/>
      <w:r>
        <w:rPr>
          <w:rFonts w:hint="eastAsia" w:ascii="宋体" w:hAnsi="宋体" w:eastAsia="宋体" w:cs="宋体"/>
          <w:b/>
          <w:bCs/>
          <w:color w:val="auto"/>
          <w:sz w:val="21"/>
          <w:szCs w:val="21"/>
          <w:highlight w:val="none"/>
        </w:rPr>
        <w:t>四、签约合同价与合同价格形式</w:t>
      </w:r>
      <w:bookmarkEnd w:id="122"/>
      <w:r>
        <w:rPr>
          <w:rFonts w:hint="eastAsia" w:ascii="宋体" w:hAnsi="宋体" w:eastAsia="宋体" w:cs="宋体"/>
          <w:b w:val="0"/>
          <w:color w:val="auto"/>
          <w:sz w:val="21"/>
          <w:szCs w:val="21"/>
          <w:highlight w:val="none"/>
        </w:rPr>
        <w:tab/>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1.签约合同价为：</w:t>
      </w:r>
    </w:p>
    <w:p>
      <w:pPr>
        <w:pageBreakBefore w:val="0"/>
        <w:kinsoku/>
        <w:wordWrap/>
        <w:overflowPunct/>
        <w:topLinePunct w:val="0"/>
        <w:bidi w:val="0"/>
        <w:spacing w:line="24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（1）安全文明施工费：</w:t>
      </w:r>
    </w:p>
    <w:p>
      <w:pPr>
        <w:pageBreakBefore w:val="0"/>
        <w:kinsoku/>
        <w:wordWrap/>
        <w:overflowPunct/>
        <w:topLinePunct w:val="0"/>
        <w:bidi w:val="0"/>
        <w:spacing w:line="24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（2）材料和工程设备暂估价金额：</w:t>
      </w:r>
    </w:p>
    <w:p>
      <w:pPr>
        <w:pageBreakBefore w:val="0"/>
        <w:kinsoku/>
        <w:wordWrap/>
        <w:overflowPunct/>
        <w:topLinePunct w:val="0"/>
        <w:bidi w:val="0"/>
        <w:spacing w:line="240" w:lineRule="auto"/>
        <w:ind w:firstLine="945"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i/>
          <w:iCs/>
          <w:color w:val="auto"/>
          <w:sz w:val="21"/>
          <w:szCs w:val="21"/>
          <w:highlight w:val="none"/>
          <w:u w:val="single"/>
          <w:lang w:eastAsia="zh-CN"/>
        </w:rPr>
        <w:t>填写含税金额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（3）专业工程暂估价金额：</w:t>
      </w:r>
    </w:p>
    <w:p>
      <w:pPr>
        <w:pageBreakBefore w:val="0"/>
        <w:kinsoku/>
        <w:wordWrap/>
        <w:overflowPunct/>
        <w:topLinePunct w:val="0"/>
        <w:bidi w:val="0"/>
        <w:spacing w:line="240" w:lineRule="auto"/>
        <w:ind w:firstLine="945"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i/>
          <w:iCs/>
          <w:color w:val="auto"/>
          <w:sz w:val="21"/>
          <w:szCs w:val="21"/>
          <w:highlight w:val="none"/>
          <w:u w:val="single"/>
          <w:lang w:eastAsia="zh-CN"/>
        </w:rPr>
        <w:t>填写含税金额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（4）暂列金额：</w:t>
      </w:r>
    </w:p>
    <w:p>
      <w:pPr>
        <w:pageBreakBefore w:val="0"/>
        <w:kinsoku/>
        <w:wordWrap/>
        <w:overflowPunct/>
        <w:topLinePunct w:val="0"/>
        <w:bidi w:val="0"/>
        <w:spacing w:line="240" w:lineRule="auto"/>
        <w:ind w:firstLine="945"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i/>
          <w:iCs/>
          <w:color w:val="auto"/>
          <w:sz w:val="21"/>
          <w:szCs w:val="21"/>
          <w:highlight w:val="none"/>
          <w:u w:val="single"/>
          <w:lang w:eastAsia="zh-CN"/>
        </w:rPr>
        <w:t>填写含税金额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2.合同价格形式：</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固定总价合同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7"/>
        <w:pageBreakBefore w:val="0"/>
        <w:kinsoku/>
        <w:wordWrap/>
        <w:overflowPunct/>
        <w:topLinePunct w:val="0"/>
        <w:bidi w:val="0"/>
        <w:spacing w:before="120" w:after="120" w:line="240" w:lineRule="auto"/>
        <w:rPr>
          <w:rFonts w:hint="eastAsia" w:ascii="宋体" w:hAnsi="宋体" w:eastAsia="宋体" w:cs="宋体"/>
          <w:b/>
          <w:bCs/>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123" w:name="_Toc351203485"/>
      <w:r>
        <w:rPr>
          <w:rFonts w:hint="eastAsia" w:ascii="宋体" w:hAnsi="宋体" w:eastAsia="宋体" w:cs="宋体"/>
          <w:b/>
          <w:bCs/>
          <w:color w:val="auto"/>
          <w:sz w:val="21"/>
          <w:szCs w:val="21"/>
          <w:highlight w:val="none"/>
        </w:rPr>
        <w:t>五、</w:t>
      </w:r>
      <w:bookmarkEnd w:id="123"/>
      <w:r>
        <w:rPr>
          <w:rFonts w:hint="eastAsia" w:ascii="宋体" w:hAnsi="宋体" w:eastAsia="宋体" w:cs="宋体"/>
          <w:b/>
          <w:bCs/>
          <w:color w:val="auto"/>
          <w:sz w:val="21"/>
          <w:szCs w:val="21"/>
          <w:highlight w:val="none"/>
        </w:rPr>
        <w:t>项目经理</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承包人项目经理：</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Style w:val="7"/>
        <w:pageBreakBefore w:val="0"/>
        <w:kinsoku/>
        <w:wordWrap/>
        <w:overflowPunct/>
        <w:topLinePunct w:val="0"/>
        <w:bidi w:val="0"/>
        <w:spacing w:before="120" w:after="120" w:line="24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124" w:name="_Toc351203486"/>
      <w:r>
        <w:rPr>
          <w:rFonts w:hint="eastAsia" w:ascii="宋体" w:hAnsi="宋体" w:eastAsia="宋体" w:cs="宋体"/>
          <w:b/>
          <w:bCs/>
          <w:color w:val="auto"/>
          <w:sz w:val="21"/>
          <w:szCs w:val="21"/>
          <w:highlight w:val="none"/>
        </w:rPr>
        <w:t>六、合同文件构成</w:t>
      </w:r>
      <w:bookmarkEnd w:id="124"/>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本协议书与下列文件一起构成合同文件：</w:t>
      </w:r>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eastAsia="zh-CN"/>
        </w:rPr>
        <w:t>成交</w:t>
      </w:r>
      <w:r>
        <w:rPr>
          <w:rFonts w:hint="eastAsia" w:ascii="宋体" w:hAnsi="宋体" w:eastAsia="宋体" w:cs="宋体"/>
          <w:bCs/>
          <w:color w:val="auto"/>
          <w:sz w:val="21"/>
          <w:szCs w:val="21"/>
          <w:highlight w:val="none"/>
        </w:rPr>
        <w:t>通知书（如果有）；</w:t>
      </w:r>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cs="宋体"/>
          <w:bCs/>
          <w:color w:val="auto"/>
          <w:sz w:val="21"/>
          <w:szCs w:val="21"/>
          <w:highlight w:val="none"/>
          <w:lang w:eastAsia="zh-CN"/>
        </w:rPr>
        <w:t>磋商响应函</w:t>
      </w:r>
      <w:r>
        <w:rPr>
          <w:rFonts w:hint="eastAsia" w:ascii="宋体" w:hAnsi="宋体" w:eastAsia="宋体" w:cs="宋体"/>
          <w:bCs/>
          <w:color w:val="auto"/>
          <w:sz w:val="21"/>
          <w:szCs w:val="21"/>
          <w:highlight w:val="none"/>
        </w:rPr>
        <w:t xml:space="preserve">及其附录（如果有）； </w:t>
      </w:r>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（3）专用合同条款及其附件；</w:t>
      </w:r>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（4）通用合同条款；</w:t>
      </w:r>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（5）技术标准和要求；</w:t>
      </w:r>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（6）图纸；</w:t>
      </w:r>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（7）已标价工程量清单或预算书；</w:t>
      </w:r>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（8）其他合同文件。</w:t>
      </w:r>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在合同订立及履行过程中形成的与合同有关的文件均构成合同文件组成部分。</w:t>
      </w:r>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7"/>
        <w:pageBreakBefore w:val="0"/>
        <w:kinsoku/>
        <w:wordWrap/>
        <w:overflowPunct/>
        <w:topLinePunct w:val="0"/>
        <w:bidi w:val="0"/>
        <w:spacing w:before="120" w:after="120" w:line="240" w:lineRule="auto"/>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125" w:name="_Toc351203487"/>
      <w:r>
        <w:rPr>
          <w:rFonts w:hint="eastAsia" w:ascii="宋体" w:hAnsi="宋体" w:eastAsia="宋体" w:cs="宋体"/>
          <w:b/>
          <w:bCs/>
          <w:color w:val="auto"/>
          <w:sz w:val="21"/>
          <w:szCs w:val="21"/>
          <w:highlight w:val="none"/>
        </w:rPr>
        <w:t>七、承诺</w:t>
      </w:r>
      <w:bookmarkEnd w:id="125"/>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1.发包人承诺按照法律规定履行项目审批手续、筹集工程建设资金并按照合同约定的期限和方式支付合同价款。</w:t>
      </w:r>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2.承包人承诺按照法律规定及合同约定组织完成工程施工，确保工程质量和安全，不进行转包及违法分包，并在缺陷责任期及保修期内承担相应的工程维修责任。</w:t>
      </w:r>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3.发包人和承包人通过招投标形式签订合同的，双方理解并承诺不再就同一工程另行签订与合同实质性内容相背离的协议。</w:t>
      </w:r>
    </w:p>
    <w:p>
      <w:pPr>
        <w:pStyle w:val="7"/>
        <w:pageBreakBefore w:val="0"/>
        <w:kinsoku/>
        <w:wordWrap/>
        <w:overflowPunct/>
        <w:topLinePunct w:val="0"/>
        <w:bidi w:val="0"/>
        <w:spacing w:line="240" w:lineRule="auto"/>
        <w:rPr>
          <w:rFonts w:hint="eastAsia" w:ascii="宋体" w:hAnsi="宋体" w:eastAsia="宋体" w:cs="宋体"/>
          <w:b/>
          <w:bCs/>
          <w:color w:val="auto"/>
          <w:sz w:val="21"/>
          <w:szCs w:val="21"/>
          <w:highlight w:val="none"/>
        </w:rPr>
      </w:pPr>
      <w:bookmarkStart w:id="126" w:name="_Toc351203488"/>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rPr>
        <w:t>八、词语含义</w:t>
      </w:r>
      <w:bookmarkEnd w:id="126"/>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本协议书中词语含义与第二部分通用合同条款中赋予的含义相同。</w:t>
      </w:r>
    </w:p>
    <w:p>
      <w:pPr>
        <w:pStyle w:val="7"/>
        <w:pageBreakBefore w:val="0"/>
        <w:kinsoku/>
        <w:wordWrap/>
        <w:overflowPunct/>
        <w:topLinePunct w:val="0"/>
        <w:bidi w:val="0"/>
        <w:spacing w:before="120" w:after="120" w:line="240" w:lineRule="auto"/>
        <w:rPr>
          <w:rFonts w:hint="eastAsia" w:ascii="宋体" w:hAnsi="宋体" w:eastAsia="宋体" w:cs="宋体"/>
          <w:b/>
          <w:bCs/>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127" w:name="_Toc351203489"/>
      <w:r>
        <w:rPr>
          <w:rFonts w:hint="eastAsia" w:ascii="宋体" w:hAnsi="宋体" w:eastAsia="宋体" w:cs="宋体"/>
          <w:b/>
          <w:bCs/>
          <w:color w:val="auto"/>
          <w:sz w:val="21"/>
          <w:szCs w:val="21"/>
          <w:highlight w:val="none"/>
        </w:rPr>
        <w:t>九、签订时间</w:t>
      </w:r>
      <w:bookmarkEnd w:id="127"/>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日签订。</w:t>
      </w:r>
    </w:p>
    <w:p>
      <w:pPr>
        <w:pStyle w:val="7"/>
        <w:pageBreakBefore w:val="0"/>
        <w:kinsoku/>
        <w:wordWrap/>
        <w:overflowPunct/>
        <w:topLinePunct w:val="0"/>
        <w:bidi w:val="0"/>
        <w:spacing w:before="120" w:after="120" w:line="240" w:lineRule="auto"/>
        <w:rPr>
          <w:rFonts w:hint="eastAsia" w:ascii="宋体" w:hAnsi="宋体" w:eastAsia="宋体" w:cs="宋体"/>
          <w:b/>
          <w:bCs/>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128" w:name="_Toc351203490"/>
      <w:r>
        <w:rPr>
          <w:rFonts w:hint="eastAsia" w:ascii="宋体" w:hAnsi="宋体" w:eastAsia="宋体" w:cs="宋体"/>
          <w:b/>
          <w:bCs/>
          <w:color w:val="auto"/>
          <w:sz w:val="21"/>
          <w:szCs w:val="21"/>
          <w:highlight w:val="none"/>
        </w:rPr>
        <w:t>十、签订地点</w:t>
      </w:r>
      <w:bookmarkEnd w:id="128"/>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本合同在</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签订。</w:t>
      </w:r>
    </w:p>
    <w:p>
      <w:pPr>
        <w:pStyle w:val="7"/>
        <w:pageBreakBefore w:val="0"/>
        <w:kinsoku/>
        <w:wordWrap/>
        <w:overflowPunct/>
        <w:topLinePunct w:val="0"/>
        <w:bidi w:val="0"/>
        <w:spacing w:before="120" w:after="120" w:line="240" w:lineRule="auto"/>
        <w:rPr>
          <w:rFonts w:hint="eastAsia" w:ascii="宋体" w:hAnsi="宋体" w:eastAsia="宋体" w:cs="宋体"/>
          <w:b/>
          <w:bCs/>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129" w:name="_Toc351203491"/>
      <w:r>
        <w:rPr>
          <w:rFonts w:hint="eastAsia" w:ascii="宋体" w:hAnsi="宋体" w:eastAsia="宋体" w:cs="宋体"/>
          <w:b/>
          <w:bCs/>
          <w:color w:val="auto"/>
          <w:sz w:val="21"/>
          <w:szCs w:val="21"/>
          <w:highlight w:val="none"/>
        </w:rPr>
        <w:t>十一、补充协议</w:t>
      </w:r>
      <w:bookmarkEnd w:id="129"/>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合同未尽事宜，合同当事人另行签订补充协议，补充协议是合同的组成部分。</w:t>
      </w:r>
    </w:p>
    <w:p>
      <w:pPr>
        <w:pStyle w:val="7"/>
        <w:pageBreakBefore w:val="0"/>
        <w:kinsoku/>
        <w:wordWrap/>
        <w:overflowPunct/>
        <w:topLinePunct w:val="0"/>
        <w:bidi w:val="0"/>
        <w:spacing w:before="120" w:after="120" w:line="240" w:lineRule="auto"/>
        <w:rPr>
          <w:rFonts w:hint="eastAsia" w:ascii="宋体" w:hAnsi="宋体" w:eastAsia="宋体" w:cs="宋体"/>
          <w:b/>
          <w:bCs/>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130" w:name="_Toc351203492"/>
      <w:r>
        <w:rPr>
          <w:rFonts w:hint="eastAsia" w:ascii="宋体" w:hAnsi="宋体" w:eastAsia="宋体" w:cs="宋体"/>
          <w:b/>
          <w:bCs/>
          <w:color w:val="auto"/>
          <w:sz w:val="21"/>
          <w:szCs w:val="21"/>
          <w:highlight w:val="none"/>
        </w:rPr>
        <w:t>十二、合同生效</w:t>
      </w:r>
      <w:bookmarkEnd w:id="130"/>
    </w:p>
    <w:p>
      <w:pPr>
        <w:pageBreakBefore w:val="0"/>
        <w:kinsoku/>
        <w:wordWrap/>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本合同自</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双方签字盖章之日起</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生效。</w:t>
      </w:r>
    </w:p>
    <w:p>
      <w:pPr>
        <w:pStyle w:val="7"/>
        <w:pageBreakBefore w:val="0"/>
        <w:kinsoku/>
        <w:wordWrap/>
        <w:overflowPunct/>
        <w:topLinePunct w:val="0"/>
        <w:bidi w:val="0"/>
        <w:spacing w:before="120" w:after="120" w:line="24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131" w:name="_Toc351203493"/>
      <w:r>
        <w:rPr>
          <w:rFonts w:hint="eastAsia" w:ascii="宋体" w:hAnsi="宋体" w:eastAsia="宋体" w:cs="宋体"/>
          <w:b w:val="0"/>
          <w:color w:val="auto"/>
          <w:sz w:val="21"/>
          <w:szCs w:val="21"/>
          <w:highlight w:val="none"/>
        </w:rPr>
        <w:t>十三、合同份数</w:t>
      </w:r>
      <w:bookmarkEnd w:id="131"/>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本合同一式</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份，均具有同等法律效力，发包人执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份，承包人执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w:t>
      </w:r>
    </w:p>
    <w:p>
      <w:pPr>
        <w:pageBreakBefore w:val="0"/>
        <w:kinsoku/>
        <w:wordWrap/>
        <w:overflowPunct/>
        <w:topLinePunct w:val="0"/>
        <w:bidi w:val="0"/>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发包人：  (公章)             承包人：  (公章)                                 </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  法定代表人或其委托代理人：</w:t>
      </w:r>
    </w:p>
    <w:p>
      <w:pPr>
        <w:pageBreakBefore w:val="0"/>
        <w:kinsoku/>
        <w:wordWrap/>
        <w:overflowPunct/>
        <w:topLinePunct w:val="0"/>
        <w:bidi w:val="0"/>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（签字）                    （签字）</w:t>
      </w:r>
    </w:p>
    <w:p>
      <w:pPr>
        <w:keepNext w:val="0"/>
        <w:keepLines w:val="0"/>
        <w:pageBreakBefore w:val="0"/>
        <w:widowControl w:val="0"/>
        <w:tabs>
          <w:tab w:val="left" w:pos="441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组织机构代码：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组织机构代码：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u w:val="single"/>
        </w:rPr>
        <w:t xml:space="preserve">  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法定代表人：</w:t>
      </w:r>
      <w:r>
        <w:rPr>
          <w:rFonts w:hint="eastAsia" w:ascii="宋体" w:hAnsi="宋体" w:eastAsia="宋体" w:cs="宋体"/>
          <w:color w:val="auto"/>
          <w:sz w:val="21"/>
          <w:szCs w:val="21"/>
          <w:highlight w:val="none"/>
          <w:u w:val="single"/>
        </w:rPr>
        <w:t xml:space="preserve">      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  真：</w:t>
      </w:r>
      <w:r>
        <w:rPr>
          <w:rFonts w:hint="eastAsia" w:ascii="宋体" w:hAnsi="宋体" w:eastAsia="宋体" w:cs="宋体"/>
          <w:color w:val="auto"/>
          <w:sz w:val="21"/>
          <w:szCs w:val="21"/>
          <w:highlight w:val="none"/>
          <w:u w:val="single"/>
        </w:rPr>
        <w:t xml:space="preserve">  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电子信箱：</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rPr>
        <w:t>账  号：</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账  号：</w:t>
      </w:r>
      <w:r>
        <w:rPr>
          <w:rFonts w:hint="eastAsia" w:ascii="宋体" w:hAnsi="宋体" w:eastAsia="宋体" w:cs="宋体"/>
          <w:color w:val="auto"/>
          <w:sz w:val="21"/>
          <w:szCs w:val="21"/>
          <w:highlight w:val="none"/>
          <w:u w:val="single"/>
        </w:rPr>
        <w:t xml:space="preserve">     </w:t>
      </w:r>
      <w:bookmarkEnd w:id="118"/>
      <w:r>
        <w:rPr>
          <w:rFonts w:hint="eastAsia" w:ascii="宋体" w:hAnsi="宋体" w:eastAsia="宋体" w:cs="宋体"/>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center"/>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bCs/>
          <w:color w:val="auto"/>
          <w:sz w:val="36"/>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auto"/>
          <w:highlight w:val="none"/>
        </w:rPr>
      </w:pPr>
      <w:r>
        <w:rPr>
          <w:rFonts w:hint="eastAsia" w:ascii="宋体" w:hAnsi="宋体" w:eastAsia="宋体" w:cs="宋体"/>
          <w:b/>
          <w:bCs/>
          <w:color w:val="auto"/>
          <w:sz w:val="36"/>
          <w:szCs w:val="21"/>
          <w:highlight w:val="none"/>
        </w:rPr>
        <w:t>第二部分</w:t>
      </w:r>
      <w:r>
        <w:rPr>
          <w:rFonts w:hint="eastAsia" w:ascii="宋体" w:hAnsi="宋体" w:eastAsia="宋体" w:cs="宋体"/>
          <w:b/>
          <w:bCs/>
          <w:color w:val="auto"/>
          <w:sz w:val="36"/>
          <w:szCs w:val="21"/>
          <w:highlight w:val="none"/>
          <w:lang w:val="en-US" w:eastAsia="zh-CN"/>
        </w:rPr>
        <w:t xml:space="preserve"> </w:t>
      </w:r>
      <w:r>
        <w:rPr>
          <w:rFonts w:hint="eastAsia" w:ascii="宋体" w:hAnsi="宋体" w:eastAsia="宋体" w:cs="宋体"/>
          <w:b/>
          <w:bCs/>
          <w:color w:val="auto"/>
          <w:sz w:val="36"/>
          <w:szCs w:val="21"/>
          <w:highlight w:val="none"/>
        </w:rPr>
        <w:t>通用合同条款</w:t>
      </w:r>
    </w:p>
    <w:p>
      <w:pPr>
        <w:pStyle w:val="5"/>
        <w:pageBreakBefore w:val="0"/>
        <w:kinsoku/>
        <w:wordWrap/>
        <w:overflowPunct/>
        <w:topLinePunct w:val="0"/>
        <w:bidi w:val="0"/>
        <w:spacing w:line="240" w:lineRule="auto"/>
        <w:jc w:val="center"/>
        <w:rPr>
          <w:rFonts w:ascii="华文中宋" w:hAnsi="华文中宋" w:eastAsia="华文中宋"/>
          <w:color w:val="auto"/>
          <w:sz w:val="44"/>
          <w:szCs w:val="44"/>
          <w:highlight w:val="none"/>
        </w:rPr>
      </w:pPr>
      <w:bookmarkStart w:id="132" w:name="_Toc23346"/>
      <w:r>
        <w:rPr>
          <w:rFonts w:hint="eastAsia" w:ascii="宋体" w:hAnsi="宋体" w:eastAsia="宋体" w:cs="宋体"/>
          <w:color w:val="auto"/>
          <w:highlight w:val="none"/>
        </w:rPr>
        <w:t>（略）</w:t>
      </w:r>
      <w:bookmarkEnd w:id="132"/>
    </w:p>
    <w:p>
      <w:pPr>
        <w:pStyle w:val="5"/>
        <w:pageBreakBefore w:val="0"/>
        <w:kinsoku/>
        <w:wordWrap/>
        <w:overflowPunct/>
        <w:topLinePunct w:val="0"/>
        <w:bidi w:val="0"/>
        <w:spacing w:line="240" w:lineRule="auto"/>
        <w:jc w:val="center"/>
        <w:rPr>
          <w:rFonts w:hint="eastAsia" w:ascii="宋体" w:hAnsi="宋体" w:eastAsia="宋体" w:cs="宋体"/>
          <w:color w:val="auto"/>
          <w:sz w:val="36"/>
          <w:szCs w:val="36"/>
          <w:highlight w:val="none"/>
        </w:rPr>
      </w:pPr>
      <w:bookmarkStart w:id="133" w:name="_Toc13374"/>
      <w:r>
        <w:rPr>
          <w:rFonts w:hint="eastAsia" w:ascii="宋体" w:hAnsi="宋体" w:eastAsia="宋体" w:cs="宋体"/>
          <w:color w:val="auto"/>
          <w:sz w:val="36"/>
          <w:szCs w:val="36"/>
          <w:highlight w:val="none"/>
        </w:rPr>
        <w:t>第三部分 专用合同条款</w:t>
      </w:r>
      <w:bookmarkEnd w:id="133"/>
    </w:p>
    <w:p>
      <w:pPr>
        <w:pStyle w:val="7"/>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 一般约定</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34" w:name="_Toc24876"/>
      <w:bookmarkStart w:id="135" w:name="_Toc21923"/>
      <w:bookmarkStart w:id="136" w:name="_Toc7266"/>
      <w:bookmarkStart w:id="137" w:name="_Toc27487"/>
      <w:r>
        <w:rPr>
          <w:rFonts w:hint="eastAsia" w:ascii="宋体" w:hAnsi="宋体" w:eastAsia="宋体" w:cs="宋体"/>
          <w:color w:val="auto"/>
          <w:sz w:val="21"/>
          <w:szCs w:val="21"/>
          <w:highlight w:val="none"/>
        </w:rPr>
        <w:t>1.1 词语定义</w:t>
      </w:r>
      <w:bookmarkEnd w:id="134"/>
      <w:bookmarkEnd w:id="135"/>
      <w:bookmarkEnd w:id="136"/>
      <w:bookmarkEnd w:id="137"/>
    </w:p>
    <w:p>
      <w:pPr>
        <w:pageBreakBefore w:val="0"/>
        <w:kinsoku/>
        <w:wordWrap/>
        <w:overflowPunct/>
        <w:topLinePunct w:val="0"/>
        <w:bidi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1.1.1合同</w:t>
      </w:r>
    </w:p>
    <w:p>
      <w:pPr>
        <w:pageBreakBefore w:val="0"/>
        <w:kinsoku/>
        <w:wordWrap/>
        <w:overflowPunct/>
        <w:topLinePunct w:val="0"/>
        <w:bidi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1.1.1.10其他合同文件包括：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 xml:space="preserve"> 执行通用条款</w:t>
      </w:r>
      <w:r>
        <w:rPr>
          <w:rFonts w:hint="eastAsia" w:ascii="宋体" w:hAnsi="宋体" w:eastAsia="宋体" w:cs="宋体"/>
          <w:color w:val="auto"/>
          <w:sz w:val="21"/>
          <w:szCs w:val="21"/>
          <w:highlight w:val="none"/>
          <w:u w:val="single"/>
        </w:rPr>
        <w:t xml:space="preserve">       </w:t>
      </w:r>
    </w:p>
    <w:p>
      <w:pPr>
        <w:pageBreakBefore w:val="0"/>
        <w:kinsoku/>
        <w:wordWrap/>
        <w:overflowPunct/>
        <w:topLinePunct w:val="0"/>
        <w:bidi w:val="0"/>
        <w:spacing w:line="240" w:lineRule="auto"/>
        <w:ind w:left="1650" w:hanging="1155" w:hangingChars="5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p>
    <w:p>
      <w:pPr>
        <w:pageBreakBefore w:val="0"/>
        <w:kinsoku/>
        <w:wordWrap/>
        <w:overflowPunct/>
        <w:topLinePunct w:val="0"/>
        <w:bidi w:val="0"/>
        <w:spacing w:line="240" w:lineRule="auto"/>
        <w:ind w:left="1650" w:hanging="1155" w:hangingChars="55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合同当事人及其他相关方</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1.1.2.4监理人：</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1.1.2.5 设计人：</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工程和设备</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1.1.3.7 作为施工现场组成部分的其他场所包括：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用于施工需要的临时占地</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1.1.3.9 永久占地包括：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无</w:t>
      </w:r>
      <w:r>
        <w:rPr>
          <w:rFonts w:hint="eastAsia" w:ascii="宋体" w:hAnsi="宋体" w:eastAsia="宋体" w:cs="宋体"/>
          <w:color w:val="auto"/>
          <w:sz w:val="21"/>
          <w:szCs w:val="21"/>
          <w:highlight w:val="none"/>
          <w:u w:val="single"/>
        </w:rPr>
        <w:t></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1.1.3.10 临时占地包括：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用于施工需要的临时占地</w:t>
      </w:r>
      <w:r>
        <w:rPr>
          <w:rFonts w:hint="eastAsia" w:ascii="宋体" w:hAnsi="宋体" w:eastAsia="宋体" w:cs="宋体"/>
          <w:color w:val="auto"/>
          <w:sz w:val="21"/>
          <w:szCs w:val="21"/>
          <w:highlight w:val="none"/>
          <w:u w:val="single"/>
        </w:rPr>
        <w:t></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1.3法律 </w:t>
      </w:r>
    </w:p>
    <w:p>
      <w:pPr>
        <w:pageBreakBefore w:val="0"/>
        <w:kinsoku/>
        <w:wordWrap/>
        <w:overflowPunct/>
        <w:topLinePunct w:val="0"/>
        <w:autoSpaceDE w:val="0"/>
        <w:autoSpaceDN w:val="0"/>
        <w:bidi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适用于合同的其他规范性文件：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执行</w:t>
      </w:r>
      <w:r>
        <w:rPr>
          <w:rFonts w:hint="eastAsia" w:ascii="宋体" w:hAnsi="宋体" w:cs="宋体"/>
          <w:color w:val="auto"/>
          <w:szCs w:val="21"/>
          <w:highlight w:val="none"/>
          <w:u w:val="single"/>
          <w:lang w:eastAsia="zh-CN"/>
        </w:rPr>
        <w:t>竞争性磋商文件</w:t>
      </w:r>
      <w:r>
        <w:rPr>
          <w:rFonts w:hint="eastAsia" w:ascii="宋体" w:hAnsi="宋体" w:eastAsia="宋体" w:cs="宋体"/>
          <w:color w:val="auto"/>
          <w:szCs w:val="21"/>
          <w:highlight w:val="none"/>
          <w:u w:val="single"/>
        </w:rPr>
        <w:t>及通用条款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标准和规范</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1.4.1适用于工程的标准规范包括：</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执行</w:t>
      </w:r>
      <w:r>
        <w:rPr>
          <w:rFonts w:hint="eastAsia" w:ascii="宋体" w:hAnsi="宋体" w:cs="宋体"/>
          <w:color w:val="auto"/>
          <w:szCs w:val="21"/>
          <w:highlight w:val="none"/>
          <w:u w:val="single"/>
          <w:lang w:eastAsia="zh-CN"/>
        </w:rPr>
        <w:t>竞争性磋商文件</w:t>
      </w:r>
      <w:r>
        <w:rPr>
          <w:rFonts w:hint="eastAsia" w:ascii="宋体" w:hAnsi="宋体" w:eastAsia="宋体" w:cs="宋体"/>
          <w:color w:val="auto"/>
          <w:szCs w:val="21"/>
          <w:highlight w:val="none"/>
          <w:u w:val="single"/>
        </w:rPr>
        <w:t>及通用条款</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1.4.2 发包人提供国外标准、规范的名称：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eastAsia="zh-CN"/>
        </w:rPr>
        <w:t>无</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发包人提供国外标准、规范的份数：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lang w:eastAsia="zh-CN"/>
        </w:rPr>
        <w:t>无</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发包人提供国外标准、规范的名称：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lang w:eastAsia="zh-CN"/>
        </w:rPr>
        <w:t>无</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1.4.3发包人对工程的技术标准和功能要求的特殊要求：</w:t>
      </w:r>
      <w:r>
        <w:rPr>
          <w:rFonts w:hint="eastAsia" w:ascii="宋体" w:hAnsi="宋体" w:eastAsia="宋体" w:cs="宋体"/>
          <w:color w:val="auto"/>
          <w:kern w:val="0"/>
          <w:sz w:val="21"/>
          <w:szCs w:val="21"/>
          <w:highlight w:val="none"/>
          <w:u w:val="single"/>
          <w:lang w:eastAsia="zh-CN"/>
        </w:rPr>
        <w:t>无</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38" w:name="_Toc18402"/>
      <w:bookmarkStart w:id="139" w:name="_Toc13045"/>
      <w:bookmarkStart w:id="140" w:name="_Toc23870"/>
      <w:bookmarkStart w:id="141" w:name="_Toc23259"/>
      <w:r>
        <w:rPr>
          <w:rFonts w:hint="eastAsia" w:ascii="宋体" w:hAnsi="宋体" w:eastAsia="宋体" w:cs="宋体"/>
          <w:color w:val="auto"/>
          <w:sz w:val="21"/>
          <w:szCs w:val="21"/>
          <w:highlight w:val="none"/>
        </w:rPr>
        <w:t>1.5 合同文件的优先顺序</w:t>
      </w:r>
      <w:bookmarkEnd w:id="138"/>
      <w:bookmarkEnd w:id="139"/>
      <w:bookmarkEnd w:id="140"/>
      <w:bookmarkEnd w:id="141"/>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合同文件组成及优先顺序为：</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通知书；</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竞争性磋商文件</w:t>
      </w:r>
      <w:r>
        <w:rPr>
          <w:rFonts w:hint="eastAsia" w:ascii="宋体" w:hAnsi="宋体" w:eastAsia="宋体" w:cs="宋体"/>
          <w:color w:val="auto"/>
          <w:szCs w:val="21"/>
          <w:highlight w:val="none"/>
        </w:rPr>
        <w:t>；</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（3）合同协议书；</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（4）合同专用条款；</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（5）合同通用条款；</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cs="宋体"/>
          <w:color w:val="auto"/>
          <w:szCs w:val="21"/>
          <w:highlight w:val="none"/>
          <w:lang w:val="en-US" w:eastAsia="zh-CN"/>
        </w:rPr>
        <w:t>磋商</w:t>
      </w:r>
      <w:r>
        <w:rPr>
          <w:rFonts w:hint="eastAsia" w:ascii="宋体" w:hAnsi="宋体" w:cs="宋体"/>
          <w:color w:val="auto"/>
          <w:szCs w:val="21"/>
          <w:highlight w:val="none"/>
          <w:lang w:eastAsia="zh-CN"/>
        </w:rPr>
        <w:t>响应函</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（7）已标价的工程量清单；</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（8）列入合同的投标辅助资料。</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42" w:name="_Toc13879"/>
      <w:bookmarkStart w:id="143" w:name="_Toc22017"/>
      <w:bookmarkStart w:id="144" w:name="_Toc31059"/>
      <w:bookmarkStart w:id="145" w:name="_Toc12884"/>
      <w:r>
        <w:rPr>
          <w:rFonts w:hint="eastAsia" w:ascii="宋体" w:hAnsi="宋体" w:eastAsia="宋体" w:cs="宋体"/>
          <w:color w:val="auto"/>
          <w:sz w:val="21"/>
          <w:szCs w:val="21"/>
          <w:highlight w:val="none"/>
        </w:rPr>
        <w:t>1.6 图纸和承包人文件</w:t>
      </w:r>
      <w:bookmarkEnd w:id="142"/>
      <w:bookmarkEnd w:id="143"/>
      <w:bookmarkEnd w:id="144"/>
      <w:bookmarkEnd w:id="145"/>
      <w:r>
        <w:rPr>
          <w:rFonts w:hint="eastAsia" w:ascii="宋体" w:hAnsi="宋体" w:eastAsia="宋体" w:cs="宋体"/>
          <w:color w:val="auto"/>
          <w:sz w:val="21"/>
          <w:szCs w:val="21"/>
          <w:highlight w:val="none"/>
        </w:rPr>
        <w:tab/>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图纸的提供</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发包人向承包人提供图纸的期限：</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合同签订后三日内</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发包人向承包人提供图纸的内容：</w:t>
      </w:r>
      <w:r>
        <w:rPr>
          <w:rFonts w:hint="eastAsia" w:ascii="宋体" w:hAnsi="宋体" w:eastAsia="宋体" w:cs="宋体"/>
          <w:color w:val="auto"/>
          <w:szCs w:val="21"/>
          <w:highlight w:val="none"/>
          <w:u w:val="single"/>
        </w:rPr>
        <w:t>施工图以及图审意见回复变更通知书、图纸补疑文件等</w:t>
      </w:r>
      <w:r>
        <w:rPr>
          <w:rFonts w:hint="eastAsia" w:ascii="宋体" w:hAnsi="宋体" w:eastAsia="宋体" w:cs="宋体"/>
          <w:color w:val="auto"/>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发包人向承包人提供图纸的数量：</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Cs w:val="21"/>
          <w:highlight w:val="none"/>
          <w:u w:val="single"/>
        </w:rPr>
        <w:t xml:space="preserve">  贰套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 承包人文件</w:t>
      </w:r>
    </w:p>
    <w:p>
      <w:pPr>
        <w:pageBreakBefore w:val="0"/>
        <w:kinsoku/>
        <w:wordWrap/>
        <w:overflowPunct/>
        <w:topLinePunct w:val="0"/>
        <w:bidi w:val="0"/>
        <w:spacing w:line="240" w:lineRule="auto"/>
        <w:ind w:left="596" w:leftChars="28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需要由承包人提供的文件，包括：</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承包人提供的文件的期限为：</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Cs w:val="21"/>
          <w:highlight w:val="none"/>
          <w:u w:val="single"/>
        </w:rPr>
        <w:t xml:space="preserve"> 工程开工前3天</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承包人提供的文件的数量为：</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Cs w:val="21"/>
          <w:highlight w:val="none"/>
          <w:u w:val="single"/>
        </w:rPr>
        <w:t>叁份</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承包人提供的文件的形式为：</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 xml:space="preserve"> 纸质版两份，电子版一份</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发包人审批承包人文件的期限：</w:t>
      </w:r>
      <w:r>
        <w:rPr>
          <w:rFonts w:hint="eastAsia" w:ascii="宋体" w:hAnsi="宋体" w:eastAsia="宋体" w:cs="宋体"/>
          <w:color w:val="auto"/>
          <w:szCs w:val="21"/>
          <w:highlight w:val="none"/>
          <w:u w:val="single"/>
        </w:rPr>
        <w:t>承包人提交全部资料后七日内</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 现场图纸准备</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关于现场图纸准备的约定：</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46" w:name="_Toc8241"/>
      <w:bookmarkStart w:id="147" w:name="_Toc14830"/>
      <w:bookmarkStart w:id="148" w:name="_Toc19592"/>
      <w:bookmarkStart w:id="149" w:name="_Toc17217"/>
      <w:r>
        <w:rPr>
          <w:rFonts w:hint="eastAsia" w:ascii="宋体" w:hAnsi="宋体" w:eastAsia="宋体" w:cs="宋体"/>
          <w:color w:val="auto"/>
          <w:sz w:val="21"/>
          <w:szCs w:val="21"/>
          <w:highlight w:val="none"/>
        </w:rPr>
        <w:t>1.7 联络</w:t>
      </w:r>
      <w:bookmarkEnd w:id="146"/>
      <w:bookmarkEnd w:id="147"/>
      <w:bookmarkEnd w:id="148"/>
      <w:bookmarkEnd w:id="149"/>
    </w:p>
    <w:p>
      <w:pPr>
        <w:pageBreakBefore w:val="0"/>
        <w:kinsoku/>
        <w:wordWrap/>
        <w:overflowPunct/>
        <w:topLinePunct w:val="0"/>
        <w:bidi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1.7.1发包人和承包人应当在</w:t>
      </w:r>
      <w:r>
        <w:rPr>
          <w:rFonts w:hint="eastAsia" w:ascii="宋体" w:hAnsi="宋体" w:eastAsia="宋体" w:cs="宋体"/>
          <w:color w:val="auto"/>
          <w:sz w:val="21"/>
          <w:szCs w:val="21"/>
          <w:highlight w:val="none"/>
          <w:u w:val="single"/>
          <w:lang w:eastAsia="zh-CN"/>
        </w:rPr>
        <w:t>七</w:t>
      </w:r>
      <w:r>
        <w:rPr>
          <w:rFonts w:hint="eastAsia" w:ascii="宋体" w:hAnsi="宋体" w:eastAsia="宋体" w:cs="宋体"/>
          <w:color w:val="auto"/>
          <w:kern w:val="0"/>
          <w:sz w:val="21"/>
          <w:szCs w:val="21"/>
          <w:highlight w:val="none"/>
        </w:rPr>
        <w:t>天内将与合同有关的通知、批准、证明、证书、指示、指令、要求、请求、同意、意见、确定和决定等书面函件送达对方当事人。</w:t>
      </w:r>
    </w:p>
    <w:p>
      <w:pPr>
        <w:pageBreakBefore w:val="0"/>
        <w:kinsoku/>
        <w:wordWrap/>
        <w:overflowPunct/>
        <w:topLinePunct w:val="0"/>
        <w:bidi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1.7.2 发包人接收文件的地点：</w:t>
      </w:r>
      <w:r>
        <w:rPr>
          <w:rFonts w:hint="eastAsia" w:ascii="宋体" w:hAnsi="宋体" w:eastAsia="宋体" w:cs="宋体"/>
          <w:color w:val="auto"/>
          <w:sz w:val="21"/>
          <w:szCs w:val="21"/>
          <w:highlight w:val="none"/>
          <w:u w:val="single"/>
        </w:rPr>
        <w:t>     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发包人指定的接收人为：</w:t>
      </w:r>
      <w:r>
        <w:rPr>
          <w:rFonts w:hint="eastAsia" w:ascii="宋体" w:hAnsi="宋体" w:eastAsia="宋体" w:cs="宋体"/>
          <w:color w:val="auto"/>
          <w:sz w:val="21"/>
          <w:szCs w:val="21"/>
          <w:highlight w:val="none"/>
          <w:u w:val="single"/>
        </w:rPr>
        <w:t>          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承包人接收文件的地点：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施工现场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承包人指定的接收人为：</w:t>
      </w:r>
      <w:r>
        <w:rPr>
          <w:rFonts w:hint="eastAsia" w:ascii="宋体" w:hAnsi="宋体" w:eastAsia="宋体" w:cs="宋体"/>
          <w:color w:val="auto"/>
          <w:sz w:val="21"/>
          <w:szCs w:val="21"/>
          <w:highlight w:val="none"/>
          <w:u w:val="single"/>
        </w:rPr>
        <w:t> 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监理人接收文件的地点：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施工现场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监理人指定的接收人为：</w:t>
      </w:r>
      <w:r>
        <w:rPr>
          <w:rFonts w:hint="eastAsia" w:ascii="宋体" w:hAnsi="宋体" w:eastAsia="宋体" w:cs="宋体"/>
          <w:color w:val="auto"/>
          <w:sz w:val="21"/>
          <w:szCs w:val="21"/>
          <w:highlight w:val="none"/>
          <w:u w:val="single"/>
        </w:rPr>
        <w:t>          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50" w:name="_Toc8730"/>
      <w:bookmarkStart w:id="151" w:name="_Toc15291"/>
      <w:bookmarkStart w:id="152" w:name="_Toc4481"/>
      <w:bookmarkStart w:id="153" w:name="_Toc27888"/>
      <w:r>
        <w:rPr>
          <w:rFonts w:hint="eastAsia" w:ascii="宋体" w:hAnsi="宋体" w:eastAsia="宋体" w:cs="宋体"/>
          <w:color w:val="auto"/>
          <w:sz w:val="21"/>
          <w:szCs w:val="21"/>
          <w:highlight w:val="none"/>
        </w:rPr>
        <w:t>1.10 交通运输</w:t>
      </w:r>
      <w:bookmarkEnd w:id="150"/>
      <w:bookmarkEnd w:id="151"/>
      <w:bookmarkEnd w:id="152"/>
      <w:bookmarkEnd w:id="153"/>
    </w:p>
    <w:p>
      <w:pPr>
        <w:pageBreakBefore w:val="0"/>
        <w:kinsoku/>
        <w:wordWrap/>
        <w:overflowPunct/>
        <w:topLinePunct w:val="0"/>
        <w:bidi w:val="0"/>
        <w:spacing w:line="240" w:lineRule="auto"/>
        <w:ind w:firstLine="420" w:firstLineChars="200"/>
        <w:outlineLvl w:val="0"/>
        <w:rPr>
          <w:rFonts w:hint="eastAsia" w:ascii="宋体" w:hAnsi="宋体" w:eastAsia="宋体" w:cs="宋体"/>
          <w:color w:val="auto"/>
          <w:sz w:val="21"/>
          <w:szCs w:val="21"/>
          <w:highlight w:val="none"/>
        </w:rPr>
      </w:pPr>
      <w:bookmarkStart w:id="154" w:name="_Toc2418"/>
      <w:bookmarkStart w:id="155" w:name="_Toc26505"/>
      <w:bookmarkStart w:id="156" w:name="_Toc29914"/>
      <w:bookmarkStart w:id="157" w:name="_Toc9447"/>
      <w:r>
        <w:rPr>
          <w:rFonts w:hint="eastAsia" w:ascii="宋体" w:hAnsi="宋体" w:eastAsia="宋体" w:cs="宋体"/>
          <w:color w:val="auto"/>
          <w:sz w:val="21"/>
          <w:szCs w:val="21"/>
          <w:highlight w:val="none"/>
        </w:rPr>
        <w:t>1.10.1 出入现场的权利</w:t>
      </w:r>
      <w:bookmarkEnd w:id="154"/>
      <w:bookmarkEnd w:id="155"/>
      <w:bookmarkEnd w:id="156"/>
      <w:bookmarkEnd w:id="157"/>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关于出入现场的权利的约定：</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承包人应对出入施工现场的车辆进行管理，工程运输车辆应符合安庆市城市管理有关规定</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outlineLvl w:val="0"/>
        <w:rPr>
          <w:rFonts w:hint="eastAsia" w:ascii="宋体" w:hAnsi="宋体" w:eastAsia="宋体" w:cs="宋体"/>
          <w:color w:val="auto"/>
          <w:sz w:val="21"/>
          <w:szCs w:val="21"/>
          <w:highlight w:val="none"/>
        </w:rPr>
      </w:pPr>
      <w:bookmarkStart w:id="158" w:name="_Toc6024"/>
      <w:bookmarkStart w:id="159" w:name="_Toc10264"/>
      <w:bookmarkStart w:id="160" w:name="_Toc8371"/>
      <w:bookmarkStart w:id="161" w:name="_Toc12638"/>
      <w:r>
        <w:rPr>
          <w:rFonts w:hint="eastAsia" w:ascii="宋体" w:hAnsi="宋体" w:eastAsia="宋体" w:cs="宋体"/>
          <w:color w:val="auto"/>
          <w:sz w:val="21"/>
          <w:szCs w:val="21"/>
          <w:highlight w:val="none"/>
        </w:rPr>
        <w:t>1.10.3 场内交通</w:t>
      </w:r>
      <w:bookmarkEnd w:id="158"/>
      <w:bookmarkEnd w:id="159"/>
      <w:bookmarkEnd w:id="160"/>
      <w:bookmarkEnd w:id="161"/>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关于场外交通和场内交通的边界的约定：</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规划红线</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关于发包人向承包人免费提供满足工程施工需要的场内道路和交通设施的约定：</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不提供</w:t>
      </w:r>
      <w:r>
        <w:rPr>
          <w:rFonts w:hint="eastAsia" w:ascii="宋体" w:hAnsi="宋体" w:eastAsia="宋体" w:cs="宋体"/>
          <w:color w:val="auto"/>
          <w:sz w:val="21"/>
          <w:szCs w:val="21"/>
          <w:highlight w:val="none"/>
        </w:rPr>
        <w:t xml:space="preserve">。  </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1.10.4超大件和超重件的运输</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运输超大件或超重件所需的道路和桥梁临时加固改造费用和其他有关费用由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承担。</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62" w:name="_Toc14580"/>
      <w:bookmarkStart w:id="163" w:name="_Toc20090"/>
      <w:bookmarkStart w:id="164" w:name="_Toc11548"/>
      <w:bookmarkStart w:id="165" w:name="_Toc10302"/>
      <w:r>
        <w:rPr>
          <w:rFonts w:hint="eastAsia" w:ascii="宋体" w:hAnsi="宋体" w:eastAsia="宋体" w:cs="宋体"/>
          <w:color w:val="auto"/>
          <w:sz w:val="21"/>
          <w:szCs w:val="21"/>
          <w:highlight w:val="none"/>
        </w:rPr>
        <w:t>1.11 知识产权</w:t>
      </w:r>
      <w:bookmarkEnd w:id="162"/>
      <w:bookmarkEnd w:id="163"/>
      <w:bookmarkEnd w:id="164"/>
      <w:bookmarkEnd w:id="165"/>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关于发包人提供的上述文件的使用限制的要求：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 关于承包人为实施工程所编制文件的著作权的归属：</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关于承包人提供的上述文件的使用限制的要求：</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outlineLvl w:val="0"/>
        <w:rPr>
          <w:rFonts w:hint="eastAsia" w:ascii="宋体" w:hAnsi="宋体" w:eastAsia="宋体" w:cs="宋体"/>
          <w:color w:val="auto"/>
          <w:kern w:val="0"/>
          <w:sz w:val="21"/>
          <w:szCs w:val="21"/>
          <w:highlight w:val="none"/>
        </w:rPr>
      </w:pPr>
      <w:bookmarkStart w:id="166" w:name="_Toc19571"/>
      <w:bookmarkStart w:id="167" w:name="_Toc32068"/>
      <w:bookmarkStart w:id="168" w:name="_Toc717"/>
      <w:bookmarkStart w:id="169" w:name="_Toc18982"/>
      <w:r>
        <w:rPr>
          <w:rFonts w:hint="eastAsia" w:ascii="宋体" w:hAnsi="宋体" w:eastAsia="宋体" w:cs="宋体"/>
          <w:color w:val="auto"/>
          <w:sz w:val="21"/>
          <w:szCs w:val="21"/>
          <w:highlight w:val="none"/>
        </w:rPr>
        <w:t>1.11.4 承包人在施工过程中所采用的专利、专有技术、技术秘密的使用费的承担方式：</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bookmarkEnd w:id="166"/>
      <w:bookmarkEnd w:id="167"/>
      <w:bookmarkEnd w:id="168"/>
      <w:bookmarkEnd w:id="169"/>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1.13工程量清单错误的修正</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出现工程量清单错误时，是否调整合同价格：</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w:t>
      </w:r>
      <w:r>
        <w:rPr>
          <w:rFonts w:hint="eastAsia" w:ascii="宋体" w:hAnsi="宋体" w:cs="宋体"/>
          <w:color w:val="auto"/>
          <w:szCs w:val="21"/>
          <w:highlight w:val="none"/>
          <w:u w:val="single"/>
          <w:lang w:eastAsia="zh-CN"/>
        </w:rPr>
        <w:t>竞争性磋商文件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允许调整合同价格的工程量偏差范围：</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执行</w:t>
      </w:r>
      <w:r>
        <w:rPr>
          <w:rFonts w:hint="eastAsia" w:ascii="宋体" w:hAnsi="宋体" w:cs="宋体"/>
          <w:color w:val="auto"/>
          <w:szCs w:val="21"/>
          <w:highlight w:val="none"/>
          <w:u w:val="single"/>
          <w:lang w:eastAsia="zh-CN"/>
        </w:rPr>
        <w:t>竞争性磋商文件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7"/>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 发包人</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70" w:name="_Toc6535"/>
      <w:bookmarkStart w:id="171" w:name="_Toc15537"/>
      <w:bookmarkStart w:id="172" w:name="_Toc16291"/>
      <w:bookmarkStart w:id="173" w:name="_Toc20657"/>
      <w:r>
        <w:rPr>
          <w:rFonts w:hint="eastAsia" w:ascii="宋体" w:hAnsi="宋体" w:eastAsia="宋体" w:cs="宋体"/>
          <w:color w:val="auto"/>
          <w:sz w:val="21"/>
          <w:szCs w:val="21"/>
          <w:highlight w:val="none"/>
        </w:rPr>
        <w:t>2.2 发包人代表</w:t>
      </w:r>
      <w:bookmarkEnd w:id="170"/>
      <w:bookmarkEnd w:id="171"/>
      <w:bookmarkEnd w:id="172"/>
      <w:bookmarkEnd w:id="173"/>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发包人代表：</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 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发包人对发包人代表的授权范围如下：</w:t>
      </w:r>
      <w:r>
        <w:rPr>
          <w:rFonts w:hint="eastAsia" w:ascii="宋体" w:hAnsi="宋体" w:eastAsia="宋体" w:cs="宋体"/>
          <w:color w:val="auto"/>
          <w:szCs w:val="21"/>
          <w:highlight w:val="none"/>
          <w:u w:val="single"/>
        </w:rPr>
        <w:t>除设计变更、费用调整、工期延长及其他法律、法规和政策性规定须由发包人批准才能行使职权的事项外，其它执行</w:t>
      </w:r>
      <w:r>
        <w:rPr>
          <w:rFonts w:hint="eastAsia" w:ascii="宋体" w:hAnsi="宋体" w:cs="宋体"/>
          <w:color w:val="auto"/>
          <w:szCs w:val="21"/>
          <w:highlight w:val="none"/>
          <w:u w:val="single"/>
          <w:lang w:eastAsia="zh-CN"/>
        </w:rPr>
        <w:t>竞争性磋商文件</w:t>
      </w:r>
      <w:r>
        <w:rPr>
          <w:rFonts w:hint="eastAsia" w:ascii="宋体" w:hAnsi="宋体" w:eastAsia="宋体" w:cs="宋体"/>
          <w:color w:val="auto"/>
          <w:szCs w:val="21"/>
          <w:highlight w:val="none"/>
          <w:u w:val="single"/>
        </w:rPr>
        <w:t>及通用条款</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74" w:name="_Toc12298"/>
      <w:bookmarkStart w:id="175" w:name="_Toc6072"/>
      <w:bookmarkStart w:id="176" w:name="_Toc17040"/>
      <w:bookmarkStart w:id="177" w:name="_Toc1786"/>
      <w:r>
        <w:rPr>
          <w:rFonts w:hint="eastAsia" w:ascii="宋体" w:hAnsi="宋体" w:eastAsia="宋体" w:cs="宋体"/>
          <w:color w:val="auto"/>
          <w:sz w:val="21"/>
          <w:szCs w:val="21"/>
          <w:highlight w:val="none"/>
        </w:rPr>
        <w:t>2.4 施工现场、施工条件和基础资料的提供</w:t>
      </w:r>
      <w:bookmarkEnd w:id="174"/>
      <w:bookmarkEnd w:id="175"/>
      <w:bookmarkEnd w:id="176"/>
      <w:bookmarkEnd w:id="177"/>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 提供施工现场</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关于发包人移交施工现场的期限要求：</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提供施工条件</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关于发包人应负责提供施工所需要的条件，包括：</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78" w:name="_Toc2686"/>
      <w:bookmarkStart w:id="179" w:name="_Toc16645"/>
      <w:bookmarkStart w:id="180" w:name="_Toc12988"/>
      <w:bookmarkStart w:id="181" w:name="_Toc2716"/>
      <w:r>
        <w:rPr>
          <w:rFonts w:hint="eastAsia" w:ascii="宋体" w:hAnsi="宋体" w:eastAsia="宋体" w:cs="宋体"/>
          <w:color w:val="auto"/>
          <w:sz w:val="21"/>
          <w:szCs w:val="21"/>
          <w:highlight w:val="none"/>
        </w:rPr>
        <w:t>2.5 资金来源证明及支付担保</w:t>
      </w:r>
      <w:bookmarkEnd w:id="178"/>
      <w:bookmarkEnd w:id="179"/>
      <w:bookmarkEnd w:id="180"/>
      <w:bookmarkEnd w:id="181"/>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发包人提供资金来源证明的期限要求：</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不提供</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发包人是否提供支付担保：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不提供</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发包人提供支付担保的形式：</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不提供</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pPr>
        <w:pStyle w:val="7"/>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 承包人</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承包人的一般义务</w:t>
      </w:r>
    </w:p>
    <w:p>
      <w:pPr>
        <w:pageBreakBefore w:val="0"/>
        <w:kinsoku/>
        <w:wordWrap/>
        <w:overflowPunct/>
        <w:topLinePunct w:val="0"/>
        <w:bidi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w:t>
      </w:r>
      <w:r>
        <w:rPr>
          <w:rFonts w:hint="eastAsia" w:ascii="宋体" w:hAnsi="宋体" w:eastAsia="宋体" w:cs="宋体"/>
          <w:color w:val="auto"/>
          <w:sz w:val="21"/>
          <w:szCs w:val="21"/>
          <w:highlight w:val="none"/>
        </w:rPr>
        <w:t>承包人提交的竣工资料的内容：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竣工资料执行《建设工程文件归档规范》（GB/T50328-20</w:t>
      </w:r>
      <w:r>
        <w:rPr>
          <w:rFonts w:hint="eastAsia" w:ascii="宋体" w:hAnsi="宋体" w:eastAsia="宋体" w:cs="宋体"/>
          <w:color w:val="auto"/>
          <w:szCs w:val="21"/>
          <w:highlight w:val="none"/>
          <w:u w:val="single"/>
          <w:lang w:val="en-US" w:eastAsia="zh-CN"/>
        </w:rPr>
        <w:t>14</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2019年版</w:t>
      </w:r>
      <w:r>
        <w:rPr>
          <w:rFonts w:hint="eastAsia" w:ascii="宋体" w:hAnsi="宋体" w:cs="宋体"/>
          <w:color w:val="auto"/>
          <w:szCs w:val="21"/>
          <w:highlight w:val="none"/>
          <w:u w:val="single"/>
          <w:lang w:eastAsia="zh-CN"/>
        </w:rPr>
        <w:t>）</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承包人需要提交的竣工资料套数：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竣工图及资料各肆套并提供电子版一套</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left="638" w:leftChars="3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承包人提交的竣工资料的费用承担：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由承包人承担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left="638" w:leftChars="3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承包人提交的竣工资料移交时间：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竣工验收后15日内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承包人提交的竣工资料形式要求：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整理装订成册并签章的书面文件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（10）承包人应履行的其他义务：</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项目经理</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3.2.1 </w:t>
      </w:r>
      <w:r>
        <w:rPr>
          <w:rFonts w:hint="eastAsia" w:ascii="宋体" w:hAnsi="宋体" w:eastAsia="宋体" w:cs="宋体"/>
          <w:color w:val="auto"/>
          <w:sz w:val="21"/>
          <w:szCs w:val="21"/>
          <w:highlight w:val="none"/>
        </w:rPr>
        <w:t>项目经理：</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建造师执业资格等级：</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建造师注册证书号：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建造师执业印章号：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安全生产考核合格证书号：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承包人对项目经理的授权范围如下：</w:t>
      </w:r>
      <w:r>
        <w:rPr>
          <w:rFonts w:hint="eastAsia" w:ascii="宋体" w:hAnsi="宋体" w:eastAsia="宋体" w:cs="宋体"/>
          <w:color w:val="auto"/>
          <w:szCs w:val="21"/>
          <w:highlight w:val="none"/>
          <w:u w:val="single"/>
        </w:rPr>
        <w:t>负责施工现场的项目管理工程</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关于项目经理每月在施工现场的时间要求：</w:t>
      </w:r>
      <w:r>
        <w:rPr>
          <w:rFonts w:hint="eastAsia" w:ascii="宋体" w:hAnsi="宋体" w:eastAsia="宋体" w:cs="宋体"/>
          <w:color w:val="auto"/>
          <w:szCs w:val="21"/>
          <w:highlight w:val="none"/>
          <w:u w:val="single"/>
        </w:rPr>
        <w:t>项目经理应常驻施工现场，且每月在施工现场时间不得少于26天。项目经理确需离开施工现场时，应事先通知监理人，并取得发包人的书面同意</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承包人未提交劳动合同，以及没有为项目经理缴纳社会保险证明的违约责任：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由承包人自行解决</w:t>
      </w:r>
      <w:r>
        <w:rPr>
          <w:rFonts w:hint="eastAsia" w:ascii="宋体" w:hAnsi="宋体" w:eastAsia="宋体" w:cs="宋体"/>
          <w:color w:val="auto"/>
          <w:sz w:val="21"/>
          <w:szCs w:val="21"/>
          <w:highlight w:val="none"/>
        </w:rPr>
        <w:t>。</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rPr>
        <w:t>项目经理未经批准，擅自离开施工现场的违约责任：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项目经理要常驻施工现场，离开现场的须经发包人同意，并书面指定临时代表，代为行使项目经理权利，该临时代表的一切行为均认为是项目经理的行为。未经发包人批准，擅自离开施工现场，一经发现，每次扣罚2000元，工程建设期间发生三次以上（不含三次），发包人有权终止合同、履约保证金不予退还。</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3.2.3承包人擅自更换项目经理的违约责任：</w:t>
      </w:r>
      <w:r>
        <w:rPr>
          <w:rFonts w:hint="eastAsia" w:ascii="宋体" w:hAnsi="宋体" w:eastAsia="宋体" w:cs="宋体"/>
          <w:color w:val="auto"/>
          <w:szCs w:val="21"/>
          <w:highlight w:val="none"/>
          <w:u w:val="single"/>
        </w:rPr>
        <w:t>须提前14天通知发包人和监理人，并征得发包人的书面同意，更换后的项目经理资历、水平不</w:t>
      </w:r>
      <w:r>
        <w:rPr>
          <w:rFonts w:hint="eastAsia" w:ascii="宋体" w:hAnsi="宋体" w:eastAsia="宋体" w:cs="宋体"/>
          <w:color w:val="auto"/>
          <w:szCs w:val="21"/>
          <w:highlight w:val="none"/>
          <w:u w:val="single"/>
          <w:lang w:eastAsia="zh-CN"/>
        </w:rPr>
        <w:t>得</w:t>
      </w:r>
      <w:r>
        <w:rPr>
          <w:rFonts w:hint="eastAsia" w:ascii="宋体" w:hAnsi="宋体" w:eastAsia="宋体" w:cs="宋体"/>
          <w:color w:val="auto"/>
          <w:szCs w:val="21"/>
          <w:highlight w:val="none"/>
          <w:u w:val="single"/>
        </w:rPr>
        <w:t>降低。擅自更换项目经理将对承包人处以5000~20000元违约金处罚。</w:t>
      </w:r>
    </w:p>
    <w:p>
      <w:pPr>
        <w:pageBreakBefore w:val="0"/>
        <w:kinsoku/>
        <w:wordWrap/>
        <w:overflowPunct/>
        <w:topLinePunct w:val="0"/>
        <w:bidi w:val="0"/>
        <w:spacing w:line="240" w:lineRule="auto"/>
        <w:outlineLvl w:val="0"/>
        <w:rPr>
          <w:rFonts w:hint="eastAsia" w:ascii="宋体" w:hAnsi="宋体" w:eastAsia="宋体" w:cs="宋体"/>
          <w:color w:val="auto"/>
          <w:sz w:val="21"/>
          <w:szCs w:val="21"/>
          <w:highlight w:val="none"/>
        </w:rPr>
      </w:pPr>
      <w:bookmarkStart w:id="182" w:name="_Toc21855"/>
      <w:bookmarkStart w:id="183" w:name="_Toc9139"/>
      <w:r>
        <w:rPr>
          <w:rFonts w:hint="eastAsia" w:ascii="宋体" w:hAnsi="宋体" w:eastAsia="宋体" w:cs="宋体"/>
          <w:color w:val="auto"/>
          <w:szCs w:val="21"/>
          <w:highlight w:val="none"/>
        </w:rPr>
        <w:t>3.2.4承包人无正当理由拒绝更换项目经理的违约责任：</w:t>
      </w:r>
      <w:r>
        <w:rPr>
          <w:rFonts w:hint="eastAsia" w:ascii="宋体" w:hAnsi="宋体" w:eastAsia="宋体" w:cs="宋体"/>
          <w:color w:val="auto"/>
          <w:szCs w:val="21"/>
          <w:highlight w:val="none"/>
          <w:u w:val="single"/>
        </w:rPr>
        <w:t>将对承包人处以5000元~20000元违约金处罚。</w:t>
      </w:r>
      <w:bookmarkEnd w:id="182"/>
      <w:bookmarkEnd w:id="183"/>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承包人人员</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承包人提交项目管理机构及施工现场管理人员安排报告的期限：</w:t>
      </w:r>
      <w:r>
        <w:rPr>
          <w:rFonts w:hint="eastAsia" w:ascii="宋体" w:hAnsi="宋体" w:eastAsia="宋体" w:cs="宋体"/>
          <w:color w:val="auto"/>
          <w:szCs w:val="21"/>
          <w:highlight w:val="none"/>
          <w:u w:val="single"/>
        </w:rPr>
        <w:t>施工合同签订后3日内</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 承包人无正当理由拒绝撤换主要施工管理人员的违约责任：</w:t>
      </w:r>
      <w:r>
        <w:rPr>
          <w:rFonts w:hint="eastAsia" w:ascii="宋体" w:hAnsi="宋体" w:eastAsia="宋体" w:cs="宋体"/>
          <w:color w:val="auto"/>
          <w:szCs w:val="21"/>
          <w:highlight w:val="none"/>
          <w:u w:val="single"/>
        </w:rPr>
        <w:t>执行</w:t>
      </w:r>
      <w:r>
        <w:rPr>
          <w:rFonts w:hint="eastAsia" w:ascii="宋体" w:hAnsi="宋体" w:cs="宋体"/>
          <w:color w:val="auto"/>
          <w:szCs w:val="21"/>
          <w:highlight w:val="none"/>
          <w:u w:val="single"/>
          <w:lang w:eastAsia="zh-CN"/>
        </w:rPr>
        <w:t>竞争性磋商文件</w:t>
      </w:r>
      <w:r>
        <w:rPr>
          <w:rFonts w:hint="eastAsia" w:ascii="宋体" w:hAnsi="宋体" w:eastAsia="宋体" w:cs="宋体"/>
          <w:color w:val="auto"/>
          <w:szCs w:val="21"/>
          <w:highlight w:val="none"/>
          <w:u w:val="single"/>
        </w:rPr>
        <w:t>及通用条款</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3.3.4 承包人主要施工管理人员离开施工现场的批准要求：</w:t>
      </w:r>
      <w:r>
        <w:rPr>
          <w:rFonts w:hint="eastAsia" w:ascii="宋体" w:hAnsi="宋体" w:eastAsia="宋体" w:cs="宋体"/>
          <w:color w:val="auto"/>
          <w:szCs w:val="21"/>
          <w:highlight w:val="none"/>
          <w:u w:val="single"/>
        </w:rPr>
        <w:t>承包人主要施工管理人员应常驻现场，离开现场须经发包人或监理人同意，擅自离开的，一经发现，将按</w:t>
      </w:r>
      <w:r>
        <w:rPr>
          <w:rFonts w:hint="eastAsia" w:ascii="宋体" w:hAnsi="宋体" w:cs="宋体"/>
          <w:color w:val="auto"/>
          <w:szCs w:val="21"/>
          <w:highlight w:val="none"/>
          <w:u w:val="single"/>
          <w:lang w:eastAsia="zh-CN"/>
        </w:rPr>
        <w:t>竞争性磋商文件</w:t>
      </w:r>
      <w:r>
        <w:rPr>
          <w:rFonts w:hint="eastAsia" w:ascii="宋体" w:hAnsi="宋体" w:eastAsia="宋体" w:cs="宋体"/>
          <w:color w:val="auto"/>
          <w:szCs w:val="21"/>
          <w:highlight w:val="none"/>
          <w:u w:val="single"/>
        </w:rPr>
        <w:t>进行处罚</w:t>
      </w:r>
      <w:r>
        <w:rPr>
          <w:rFonts w:hint="eastAsia" w:ascii="宋体" w:hAnsi="宋体" w:eastAsia="宋体" w:cs="宋体"/>
          <w:color w:val="auto"/>
          <w:sz w:val="21"/>
          <w:szCs w:val="21"/>
          <w:highlight w:val="none"/>
        </w:rPr>
        <w:t>。</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3.3.5承包人擅自更换主要施工管理人员的违约责任：</w:t>
      </w:r>
      <w:r>
        <w:rPr>
          <w:rFonts w:hint="eastAsia" w:ascii="宋体" w:hAnsi="宋体" w:eastAsia="宋体" w:cs="宋体"/>
          <w:color w:val="auto"/>
          <w:szCs w:val="21"/>
          <w:highlight w:val="none"/>
          <w:u w:val="single"/>
        </w:rPr>
        <w:t>将对承包人处以警告处罚，情节严重处以2000元~50000元违约金处罚，直至解除合同。</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承包人主要施工管理人员擅自离开施工现场的违约责任：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 分包</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3.5.1 分包的一般约定</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禁止分包的工程包括：</w:t>
      </w:r>
      <w:r>
        <w:rPr>
          <w:rFonts w:hint="eastAsia" w:ascii="宋体" w:hAnsi="宋体" w:eastAsia="宋体" w:cs="宋体"/>
          <w:color w:val="auto"/>
          <w:sz w:val="21"/>
          <w:szCs w:val="21"/>
          <w:highlight w:val="none"/>
          <w:u w:val="single"/>
        </w:rPr>
        <w:t></w:t>
      </w:r>
      <w:r>
        <w:rPr>
          <w:rFonts w:hint="eastAsia" w:ascii="宋体" w:hAnsi="宋体" w:eastAsia="宋体" w:cs="宋体"/>
          <w:color w:val="auto"/>
          <w:szCs w:val="21"/>
          <w:highlight w:val="none"/>
          <w:u w:val="single"/>
        </w:rPr>
        <w:t>主体结构工程、关键性工作</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主体结构、关键性工作的范围：</w:t>
      </w:r>
      <w:r>
        <w:rPr>
          <w:rFonts w:hint="eastAsia" w:ascii="宋体" w:hAnsi="宋体" w:eastAsia="宋体" w:cs="宋体"/>
          <w:color w:val="auto"/>
          <w:szCs w:val="21"/>
          <w:highlight w:val="none"/>
          <w:u w:val="single"/>
        </w:rPr>
        <w:t>涉及承包人资质证书承包范围内的工程内容</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3.5.2分包的确定</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允许分包的专业工程包括：</w:t>
      </w:r>
      <w:r>
        <w:rPr>
          <w:rFonts w:hint="eastAsia" w:ascii="宋体" w:hAnsi="宋体" w:eastAsia="宋体" w:cs="宋体"/>
          <w:color w:val="auto"/>
          <w:szCs w:val="21"/>
          <w:highlight w:val="none"/>
          <w:u w:val="single"/>
        </w:rPr>
        <w:t>涉及承包人资质证书承包范围外的工程内容</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其他关于分包的约定：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3.5.4 分包合同价款</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关于分包合同价款支付的约定：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 工程照管与成品、半成品保护</w:t>
      </w:r>
    </w:p>
    <w:p>
      <w:pPr>
        <w:pageBreakBefore w:val="0"/>
        <w:kinsoku/>
        <w:wordWrap/>
        <w:overflowPunct/>
        <w:topLinePunct w:val="0"/>
        <w:bidi w:val="0"/>
        <w:spacing w:before="120" w:after="120" w:line="240" w:lineRule="auto"/>
        <w:ind w:firstLine="420" w:firstLineChars="20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承包人负责照管工程及工程相关的材料、工程设备的起始时间：</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 履约担保</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承包人是否提供履约担保：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提供</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承包人提供履约担保的形式、金额及期限的：</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kern w:val="0"/>
          <w:szCs w:val="21"/>
          <w:highlight w:val="none"/>
          <w:u w:val="single"/>
        </w:rPr>
        <w:t>承包人按</w:t>
      </w:r>
      <w:r>
        <w:rPr>
          <w:rFonts w:hint="eastAsia" w:ascii="宋体" w:hAnsi="宋体" w:cs="宋体"/>
          <w:bCs/>
          <w:color w:val="auto"/>
          <w:kern w:val="0"/>
          <w:szCs w:val="21"/>
          <w:highlight w:val="none"/>
          <w:u w:val="single"/>
          <w:lang w:val="en-US" w:eastAsia="zh-CN"/>
        </w:rPr>
        <w:t>竞争性磋商文件</w:t>
      </w:r>
      <w:r>
        <w:rPr>
          <w:rFonts w:hint="eastAsia" w:ascii="宋体" w:hAnsi="宋体" w:eastAsia="宋体" w:cs="宋体"/>
          <w:bCs/>
          <w:color w:val="auto"/>
          <w:kern w:val="0"/>
          <w:szCs w:val="21"/>
          <w:highlight w:val="none"/>
          <w:u w:val="single"/>
          <w:lang w:eastAsia="zh-CN"/>
        </w:rPr>
        <w:t>约定</w:t>
      </w:r>
      <w:r>
        <w:rPr>
          <w:rFonts w:hint="eastAsia" w:ascii="宋体" w:hAnsi="宋体" w:eastAsia="宋体" w:cs="宋体"/>
          <w:bCs/>
          <w:color w:val="auto"/>
          <w:kern w:val="0"/>
          <w:szCs w:val="21"/>
          <w:highlight w:val="none"/>
          <w:u w:val="single"/>
        </w:rPr>
        <w:t>向发包人提交履约担保</w:t>
      </w:r>
      <w:r>
        <w:rPr>
          <w:rFonts w:hint="eastAsia" w:ascii="宋体" w:hAnsi="宋体" w:eastAsia="宋体" w:cs="宋体"/>
          <w:color w:val="auto"/>
          <w:sz w:val="21"/>
          <w:szCs w:val="21"/>
          <w:highlight w:val="none"/>
        </w:rPr>
        <w:t>。</w:t>
      </w:r>
    </w:p>
    <w:p>
      <w:pPr>
        <w:pStyle w:val="7"/>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 监理人</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4.1监理人的一般规定</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详见监理合同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关于监理人的监理权限：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除设计变更、费用调整、工期延长及其他法律、法规和政策性规定须由发包人批准才能行使职权的事项外，其它执行</w:t>
      </w:r>
      <w:r>
        <w:rPr>
          <w:rFonts w:hint="eastAsia" w:ascii="宋体" w:hAnsi="宋体" w:cs="宋体"/>
          <w:color w:val="auto"/>
          <w:szCs w:val="21"/>
          <w:highlight w:val="none"/>
          <w:u w:val="single"/>
          <w:lang w:eastAsia="zh-CN"/>
        </w:rPr>
        <w:t>竞争性磋商文件</w:t>
      </w:r>
      <w:r>
        <w:rPr>
          <w:rFonts w:hint="eastAsia" w:ascii="宋体" w:hAnsi="宋体" w:eastAsia="宋体" w:cs="宋体"/>
          <w:color w:val="auto"/>
          <w:szCs w:val="21"/>
          <w:highlight w:val="none"/>
          <w:u w:val="single"/>
        </w:rPr>
        <w:t>及通用条款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关于监理人在施工现场的办公场所、生活场所的提供和费用承担的约定：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承包人为监理人提供办公场所一间</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监理人员</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监理工程师执业资格证书号：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关于监理人的其他约定：</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 商定或确定</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在发包人和承包人不能通过协商达成一致意见时，发包人授权监理人对以下事项进行确定：</w:t>
      </w:r>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7"/>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5. 工程质量</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84" w:name="_Toc1365"/>
      <w:bookmarkStart w:id="185" w:name="_Toc12030"/>
      <w:bookmarkStart w:id="186" w:name="_Toc1232"/>
      <w:r>
        <w:rPr>
          <w:rFonts w:hint="eastAsia" w:ascii="宋体" w:hAnsi="宋体" w:eastAsia="宋体" w:cs="宋体"/>
          <w:color w:val="auto"/>
          <w:sz w:val="21"/>
          <w:szCs w:val="21"/>
          <w:highlight w:val="none"/>
        </w:rPr>
        <w:t>5.1 质量要求</w:t>
      </w:r>
      <w:bookmarkEnd w:id="184"/>
      <w:bookmarkEnd w:id="185"/>
      <w:bookmarkEnd w:id="186"/>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 特殊质量标准和要求：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合格标准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关于工程奖项的约定：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87" w:name="_Toc10364"/>
      <w:bookmarkStart w:id="188" w:name="_Toc6613"/>
      <w:bookmarkStart w:id="189" w:name="_Toc15686"/>
      <w:bookmarkStart w:id="190" w:name="_Toc4426"/>
      <w:r>
        <w:rPr>
          <w:rFonts w:hint="eastAsia" w:ascii="宋体" w:hAnsi="宋体" w:eastAsia="宋体" w:cs="宋体"/>
          <w:color w:val="auto"/>
          <w:sz w:val="21"/>
          <w:szCs w:val="21"/>
          <w:highlight w:val="none"/>
        </w:rPr>
        <w:t>5.3 隐蔽工程检查</w:t>
      </w:r>
      <w:bookmarkEnd w:id="187"/>
      <w:bookmarkEnd w:id="188"/>
      <w:bookmarkEnd w:id="189"/>
      <w:bookmarkEnd w:id="190"/>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5.3.2承包人提前通知监理人隐蔽工程检查的期限的约定：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执行通用条款</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监理人不能按时进行检查时，应提前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小时提交书面延期要求。</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48</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w:t>
      </w:r>
    </w:p>
    <w:p>
      <w:pPr>
        <w:pStyle w:val="7"/>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6. 安全文明施工与环境保护</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6.1安全文明施工</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 项目安全生产的达标目标及相应事项的约定：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6.1.4 关于治安保卫的特别约定：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关于编制施工场地治安管理计划的约定：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6.1.5 文明施工</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合同当事人对文明施工的要求：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执行国家、省、市有关规定，确保文明施工</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6.1.6 关于安全文明施工费支付比例和支付期限的约定：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与工程进度款同期支付</w:t>
      </w:r>
      <w:r>
        <w:rPr>
          <w:rFonts w:hint="eastAsia" w:ascii="宋体" w:hAnsi="宋体" w:eastAsia="宋体" w:cs="宋体"/>
          <w:color w:val="auto"/>
          <w:sz w:val="21"/>
          <w:szCs w:val="21"/>
          <w:highlight w:val="none"/>
        </w:rPr>
        <w:t>。</w:t>
      </w:r>
    </w:p>
    <w:p>
      <w:pPr>
        <w:pStyle w:val="7"/>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7. 工期和进度</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 施工组织设计</w:t>
      </w:r>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7.1.1 合</w:t>
      </w:r>
      <w:r>
        <w:rPr>
          <w:rFonts w:hint="eastAsia" w:ascii="宋体" w:hAnsi="宋体" w:eastAsia="宋体" w:cs="宋体"/>
          <w:color w:val="auto"/>
          <w:kern w:val="0"/>
          <w:sz w:val="21"/>
          <w:szCs w:val="21"/>
          <w:highlight w:val="none"/>
        </w:rPr>
        <w:t>同当事人约定的施工组织设计应包括的其他内容：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执行通用条款</w:t>
      </w:r>
      <w:r>
        <w:rPr>
          <w:rFonts w:hint="eastAsia" w:ascii="宋体" w:hAnsi="宋体" w:eastAsia="宋体" w:cs="宋体"/>
          <w:color w:val="auto"/>
          <w:sz w:val="21"/>
          <w:szCs w:val="21"/>
          <w:highlight w:val="none"/>
        </w:rPr>
        <w:t>。</w:t>
      </w:r>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7.1.2 </w:t>
      </w:r>
      <w:r>
        <w:rPr>
          <w:rFonts w:hint="eastAsia" w:ascii="宋体" w:hAnsi="宋体" w:eastAsia="宋体" w:cs="宋体"/>
          <w:color w:val="auto"/>
          <w:kern w:val="0"/>
          <w:sz w:val="21"/>
          <w:szCs w:val="21"/>
          <w:highlight w:val="none"/>
        </w:rPr>
        <w:t>施工组织设计的提交和修改</w:t>
      </w:r>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承包人提交详细施工组织设计的期限的约定：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发包人和监理人在收到详细的施工组织设计后确认或提出修改意见的期限：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 施工进度计划</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 施工进度计划的修订</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发包人和监理人在收到修订的施工进度计划后确认或提出修改意见的期限：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 开工</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开工准备</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关于承包人提交</w:t>
      </w:r>
      <w:r>
        <w:rPr>
          <w:rFonts w:hint="eastAsia" w:ascii="宋体" w:hAnsi="宋体" w:eastAsia="宋体" w:cs="宋体"/>
          <w:color w:val="auto"/>
          <w:kern w:val="0"/>
          <w:sz w:val="21"/>
          <w:szCs w:val="21"/>
          <w:highlight w:val="none"/>
        </w:rPr>
        <w:t>工程开工报审表的期限：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关于发包人应完成的其他开工准备工作及期限：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关于承包人应完成的其他开工准备工作及期限：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7.3.2开工通知</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发包人应按照法律规定获得工程施工所需的许可。经发包人同意后，监理人发出的开工通知应符合法律规定。监理人应在计划开工日期7天前向承包人发出开工通知，工期以开工通知中的开工日期起算</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 测量放线</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7.4.1发包人通过监理人向承包人提供测量基准点、基准线和水准点及其书面资料的期限：</w:t>
      </w:r>
      <w:r>
        <w:rPr>
          <w:rFonts w:hint="eastAsia" w:ascii="宋体" w:hAnsi="宋体" w:eastAsia="宋体" w:cs="宋体"/>
          <w:color w:val="auto"/>
          <w:szCs w:val="21"/>
          <w:highlight w:val="none"/>
          <w:u w:val="single"/>
        </w:rPr>
        <w:t>7日内</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 工期延误</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7.5.1 因发包人原因导致工期延误</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（7）因发包人原因导致工期延误的其他情形：</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7.5.2 因承包人原因导致工期延误</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因承包人原因造成工期延误，逾期竣工违约金的计算方法为：</w:t>
      </w:r>
      <w:r>
        <w:rPr>
          <w:rFonts w:hint="eastAsia" w:ascii="宋体" w:hAnsi="宋体" w:eastAsia="宋体" w:cs="宋体"/>
          <w:color w:val="auto"/>
          <w:szCs w:val="21"/>
          <w:highlight w:val="none"/>
          <w:u w:val="single"/>
        </w:rPr>
        <w:t>每延期竣工一天，承包人支付发包人合同价款的万分之三的违约金；违约金最高限额为合同价款的6%。延期竣工</w:t>
      </w:r>
      <w:r>
        <w:rPr>
          <w:rFonts w:hint="eastAsia" w:ascii="宋体" w:hAnsi="宋体" w:cs="宋体"/>
          <w:color w:val="auto"/>
          <w:szCs w:val="21"/>
          <w:highlight w:val="none"/>
          <w:u w:val="single"/>
          <w:lang w:val="en-US" w:eastAsia="zh-CN"/>
        </w:rPr>
        <w:t>1周</w:t>
      </w:r>
      <w:r>
        <w:rPr>
          <w:rFonts w:hint="eastAsia" w:ascii="宋体" w:hAnsi="宋体" w:eastAsia="宋体" w:cs="宋体"/>
          <w:color w:val="auto"/>
          <w:szCs w:val="21"/>
          <w:highlight w:val="none"/>
          <w:u w:val="single"/>
        </w:rPr>
        <w:t>上的，发包人有权解除合同并追究连带损失</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因承包人原因造成工期延误，逾</w:t>
      </w:r>
      <w:bookmarkStart w:id="191" w:name="_Toc312678014"/>
      <w:bookmarkStart w:id="192" w:name="_Toc318581171"/>
      <w:r>
        <w:rPr>
          <w:rFonts w:hint="eastAsia" w:ascii="宋体" w:hAnsi="宋体" w:eastAsia="宋体" w:cs="宋体"/>
          <w:color w:val="auto"/>
          <w:sz w:val="21"/>
          <w:szCs w:val="21"/>
          <w:highlight w:val="none"/>
        </w:rPr>
        <w:t>期竣工违约金的上限：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191"/>
    <w:bookmarkEnd w:id="192"/>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 不利物质条件</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不利物质条件的其他情形和有关约定：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7.7异常恶劣的气候条件</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发包人和承包人同意以下情形视为异常恶劣的气候条件：</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（1）战争、动乱、空中飞行物体坠落或其他非发包人承包人责任造成的爆炸、火灾；</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（2）四级以上地震，连续四日日降雨量100mm以上的天气及其他天灾；</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（3）其它执行通用合同条款。</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93" w:name="_Toc25487"/>
      <w:bookmarkStart w:id="194" w:name="_Toc803"/>
      <w:bookmarkStart w:id="195" w:name="_Toc22791"/>
      <w:bookmarkStart w:id="196" w:name="_Toc27866"/>
      <w:r>
        <w:rPr>
          <w:rFonts w:hint="eastAsia" w:ascii="宋体" w:hAnsi="宋体" w:eastAsia="宋体" w:cs="宋体"/>
          <w:color w:val="auto"/>
          <w:sz w:val="21"/>
          <w:szCs w:val="21"/>
          <w:highlight w:val="none"/>
        </w:rPr>
        <w:t>7.9 提前竣工的奖励</w:t>
      </w:r>
      <w:bookmarkEnd w:id="193"/>
      <w:bookmarkEnd w:id="194"/>
      <w:bookmarkEnd w:id="195"/>
      <w:bookmarkEnd w:id="196"/>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7.9.2提前竣工的奖励：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7"/>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8. 材料与设备</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8.4材料与工程设备的保管与使用</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8.4.1发包人供应的材料设备的保管费用的承担：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197" w:name="_Toc3274"/>
      <w:bookmarkStart w:id="198" w:name="_Toc3767"/>
      <w:bookmarkStart w:id="199" w:name="_Toc2348"/>
      <w:bookmarkStart w:id="200" w:name="_Toc652"/>
      <w:r>
        <w:rPr>
          <w:rFonts w:hint="eastAsia" w:ascii="宋体" w:hAnsi="宋体" w:eastAsia="宋体" w:cs="宋体"/>
          <w:color w:val="auto"/>
          <w:sz w:val="21"/>
          <w:szCs w:val="21"/>
          <w:highlight w:val="none"/>
        </w:rPr>
        <w:t>8.6 样品</w:t>
      </w:r>
      <w:bookmarkEnd w:id="197"/>
      <w:bookmarkEnd w:id="198"/>
      <w:bookmarkEnd w:id="199"/>
      <w:bookmarkEnd w:id="200"/>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8.6.1样品的报送与封存</w:t>
      </w:r>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需要承包人报送样品的材料或工程设备，样品的种类、名称、规格、数量要求：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201" w:name="_Toc6426"/>
      <w:bookmarkStart w:id="202" w:name="_Toc24386"/>
      <w:bookmarkStart w:id="203" w:name="_Toc7369"/>
      <w:bookmarkStart w:id="204" w:name="_Toc26592"/>
      <w:r>
        <w:rPr>
          <w:rFonts w:hint="eastAsia" w:ascii="宋体" w:hAnsi="宋体" w:eastAsia="宋体" w:cs="宋体"/>
          <w:color w:val="auto"/>
          <w:sz w:val="21"/>
          <w:szCs w:val="21"/>
          <w:highlight w:val="none"/>
        </w:rPr>
        <w:t>8.8 施工设备和临时设施</w:t>
      </w:r>
      <w:bookmarkEnd w:id="201"/>
      <w:bookmarkEnd w:id="202"/>
      <w:bookmarkEnd w:id="203"/>
      <w:bookmarkEnd w:id="204"/>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8.8.1 承包人提供的施工设备和临时设施</w:t>
      </w:r>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关于修建临时设施费用承担的约定：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7"/>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9. 试验与检验</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9.1试验设备与试验人员</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9.1.2 试验设备</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Cs w:val="21"/>
          <w:highlight w:val="none"/>
        </w:rPr>
        <w:t>施工现场需要配置的试验场所：</w:t>
      </w:r>
      <w:r>
        <w:rPr>
          <w:rFonts w:hint="eastAsia" w:ascii="宋体" w:hAnsi="宋体" w:eastAsia="宋体" w:cs="宋体"/>
          <w:color w:val="auto"/>
          <w:szCs w:val="21"/>
          <w:highlight w:val="none"/>
          <w:u w:val="single"/>
        </w:rPr>
        <w:t>承包人自行解决，费用自理。</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Cs w:val="21"/>
          <w:highlight w:val="none"/>
        </w:rPr>
        <w:t>施工现场需要配备的试验设备：</w:t>
      </w:r>
      <w:r>
        <w:rPr>
          <w:rFonts w:hint="eastAsia" w:ascii="宋体" w:hAnsi="宋体" w:eastAsia="宋体" w:cs="宋体"/>
          <w:color w:val="auto"/>
          <w:szCs w:val="21"/>
          <w:highlight w:val="none"/>
          <w:u w:val="single"/>
        </w:rPr>
        <w:t>承包人自行解决，费用自理。</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Cs w:val="21"/>
          <w:highlight w:val="none"/>
          <w:u w:val="single"/>
        </w:rPr>
      </w:pPr>
      <w:bookmarkStart w:id="205" w:name="_Toc1869"/>
      <w:bookmarkStart w:id="206" w:name="_Toc23114"/>
      <w:bookmarkStart w:id="207" w:name="_Toc9705"/>
      <w:bookmarkStart w:id="208" w:name="_Toc5600"/>
      <w:r>
        <w:rPr>
          <w:rFonts w:hint="eastAsia" w:ascii="宋体" w:hAnsi="宋体" w:eastAsia="宋体" w:cs="宋体"/>
          <w:color w:val="auto"/>
          <w:szCs w:val="21"/>
          <w:highlight w:val="none"/>
        </w:rPr>
        <w:t>施工现场需要具备的其他试验条件：</w:t>
      </w:r>
      <w:r>
        <w:rPr>
          <w:rFonts w:hint="eastAsia" w:ascii="宋体" w:hAnsi="宋体" w:eastAsia="宋体" w:cs="宋体"/>
          <w:color w:val="auto"/>
          <w:szCs w:val="21"/>
          <w:highlight w:val="none"/>
          <w:u w:val="single"/>
        </w:rPr>
        <w:t>承包人自行解决，费用自理。</w:t>
      </w:r>
      <w:bookmarkEnd w:id="205"/>
      <w:bookmarkEnd w:id="206"/>
      <w:bookmarkEnd w:id="207"/>
      <w:bookmarkEnd w:id="208"/>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209" w:name="_Toc9596"/>
      <w:bookmarkStart w:id="210" w:name="_Toc2789"/>
      <w:bookmarkStart w:id="211" w:name="_Toc13832"/>
      <w:bookmarkStart w:id="212" w:name="_Toc6064"/>
      <w:r>
        <w:rPr>
          <w:rFonts w:hint="eastAsia" w:ascii="宋体" w:hAnsi="宋体" w:eastAsia="宋体" w:cs="宋体"/>
          <w:color w:val="auto"/>
          <w:sz w:val="21"/>
          <w:szCs w:val="21"/>
          <w:highlight w:val="none"/>
        </w:rPr>
        <w:t>9.4 现场工艺试验</w:t>
      </w:r>
      <w:bookmarkEnd w:id="209"/>
      <w:bookmarkEnd w:id="210"/>
      <w:bookmarkEnd w:id="211"/>
      <w:bookmarkEnd w:id="212"/>
      <w:r>
        <w:rPr>
          <w:rFonts w:hint="eastAsia" w:ascii="宋体" w:hAnsi="宋体" w:eastAsia="宋体" w:cs="宋体"/>
          <w:color w:val="auto"/>
          <w:sz w:val="21"/>
          <w:szCs w:val="21"/>
          <w:highlight w:val="none"/>
        </w:rPr>
        <w:t xml:space="preserve"> </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现场工艺试验的有关约定：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7"/>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10. 变更</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10.1变更的范围</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关于变更的范围的约定：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w:t>
      </w:r>
      <w:r>
        <w:rPr>
          <w:rFonts w:hint="eastAsia" w:ascii="宋体" w:hAnsi="宋体" w:cs="宋体"/>
          <w:color w:val="auto"/>
          <w:szCs w:val="21"/>
          <w:highlight w:val="none"/>
          <w:u w:val="single"/>
          <w:lang w:eastAsia="zh-CN"/>
        </w:rPr>
        <w:t>竞争性磋商文件</w:t>
      </w:r>
      <w:r>
        <w:rPr>
          <w:rFonts w:hint="eastAsia" w:ascii="宋体" w:hAnsi="宋体" w:eastAsia="宋体" w:cs="宋体"/>
          <w:color w:val="auto"/>
          <w:szCs w:val="21"/>
          <w:highlight w:val="none"/>
          <w:u w:val="single"/>
        </w:rPr>
        <w:t>及通用条款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213" w:name="_Toc27145"/>
      <w:bookmarkStart w:id="214" w:name="_Toc7399"/>
      <w:bookmarkStart w:id="215" w:name="_Toc27754"/>
      <w:bookmarkStart w:id="216" w:name="_Toc11843"/>
      <w:r>
        <w:rPr>
          <w:rFonts w:hint="eastAsia" w:ascii="宋体" w:hAnsi="宋体" w:eastAsia="宋体" w:cs="宋体"/>
          <w:color w:val="auto"/>
          <w:sz w:val="21"/>
          <w:szCs w:val="21"/>
          <w:highlight w:val="none"/>
        </w:rPr>
        <w:t>10.4 变更估价</w:t>
      </w:r>
      <w:bookmarkEnd w:id="213"/>
      <w:bookmarkEnd w:id="214"/>
      <w:bookmarkEnd w:id="215"/>
      <w:bookmarkEnd w:id="216"/>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10.4.1 变更估价原则</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关于变更估价的约定: </w:t>
      </w:r>
      <w:r>
        <w:rPr>
          <w:rFonts w:hint="eastAsia" w:ascii="宋体" w:hAnsi="宋体" w:eastAsia="宋体" w:cs="宋体"/>
          <w:color w:val="auto"/>
          <w:sz w:val="21"/>
          <w:szCs w:val="21"/>
          <w:highlight w:val="none"/>
          <w:u w:val="single"/>
        </w:rPr>
        <w:t xml:space="preserve"> （1）合同价中已有适用的综合单价，按</w:t>
      </w:r>
      <w:r>
        <w:rPr>
          <w:rFonts w:hint="eastAsia" w:ascii="宋体" w:hAnsi="宋体" w:cs="宋体"/>
          <w:color w:val="auto"/>
          <w:sz w:val="21"/>
          <w:szCs w:val="21"/>
          <w:highlight w:val="none"/>
          <w:u w:val="single"/>
          <w:lang w:eastAsia="zh-CN"/>
        </w:rPr>
        <w:t>最高磋商限价</w:t>
      </w:r>
      <w:r>
        <w:rPr>
          <w:rFonts w:hint="eastAsia" w:ascii="宋体" w:hAnsi="宋体" w:eastAsia="宋体" w:cs="宋体"/>
          <w:color w:val="auto"/>
          <w:sz w:val="21"/>
          <w:szCs w:val="21"/>
          <w:highlight w:val="none"/>
          <w:u w:val="single"/>
        </w:rPr>
        <w:t>中的子目综合单价结合下浮率计算结算价款；（2）合同价中有类似的综合单价，参照</w:t>
      </w:r>
      <w:r>
        <w:rPr>
          <w:rFonts w:hint="eastAsia" w:ascii="宋体" w:hAnsi="宋体" w:cs="宋体"/>
          <w:color w:val="auto"/>
          <w:sz w:val="21"/>
          <w:szCs w:val="21"/>
          <w:highlight w:val="none"/>
          <w:u w:val="single"/>
          <w:lang w:eastAsia="zh-CN"/>
        </w:rPr>
        <w:t>最高磋商限价</w:t>
      </w:r>
      <w:r>
        <w:rPr>
          <w:rFonts w:hint="eastAsia" w:ascii="宋体" w:hAnsi="宋体" w:eastAsia="宋体" w:cs="宋体"/>
          <w:color w:val="auto"/>
          <w:sz w:val="21"/>
          <w:szCs w:val="21"/>
          <w:highlight w:val="none"/>
          <w:u w:val="single"/>
        </w:rPr>
        <w:t>中的子目综合单价结合下浮率计算结算价款；（3）合同价中没有适用或类似的综合单价，由承包人根据</w:t>
      </w:r>
      <w:r>
        <w:rPr>
          <w:rFonts w:hint="eastAsia" w:ascii="宋体" w:hAnsi="宋体" w:cs="宋体"/>
          <w:color w:val="auto"/>
          <w:sz w:val="21"/>
          <w:szCs w:val="21"/>
          <w:highlight w:val="none"/>
          <w:u w:val="single"/>
          <w:lang w:eastAsia="zh-CN"/>
        </w:rPr>
        <w:t>最高磋商限价</w:t>
      </w:r>
      <w:r>
        <w:rPr>
          <w:rFonts w:hint="eastAsia" w:ascii="宋体" w:hAnsi="宋体" w:eastAsia="宋体" w:cs="宋体"/>
          <w:color w:val="auto"/>
          <w:sz w:val="21"/>
          <w:szCs w:val="21"/>
          <w:highlight w:val="none"/>
          <w:u w:val="single"/>
        </w:rPr>
        <w:t>编制依据中的计价原则规定提出适当的综合单价，经发包人或其委托的工程造价咨询单位审定后作为结算依据，</w:t>
      </w:r>
      <w:r>
        <w:rPr>
          <w:rFonts w:hint="eastAsia" w:ascii="宋体" w:hAnsi="宋体" w:eastAsia="宋体" w:cs="宋体"/>
          <w:color w:val="auto"/>
          <w:szCs w:val="21"/>
          <w:highlight w:val="none"/>
          <w:u w:val="single"/>
        </w:rPr>
        <w:t>该综合单价需乘以（1-下浮率）作为实际结算综合单价予以结算，最终结算价以</w:t>
      </w:r>
      <w:r>
        <w:rPr>
          <w:rFonts w:hint="eastAsia" w:ascii="宋体" w:hAnsi="宋体" w:eastAsia="宋体" w:cs="宋体"/>
          <w:color w:val="auto"/>
          <w:sz w:val="21"/>
          <w:szCs w:val="21"/>
          <w:highlight w:val="none"/>
          <w:u w:val="single"/>
        </w:rPr>
        <w:t>发包人或其委托的</w:t>
      </w:r>
      <w:r>
        <w:rPr>
          <w:rFonts w:hint="eastAsia" w:ascii="宋体" w:hAnsi="宋体" w:eastAsia="宋体" w:cs="宋体"/>
          <w:color w:val="auto"/>
          <w:sz w:val="21"/>
          <w:szCs w:val="21"/>
          <w:highlight w:val="none"/>
          <w:u w:val="single"/>
          <w:lang w:eastAsia="zh-CN"/>
        </w:rPr>
        <w:t>其他机构</w:t>
      </w:r>
      <w:r>
        <w:rPr>
          <w:rFonts w:hint="eastAsia" w:ascii="宋体" w:hAnsi="宋体" w:eastAsia="宋体" w:cs="宋体"/>
          <w:color w:val="auto"/>
          <w:szCs w:val="21"/>
          <w:highlight w:val="none"/>
          <w:u w:val="single"/>
        </w:rPr>
        <w:t>审定价为准。其中下浮率=[1-（</w:t>
      </w:r>
      <w:r>
        <w:rPr>
          <w:rFonts w:hint="eastAsia" w:ascii="宋体" w:hAnsi="宋体" w:cs="宋体"/>
          <w:color w:val="auto"/>
          <w:szCs w:val="21"/>
          <w:highlight w:val="none"/>
          <w:u w:val="single"/>
          <w:lang w:eastAsia="zh-CN"/>
        </w:rPr>
        <w:t>成交</w:t>
      </w:r>
      <w:r>
        <w:rPr>
          <w:rFonts w:hint="eastAsia" w:ascii="宋体" w:hAnsi="宋体" w:eastAsia="宋体" w:cs="宋体"/>
          <w:color w:val="auto"/>
          <w:szCs w:val="21"/>
          <w:highlight w:val="none"/>
          <w:u w:val="single"/>
        </w:rPr>
        <w:t>人的</w:t>
      </w:r>
      <w:r>
        <w:rPr>
          <w:rFonts w:hint="eastAsia" w:ascii="宋体" w:hAnsi="宋体" w:cs="宋体"/>
          <w:color w:val="auto"/>
          <w:szCs w:val="21"/>
          <w:highlight w:val="none"/>
          <w:u w:val="single"/>
          <w:lang w:eastAsia="zh-CN"/>
        </w:rPr>
        <w:t>成交</w:t>
      </w:r>
      <w:r>
        <w:rPr>
          <w:rFonts w:hint="eastAsia" w:ascii="宋体" w:hAnsi="宋体" w:eastAsia="宋体" w:cs="宋体"/>
          <w:color w:val="auto"/>
          <w:szCs w:val="21"/>
          <w:highlight w:val="none"/>
          <w:u w:val="single"/>
        </w:rPr>
        <w:t>价-</w:t>
      </w:r>
      <w:r>
        <w:rPr>
          <w:rFonts w:hint="eastAsia" w:ascii="宋体" w:hAnsi="宋体" w:eastAsia="宋体" w:cs="宋体"/>
          <w:color w:val="auto"/>
          <w:szCs w:val="21"/>
          <w:highlight w:val="none"/>
          <w:u w:val="single"/>
          <w:lang w:eastAsia="zh-CN"/>
        </w:rPr>
        <w:t>暂列金额</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暂估价</w:t>
      </w:r>
      <w:r>
        <w:rPr>
          <w:rFonts w:hint="eastAsia" w:ascii="宋体" w:hAnsi="宋体" w:eastAsia="宋体" w:cs="宋体"/>
          <w:color w:val="auto"/>
          <w:szCs w:val="21"/>
          <w:highlight w:val="none"/>
          <w:u w:val="single"/>
        </w:rPr>
        <w:t>）/（</w:t>
      </w:r>
      <w:r>
        <w:rPr>
          <w:rFonts w:hint="eastAsia" w:ascii="宋体" w:hAnsi="宋体" w:cs="宋体"/>
          <w:color w:val="auto"/>
          <w:sz w:val="21"/>
          <w:szCs w:val="21"/>
          <w:highlight w:val="none"/>
          <w:u w:val="single"/>
          <w:lang w:eastAsia="zh-CN"/>
        </w:rPr>
        <w:t>最高磋商限价</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暂列金额</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暂估价</w:t>
      </w:r>
      <w:r>
        <w:rPr>
          <w:rFonts w:hint="eastAsia" w:ascii="宋体" w:hAnsi="宋体" w:eastAsia="宋体" w:cs="宋体"/>
          <w:color w:val="auto"/>
          <w:szCs w:val="21"/>
          <w:highlight w:val="none"/>
          <w:u w:val="single"/>
        </w:rPr>
        <w:t>）]×100%。</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10.5承包人的合理化建议</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监理人审查承包人合理化建议的期限：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发包人审批承包人合理化建议的期限：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承包人提出的合理化建议降低了合同价格或者提高了工程经济效益的奖励的方法和金额为：</w:t>
      </w:r>
      <w:r>
        <w:rPr>
          <w:rFonts w:hint="eastAsia" w:ascii="宋体" w:hAnsi="宋体" w:eastAsia="宋体" w:cs="宋体"/>
          <w:color w:val="auto"/>
          <w:szCs w:val="21"/>
          <w:highlight w:val="none"/>
          <w:u w:val="singl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217" w:name="_Toc8658"/>
      <w:bookmarkStart w:id="218" w:name="_Toc29382"/>
      <w:bookmarkStart w:id="219" w:name="_Toc3427"/>
      <w:bookmarkStart w:id="220" w:name="_Toc8978"/>
      <w:r>
        <w:rPr>
          <w:rFonts w:hint="eastAsia" w:ascii="宋体" w:hAnsi="宋体" w:eastAsia="宋体" w:cs="宋体"/>
          <w:color w:val="auto"/>
          <w:sz w:val="21"/>
          <w:szCs w:val="21"/>
          <w:highlight w:val="none"/>
        </w:rPr>
        <w:t>10.7 暂估价</w:t>
      </w:r>
      <w:bookmarkEnd w:id="217"/>
      <w:bookmarkEnd w:id="218"/>
      <w:bookmarkEnd w:id="219"/>
      <w:bookmarkEnd w:id="220"/>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暂估价材料和工程设备的明细详见附件11：《</w:t>
      </w:r>
      <w:r>
        <w:rPr>
          <w:rFonts w:hint="eastAsia" w:ascii="宋体" w:hAnsi="宋体" w:eastAsia="宋体" w:cs="宋体"/>
          <w:color w:val="auto"/>
          <w:sz w:val="21"/>
          <w:szCs w:val="21"/>
          <w:highlight w:val="none"/>
        </w:rPr>
        <w:t>暂估价一览表》</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10.7.1 依法必须招标的暂估价项目</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对于依法必须招标的暂估价项目的确认和批准采取第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种方式确定。</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w:t>
      </w:r>
      <w:r>
        <w:rPr>
          <w:rFonts w:hint="eastAsia" w:ascii="宋体" w:hAnsi="宋体" w:cs="宋体"/>
          <w:color w:val="auto"/>
          <w:szCs w:val="21"/>
          <w:highlight w:val="none"/>
          <w:lang w:val="en-US" w:eastAsia="zh-CN"/>
        </w:rPr>
        <w:t>成交</w:t>
      </w:r>
      <w:r>
        <w:rPr>
          <w:rFonts w:hint="eastAsia" w:ascii="宋体" w:hAnsi="宋体" w:eastAsia="宋体" w:cs="宋体"/>
          <w:color w:val="auto"/>
          <w:szCs w:val="21"/>
          <w:highlight w:val="none"/>
          <w:lang w:val="en-US" w:eastAsia="zh-CN"/>
        </w:rPr>
        <w:t>人后，由发包人、承包人与</w:t>
      </w:r>
      <w:r>
        <w:rPr>
          <w:rFonts w:hint="eastAsia" w:ascii="宋体" w:hAnsi="宋体" w:cs="宋体"/>
          <w:color w:val="auto"/>
          <w:szCs w:val="21"/>
          <w:highlight w:val="none"/>
          <w:lang w:val="en-US" w:eastAsia="zh-CN"/>
        </w:rPr>
        <w:t>成交</w:t>
      </w:r>
      <w:r>
        <w:rPr>
          <w:rFonts w:hint="eastAsia" w:ascii="宋体" w:hAnsi="宋体" w:eastAsia="宋体" w:cs="宋体"/>
          <w:color w:val="auto"/>
          <w:szCs w:val="21"/>
          <w:highlight w:val="none"/>
          <w:lang w:val="en-US" w:eastAsia="zh-CN"/>
        </w:rPr>
        <w:t>人共同签订暂估价合同。</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10.7.2 不属于依法必须招标的暂估价项目</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对于不属于依法必须招标的暂估价项目的确认和批准采取第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rPr>
        <w:t>种方式确定。</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第3种方式：</w:t>
      </w:r>
      <w:r>
        <w:rPr>
          <w:rFonts w:hint="eastAsia" w:ascii="宋体" w:hAnsi="宋体" w:eastAsia="宋体" w:cs="宋体"/>
          <w:color w:val="auto"/>
          <w:kern w:val="0"/>
          <w:sz w:val="21"/>
          <w:szCs w:val="21"/>
          <w:highlight w:val="none"/>
        </w:rPr>
        <w:t>承包人直接实施的暂估价项目</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承包人直接实施的暂估价项目的约定：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 暂列金额</w:t>
      </w:r>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合同当事人关于暂列金额使用的约定：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7"/>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11. 价格调整</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市场价格波动引起的调整</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市场价格波动是否调整合同价格的约定：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执行</w:t>
      </w:r>
      <w:r>
        <w:rPr>
          <w:rFonts w:hint="eastAsia" w:ascii="宋体" w:hAnsi="宋体" w:cs="宋体"/>
          <w:color w:val="auto"/>
          <w:sz w:val="21"/>
          <w:szCs w:val="21"/>
          <w:highlight w:val="none"/>
          <w:u w:val="single"/>
          <w:lang w:eastAsia="zh-CN"/>
        </w:rPr>
        <w:t>竞争性磋商文件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因市场价格波动调整合同价格，采用以下第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种方式对合同价格进行调整：</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第1种方式：采用价格指数进行价格调整。</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关于各可调因子、定值和变值权重，以及基本价格指数及其来源的约定：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第2种方式：采用造价信息进行价格调整。</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（2）关于基准价格的约定：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Cs w:val="21"/>
          <w:highlight w:val="none"/>
          <w:u w:val="single"/>
        </w:rPr>
        <w:t>/</w:t>
      </w:r>
      <w:r>
        <w:rPr>
          <w:rFonts w:hint="eastAsia" w:ascii="宋体" w:hAnsi="宋体" w:eastAsia="宋体" w:cs="宋体"/>
          <w:color w:val="auto"/>
          <w:sz w:val="21"/>
          <w:szCs w:val="21"/>
          <w:highlight w:val="none"/>
        </w:rPr>
        <w:t>%时，或材料单价跌幅以已标价工程量清单或预算书中载明材料单价为基础超过</w:t>
      </w:r>
      <w:r>
        <w:rPr>
          <w:rFonts w:hint="eastAsia" w:ascii="宋体" w:hAnsi="宋体" w:eastAsia="宋体" w:cs="宋体"/>
          <w:color w:val="auto"/>
          <w:szCs w:val="21"/>
          <w:highlight w:val="none"/>
          <w:u w:val="single"/>
        </w:rPr>
        <w:t>/</w:t>
      </w:r>
      <w:r>
        <w:rPr>
          <w:rFonts w:hint="eastAsia" w:ascii="宋体" w:hAnsi="宋体" w:eastAsia="宋体" w:cs="宋体"/>
          <w:color w:val="auto"/>
          <w:sz w:val="21"/>
          <w:szCs w:val="21"/>
          <w:highlight w:val="none"/>
        </w:rPr>
        <w:t>%时，其超过部分据实调整。</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Cs w:val="21"/>
          <w:highlight w:val="none"/>
          <w:u w:val="single"/>
        </w:rPr>
        <w:t>/</w:t>
      </w:r>
      <w:r>
        <w:rPr>
          <w:rFonts w:hint="eastAsia" w:ascii="宋体" w:hAnsi="宋体" w:eastAsia="宋体" w:cs="宋体"/>
          <w:color w:val="auto"/>
          <w:sz w:val="21"/>
          <w:szCs w:val="21"/>
          <w:highlight w:val="none"/>
        </w:rPr>
        <w:t>%时，材料单价涨幅以已标价工程量清单或预算书中载明材料单价为基础超过</w:t>
      </w:r>
      <w:r>
        <w:rPr>
          <w:rFonts w:hint="eastAsia" w:ascii="宋体" w:hAnsi="宋体" w:eastAsia="宋体" w:cs="宋体"/>
          <w:color w:val="auto"/>
          <w:szCs w:val="21"/>
          <w:highlight w:val="none"/>
          <w:u w:val="single"/>
        </w:rPr>
        <w:t>/</w:t>
      </w:r>
      <w:r>
        <w:rPr>
          <w:rFonts w:hint="eastAsia" w:ascii="宋体" w:hAnsi="宋体" w:eastAsia="宋体" w:cs="宋体"/>
          <w:color w:val="auto"/>
          <w:sz w:val="21"/>
          <w:szCs w:val="21"/>
          <w:highlight w:val="none"/>
        </w:rPr>
        <w:t>%时，其超过部分据实调整。</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Cs w:val="21"/>
          <w:highlight w:val="none"/>
          <w:u w:val="single"/>
        </w:rPr>
        <w:t>/</w:t>
      </w:r>
      <w:r>
        <w:rPr>
          <w:rFonts w:hint="eastAsia" w:ascii="宋体" w:hAnsi="宋体" w:eastAsia="宋体" w:cs="宋体"/>
          <w:color w:val="auto"/>
          <w:sz w:val="21"/>
          <w:szCs w:val="21"/>
          <w:highlight w:val="none"/>
        </w:rPr>
        <w:t>%时，其超过部分据实调整。</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第3种方式：其他价格调整方式：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7"/>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12. 合同价格、计量与支付</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12.1 合同价格形式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eastAsia="zh-CN"/>
        </w:rPr>
        <w:t>采用固定总价合同</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总价包含的风险范围：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人工市场价、材料费及机械费的市场价格变化；除政策性调整、不可抗力以外的其他风险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风险费用的计算方法：</w:t>
      </w:r>
      <w:r>
        <w:rPr>
          <w:rFonts w:hint="eastAsia" w:ascii="宋体" w:hAnsi="宋体" w:eastAsia="宋体" w:cs="宋体"/>
          <w:color w:val="auto"/>
          <w:sz w:val="21"/>
          <w:szCs w:val="21"/>
          <w:highlight w:val="none"/>
          <w:u w:val="single"/>
        </w:rPr>
        <w:t xml:space="preserve"> </w:t>
      </w:r>
      <w:r>
        <w:rPr>
          <w:rFonts w:hint="eastAsia" w:ascii="宋体" w:hAnsi="宋体" w:cs="宋体"/>
          <w:color w:val="auto"/>
          <w:szCs w:val="21"/>
          <w:highlight w:val="none"/>
          <w:u w:val="single"/>
          <w:lang w:eastAsia="zh-CN"/>
        </w:rPr>
        <w:t>供应商</w:t>
      </w:r>
      <w:r>
        <w:rPr>
          <w:rFonts w:hint="eastAsia" w:ascii="宋体" w:hAnsi="宋体" w:eastAsia="宋体" w:cs="宋体"/>
          <w:color w:val="auto"/>
          <w:szCs w:val="21"/>
          <w:highlight w:val="none"/>
          <w:u w:val="single"/>
        </w:rPr>
        <w:t>在</w:t>
      </w:r>
      <w:r>
        <w:rPr>
          <w:rFonts w:hint="eastAsia" w:ascii="宋体" w:hAnsi="宋体" w:cs="宋体"/>
          <w:color w:val="auto"/>
          <w:szCs w:val="21"/>
          <w:highlight w:val="none"/>
          <w:u w:val="single"/>
          <w:lang w:eastAsia="zh-CN"/>
        </w:rPr>
        <w:t>磋商报价</w:t>
      </w:r>
      <w:r>
        <w:rPr>
          <w:rFonts w:hint="eastAsia" w:ascii="宋体" w:hAnsi="宋体" w:eastAsia="宋体" w:cs="宋体"/>
          <w:color w:val="auto"/>
          <w:szCs w:val="21"/>
          <w:highlight w:val="none"/>
          <w:u w:val="single"/>
        </w:rPr>
        <w:t>时已经考虑，不再另行计取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风险范围以外合同价格的调整方法：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预付款</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12.2.1 预付款的支付</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预付款支付比例或金额：</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预付合同金额的40%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预付款支付期限：</w:t>
      </w:r>
      <w:r>
        <w:rPr>
          <w:rFonts w:hint="eastAsia" w:ascii="宋体" w:hAnsi="宋体" w:eastAsia="宋体" w:cs="宋体"/>
          <w:color w:val="auto"/>
          <w:sz w:val="21"/>
          <w:szCs w:val="21"/>
          <w:highlight w:val="none"/>
          <w:u w:val="single"/>
        </w:rPr>
        <w:t xml:space="preserve">  合同签订及</w:t>
      </w:r>
      <w:r>
        <w:rPr>
          <w:rFonts w:hint="eastAsia" w:ascii="宋体" w:hAnsi="宋体" w:eastAsia="宋体" w:cs="宋体"/>
          <w:color w:val="auto"/>
          <w:sz w:val="21"/>
          <w:szCs w:val="21"/>
          <w:highlight w:val="none"/>
          <w:u w:val="single"/>
          <w:lang w:val="en-US" w:eastAsia="zh-CN"/>
        </w:rPr>
        <w:t>中标人</w:t>
      </w:r>
      <w:r>
        <w:rPr>
          <w:rFonts w:hint="eastAsia" w:ascii="宋体" w:hAnsi="宋体" w:eastAsia="宋体" w:cs="宋体"/>
          <w:color w:val="auto"/>
          <w:sz w:val="21"/>
          <w:szCs w:val="21"/>
          <w:highlight w:val="none"/>
          <w:u w:val="single"/>
        </w:rPr>
        <w:t xml:space="preserve">提供预付款担保后支付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cs="宋体"/>
          <w:szCs w:val="21"/>
          <w:highlight w:val="none"/>
          <w:u w:val="single"/>
        </w:rPr>
      </w:pPr>
      <w:r>
        <w:rPr>
          <w:rFonts w:hint="eastAsia" w:ascii="宋体" w:hAnsi="宋体" w:eastAsia="宋体" w:cs="宋体"/>
          <w:color w:val="auto"/>
          <w:sz w:val="21"/>
          <w:szCs w:val="21"/>
          <w:highlight w:val="none"/>
        </w:rPr>
        <w:t>预付款扣回的方式：</w:t>
      </w:r>
      <w:r>
        <w:rPr>
          <w:rFonts w:hint="eastAsia" w:ascii="宋体" w:hAnsi="宋体" w:eastAsia="宋体" w:cs="宋体"/>
          <w:color w:val="auto"/>
          <w:sz w:val="21"/>
          <w:szCs w:val="21"/>
          <w:highlight w:val="none"/>
          <w:u w:val="single"/>
        </w:rPr>
        <w:t xml:space="preserve"> </w:t>
      </w:r>
      <w:r>
        <w:rPr>
          <w:rFonts w:hint="eastAsia" w:ascii="宋体" w:hAnsi="宋体" w:cs="宋体"/>
          <w:szCs w:val="21"/>
          <w:highlight w:val="none"/>
          <w:u w:val="single"/>
        </w:rPr>
        <w:t>在工程竣工验收合格后支付至合同价8</w:t>
      </w:r>
      <w:r>
        <w:rPr>
          <w:rFonts w:hint="eastAsia" w:ascii="宋体" w:hAnsi="宋体" w:cs="宋体"/>
          <w:szCs w:val="21"/>
          <w:highlight w:val="none"/>
          <w:u w:val="single"/>
          <w:lang w:val="en-US" w:eastAsia="zh-CN"/>
        </w:rPr>
        <w:t>5</w:t>
      </w:r>
      <w:r>
        <w:rPr>
          <w:rFonts w:hint="eastAsia" w:ascii="宋体" w:hAnsi="宋体" w:cs="宋体"/>
          <w:szCs w:val="21"/>
          <w:highlight w:val="none"/>
          <w:u w:val="single"/>
        </w:rPr>
        <w:t>%的同时一次性扣除</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12.2.2 预付款担保</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承包人提交预付款担保的期限：</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预付款担保的形式为：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计量</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12.3.1 计量原则</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工程量计算规则：</w:t>
      </w:r>
      <w:r>
        <w:rPr>
          <w:rFonts w:hint="eastAsia" w:ascii="宋体" w:hAnsi="宋体" w:eastAsia="宋体" w:cs="宋体"/>
          <w:color w:val="auto"/>
          <w:szCs w:val="21"/>
          <w:highlight w:val="none"/>
          <w:u w:val="single"/>
        </w:rPr>
        <w:t>以相关的国家标准、行业标准等为依据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12.3.2 计量周期</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关于计量周期的约定：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按月进行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12.3.3 单价合同的计量</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关于单价合同计量的约定：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12.3.4 总价合同的计量</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关于总价合同计量的约定：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每月25日前提交当月已完工程量报告，监理工程师在2日内审核完毕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12.3.5总价合同采用支付分解表计量支付的，是否适用第</w:t>
      </w:r>
      <w:r>
        <w:rPr>
          <w:rFonts w:hint="eastAsia" w:ascii="宋体" w:hAnsi="宋体" w:eastAsia="宋体" w:cs="宋体"/>
          <w:color w:val="auto"/>
          <w:kern w:val="0"/>
          <w:sz w:val="21"/>
          <w:szCs w:val="21"/>
          <w:highlight w:val="none"/>
        </w:rPr>
        <w:t xml:space="preserve">12.3.4 </w:t>
      </w:r>
      <w:r>
        <w:rPr>
          <w:rFonts w:hint="eastAsia" w:ascii="宋体" w:hAnsi="宋体" w:eastAsia="宋体" w:cs="宋体"/>
          <w:color w:val="auto"/>
          <w:sz w:val="21"/>
          <w:szCs w:val="21"/>
          <w:highlight w:val="none"/>
        </w:rPr>
        <w:t>项</w:t>
      </w:r>
      <w:r>
        <w:rPr>
          <w:rFonts w:hint="eastAsia" w:ascii="宋体" w:hAnsi="宋体" w:eastAsia="宋体" w:cs="宋体"/>
          <w:color w:val="auto"/>
          <w:kern w:val="0"/>
          <w:sz w:val="21"/>
          <w:szCs w:val="21"/>
          <w:highlight w:val="none"/>
        </w:rPr>
        <w:t>〔总价合同的计量〕</w:t>
      </w:r>
      <w:r>
        <w:rPr>
          <w:rFonts w:hint="eastAsia" w:ascii="宋体" w:hAnsi="宋体" w:eastAsia="宋体" w:cs="宋体"/>
          <w:color w:val="auto"/>
          <w:sz w:val="21"/>
          <w:szCs w:val="21"/>
          <w:highlight w:val="none"/>
        </w:rPr>
        <w:t>约定进行计量：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否</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12.3.6 其他价格形式合同的计量</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其他价格形式的计量方式和程序：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 工程进度款支付</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12.4.1 付款周期</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关于付款周期的约定：</w:t>
      </w:r>
      <w:r>
        <w:rPr>
          <w:rFonts w:hint="eastAsia" w:ascii="宋体" w:hAnsi="宋体" w:eastAsia="宋体" w:cs="宋体"/>
          <w:color w:val="auto"/>
          <w:sz w:val="21"/>
          <w:szCs w:val="21"/>
          <w:highlight w:val="none"/>
          <w:u w:val="single"/>
          <w:lang w:eastAsia="zh-CN"/>
        </w:rPr>
        <w:t>合同签订及中标人提供预付款担保后，支付给承包人合同金额的40%作为预付款，竣工验收合格后支付至合同价款的8</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eastAsia="zh-CN"/>
        </w:rPr>
        <w:t>%（含前期付款），经发包人或其委托的其他机构审定确认实际结算额后付至审定额总价的100%。</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12.4.2 进度付款申请单的编制</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关于进度付款申请单编制的约定：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w:t>
      </w:r>
      <w:r>
        <w:rPr>
          <w:rFonts w:hint="eastAsia" w:ascii="宋体" w:hAnsi="宋体" w:cs="宋体"/>
          <w:strike w:val="0"/>
          <w:dstrike w:val="0"/>
          <w:color w:val="auto"/>
          <w:szCs w:val="21"/>
          <w:highlight w:val="none"/>
          <w:u w:val="single"/>
          <w:lang w:eastAsia="zh-CN"/>
        </w:rPr>
        <w:t>竞争性磋商文件</w:t>
      </w:r>
      <w:r>
        <w:rPr>
          <w:rFonts w:hint="eastAsia" w:ascii="宋体" w:hAnsi="宋体" w:eastAsia="宋体" w:cs="宋体"/>
          <w:strike w:val="0"/>
          <w:color w:val="auto"/>
          <w:szCs w:val="21"/>
          <w:highlight w:val="none"/>
          <w:u w:val="single"/>
        </w:rPr>
        <w:t>及</w:t>
      </w:r>
      <w:r>
        <w:rPr>
          <w:rFonts w:hint="eastAsia" w:ascii="宋体" w:hAnsi="宋体" w:eastAsia="宋体" w:cs="宋体"/>
          <w:color w:val="auto"/>
          <w:szCs w:val="21"/>
          <w:highlight w:val="none"/>
          <w:u w:val="single"/>
        </w:rPr>
        <w:t>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12.4.3 进度付款申请单的提交</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（1）单价合同进度付款申请单提交的约定：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（2）总价合同进度付款申请单提交的约定：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（3）其他价格形式合同进度付款申请单提交的约定：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 进度款审核和支付</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（1）监理人审查并报送发包人的期限：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发包人完成审批并签发进度款支付证书的期限：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（2）发包人支付进度款的期限：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发包人逾期支付进度款的违约金的计算方式：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525" w:firstLineChars="2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12.4.6 支付分解表的编制</w:t>
      </w:r>
    </w:p>
    <w:p>
      <w:pPr>
        <w:pageBreakBefore w:val="0"/>
        <w:kinsoku/>
        <w:wordWrap/>
        <w:overflowPunct/>
        <w:topLinePunct w:val="0"/>
        <w:bidi w:val="0"/>
        <w:spacing w:line="240" w:lineRule="auto"/>
        <w:ind w:left="4200" w:leftChars="200" w:hanging="3780" w:hangingChars="18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2、总价合同支付分解表的编制与审批：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3、单价合同的总价项目支付分解表的编制与审批：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7"/>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13. 验收和工程试车</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分部分项工程验收</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13.1.2监理人不能按时进行验收时，应提前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小时提交书面延期要求。</w:t>
      </w:r>
    </w:p>
    <w:p>
      <w:pPr>
        <w:pageBreakBefore w:val="0"/>
        <w:kinsoku/>
        <w:wordWrap/>
        <w:overflowPunct/>
        <w:topLinePunct w:val="0"/>
        <w:bidi w:val="0"/>
        <w:spacing w:line="240" w:lineRule="auto"/>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48</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 竣工验收</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13.2.2竣工验收程序</w:t>
      </w:r>
    </w:p>
    <w:p>
      <w:pPr>
        <w:pageBreakBefore w:val="0"/>
        <w:kinsoku/>
        <w:wordWrap/>
        <w:overflowPunct/>
        <w:topLinePunct w:val="0"/>
        <w:bidi w:val="0"/>
        <w:spacing w:line="240" w:lineRule="auto"/>
        <w:ind w:left="4200" w:leftChars="200" w:hanging="3780" w:hangingChars="18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关于竣工验收程序的约定：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发包人不按照本项约定组织竣工验收、颁发工程接收证书的违约金的计算方法：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13.2.5移交、接收全部与部分工程</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承包人向发包人移交工程的期限：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发包人未按本合同约定接收全部或部分工程的，违约金的计算方法为：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承包人未按时移交工程的，违约金的计算方法为：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工程试车</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13.3.1 试车程序</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工程试车内容：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（1）单机无负荷试车费用由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承担；</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（2）无负荷联动试车费用由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承担。</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13.3.3 投料试车</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关于投料试车相关事项的约定：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221" w:name="_Toc7888"/>
      <w:bookmarkStart w:id="222" w:name="_Toc31312"/>
      <w:bookmarkStart w:id="223" w:name="_Toc6654"/>
      <w:bookmarkStart w:id="224" w:name="_Toc24741"/>
      <w:r>
        <w:rPr>
          <w:rFonts w:hint="eastAsia" w:ascii="宋体" w:hAnsi="宋体" w:eastAsia="宋体" w:cs="宋体"/>
          <w:color w:val="auto"/>
          <w:sz w:val="21"/>
          <w:szCs w:val="21"/>
          <w:highlight w:val="none"/>
        </w:rPr>
        <w:t>13.6 竣工退场</w:t>
      </w:r>
      <w:bookmarkEnd w:id="221"/>
      <w:bookmarkEnd w:id="222"/>
      <w:bookmarkEnd w:id="223"/>
      <w:bookmarkEnd w:id="224"/>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13.6.1 竣工退场</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承包人完成竣工退场的期限：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颁发工程接收证书后7日内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7"/>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 竣工结算</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竣工结算申请</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承包人提交竣工结算申请单的期限：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竣工结算申请单应包括的内容：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除执行通用条款外，还必须提交竣工结算审</w:t>
      </w:r>
      <w:r>
        <w:rPr>
          <w:rFonts w:hint="eastAsia" w:ascii="宋体" w:hAnsi="宋体" w:eastAsia="宋体" w:cs="宋体"/>
          <w:color w:val="auto"/>
          <w:szCs w:val="21"/>
          <w:highlight w:val="none"/>
          <w:u w:val="single"/>
          <w:lang w:eastAsia="zh-CN"/>
        </w:rPr>
        <w:t>定</w:t>
      </w:r>
      <w:r>
        <w:rPr>
          <w:rFonts w:hint="eastAsia" w:ascii="宋体" w:hAnsi="宋体" w:eastAsia="宋体" w:cs="宋体"/>
          <w:color w:val="auto"/>
          <w:szCs w:val="21"/>
          <w:highlight w:val="none"/>
          <w:u w:val="single"/>
        </w:rPr>
        <w:t>所需的资料文件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225" w:name="_Toc54"/>
      <w:bookmarkStart w:id="226" w:name="_Toc20936"/>
      <w:bookmarkStart w:id="227" w:name="_Toc20379"/>
      <w:bookmarkStart w:id="228" w:name="_Toc12779"/>
      <w:r>
        <w:rPr>
          <w:rFonts w:hint="eastAsia" w:ascii="宋体" w:hAnsi="宋体" w:eastAsia="宋体" w:cs="宋体"/>
          <w:color w:val="auto"/>
          <w:sz w:val="21"/>
          <w:szCs w:val="21"/>
          <w:highlight w:val="none"/>
        </w:rPr>
        <w:t>14.2 竣工结算审核</w:t>
      </w:r>
      <w:bookmarkEnd w:id="225"/>
      <w:bookmarkEnd w:id="226"/>
      <w:bookmarkEnd w:id="227"/>
      <w:bookmarkEnd w:id="228"/>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发包人审批竣工付款申请单的期限：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依法定程序竣工结算审</w:t>
      </w:r>
      <w:r>
        <w:rPr>
          <w:rFonts w:hint="eastAsia" w:ascii="宋体" w:hAnsi="宋体" w:eastAsia="宋体" w:cs="宋体"/>
          <w:color w:val="auto"/>
          <w:szCs w:val="21"/>
          <w:highlight w:val="none"/>
          <w:u w:val="single"/>
          <w:lang w:eastAsia="zh-CN"/>
        </w:rPr>
        <w:t>定</w:t>
      </w:r>
      <w:r>
        <w:rPr>
          <w:rFonts w:hint="eastAsia" w:ascii="宋体" w:hAnsi="宋体" w:eastAsia="宋体" w:cs="宋体"/>
          <w:color w:val="auto"/>
          <w:szCs w:val="21"/>
          <w:highlight w:val="none"/>
          <w:u w:val="single"/>
        </w:rPr>
        <w:t>后30日内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发包人完成竣工付款的期限：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签发竣工付款证书后60日内</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关于竣工付款证书异议部分复核的方式和程序：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 最终结清</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14.4.1 最终结清申请单</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承包人提交最终结清申请单的份数：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叁份</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承包人提交最终结算申请单的期限：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14.4.2 最终结清证书和支付</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（1）发包人完成最终结清申请单的审批并颁发最终结清证书的期限：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（2）发包人完成支付的期限：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颁发最终结算证书后30日内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7"/>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15. 缺陷责任期与保修</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15.2缺陷责任期</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缺陷责任期的具体期限：</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24</w:t>
      </w:r>
      <w:r>
        <w:rPr>
          <w:rFonts w:hint="eastAsia" w:ascii="宋体" w:hAnsi="宋体" w:eastAsia="宋体" w:cs="宋体"/>
          <w:b/>
          <w:bCs/>
          <w:color w:val="auto"/>
          <w:sz w:val="21"/>
          <w:szCs w:val="21"/>
          <w:highlight w:val="none"/>
          <w:u w:val="single"/>
          <w:lang w:eastAsia="zh-CN"/>
        </w:rPr>
        <w:t>个月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229" w:name="_Toc15832"/>
      <w:bookmarkStart w:id="230" w:name="_Toc25046"/>
      <w:bookmarkStart w:id="231" w:name="_Toc4987"/>
      <w:bookmarkStart w:id="232" w:name="_Toc22641"/>
      <w:r>
        <w:rPr>
          <w:rFonts w:hint="eastAsia" w:ascii="宋体" w:hAnsi="宋体" w:eastAsia="宋体" w:cs="宋体"/>
          <w:color w:val="auto"/>
          <w:sz w:val="21"/>
          <w:szCs w:val="21"/>
          <w:highlight w:val="none"/>
        </w:rPr>
        <w:t>15.3 质量保证金</w:t>
      </w:r>
      <w:bookmarkEnd w:id="229"/>
      <w:bookmarkEnd w:id="230"/>
      <w:bookmarkEnd w:id="231"/>
      <w:bookmarkEnd w:id="232"/>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关于是否扣留质量保证金的约定：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。在工程项目竣工前，承包人按专用合同条款第3.7条提供履约担保的，发包人不得同时预留工程质量保证金。</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p>
    <w:p>
      <w:pPr>
        <w:pageBreakBefore w:val="0"/>
        <w:kinsoku/>
        <w:wordWrap/>
        <w:overflowPunct/>
        <w:topLinePunct w:val="0"/>
        <w:bidi w:val="0"/>
        <w:spacing w:line="240" w:lineRule="auto"/>
        <w:ind w:firstLine="420" w:firstLineChars="200"/>
        <w:jc w:val="left"/>
        <w:outlineLvl w:val="0"/>
        <w:rPr>
          <w:rFonts w:hint="eastAsia" w:ascii="宋体" w:hAnsi="宋体" w:eastAsia="宋体" w:cs="宋体"/>
          <w:color w:val="auto"/>
          <w:sz w:val="21"/>
          <w:szCs w:val="21"/>
          <w:highlight w:val="none"/>
        </w:rPr>
      </w:pPr>
      <w:bookmarkStart w:id="233" w:name="_Toc5886"/>
      <w:bookmarkStart w:id="234" w:name="_Toc14373"/>
      <w:bookmarkStart w:id="235" w:name="_Toc32379"/>
      <w:bookmarkStart w:id="236" w:name="_Toc16050"/>
      <w:r>
        <w:rPr>
          <w:rFonts w:hint="eastAsia" w:ascii="宋体" w:hAnsi="宋体" w:eastAsia="宋体" w:cs="宋体"/>
          <w:color w:val="auto"/>
          <w:sz w:val="21"/>
          <w:szCs w:val="21"/>
          <w:highlight w:val="none"/>
        </w:rPr>
        <w:t>15.3.1 承包人提供质量保证金的方式</w:t>
      </w:r>
      <w:bookmarkEnd w:id="233"/>
      <w:bookmarkEnd w:id="234"/>
      <w:bookmarkEnd w:id="235"/>
      <w:bookmarkEnd w:id="236"/>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质量保证金采用以下第</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w:t>
      </w:r>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（1）质量保证金保函，</w:t>
      </w:r>
      <w:r>
        <w:rPr>
          <w:rFonts w:hint="eastAsia" w:ascii="宋体" w:hAnsi="宋体" w:eastAsia="宋体" w:cs="宋体"/>
          <w:color w:val="auto"/>
          <w:highlight w:val="none"/>
          <w:lang w:val="en-US" w:eastAsia="zh-CN"/>
        </w:rPr>
        <w:t>保函形式为</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w:t>
      </w:r>
      <w:r>
        <w:rPr>
          <w:rFonts w:hint="eastAsia" w:ascii="宋体" w:hAnsi="宋体" w:eastAsia="宋体" w:cs="宋体"/>
          <w:color w:val="auto"/>
          <w:kern w:val="0"/>
          <w:sz w:val="21"/>
          <w:szCs w:val="21"/>
          <w:highlight w:val="none"/>
        </w:rPr>
        <w:t>保证金额为：</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%的工程款；</w:t>
      </w:r>
    </w:p>
    <w:p>
      <w:pPr>
        <w:pageBreakBefore w:val="0"/>
        <w:kinsoku/>
        <w:wordWrap/>
        <w:overflowPunct/>
        <w:topLinePunct w:val="0"/>
        <w:autoSpaceDE w:val="0"/>
        <w:autoSpaceDN w:val="0"/>
        <w:bidi w:val="0"/>
        <w:adjustRightInd w:val="0"/>
        <w:spacing w:line="240" w:lineRule="auto"/>
        <w:ind w:firstLine="420" w:firstLineChars="200"/>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（3）其他方式:</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val="en-US" w:eastAsia="zh-CN"/>
        </w:rPr>
        <w:t xml:space="preserve">            。</w:t>
      </w:r>
    </w:p>
    <w:p>
      <w:pPr>
        <w:pageBreakBefore w:val="0"/>
        <w:kinsoku/>
        <w:wordWrap/>
        <w:overflowPunct/>
        <w:topLinePunct w:val="0"/>
        <w:bidi w:val="0"/>
        <w:spacing w:line="240" w:lineRule="auto"/>
        <w:ind w:firstLine="420" w:firstLineChars="200"/>
        <w:jc w:val="left"/>
        <w:outlineLvl w:val="0"/>
        <w:rPr>
          <w:rFonts w:hint="eastAsia" w:ascii="宋体" w:hAnsi="宋体" w:eastAsia="宋体" w:cs="宋体"/>
          <w:color w:val="auto"/>
          <w:sz w:val="21"/>
          <w:szCs w:val="21"/>
          <w:highlight w:val="none"/>
        </w:rPr>
      </w:pPr>
      <w:bookmarkStart w:id="237" w:name="_Toc31404"/>
      <w:bookmarkStart w:id="238" w:name="_Toc6871"/>
      <w:bookmarkStart w:id="239" w:name="_Toc26957"/>
      <w:bookmarkStart w:id="240" w:name="_Toc25461"/>
      <w:r>
        <w:rPr>
          <w:rFonts w:hint="eastAsia" w:ascii="宋体" w:hAnsi="宋体" w:eastAsia="宋体" w:cs="宋体"/>
          <w:color w:val="auto"/>
          <w:sz w:val="21"/>
          <w:szCs w:val="21"/>
          <w:highlight w:val="none"/>
        </w:rPr>
        <w:t>15.3.2 质量保证金的扣留</w:t>
      </w:r>
      <w:bookmarkEnd w:id="237"/>
      <w:bookmarkEnd w:id="238"/>
      <w:bookmarkEnd w:id="239"/>
      <w:bookmarkEnd w:id="240"/>
      <w:r>
        <w:rPr>
          <w:rFonts w:hint="eastAsia" w:ascii="宋体" w:hAnsi="宋体" w:eastAsia="宋体" w:cs="宋体"/>
          <w:color w:val="auto"/>
          <w:sz w:val="21"/>
          <w:szCs w:val="21"/>
          <w:highlight w:val="none"/>
        </w:rPr>
        <w:t xml:space="preserve"> </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质量保证金的扣留采取以下第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w:t>
      </w:r>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（1）在支付工程进度款时逐次扣留，在此情形下，质量保证金的计算基数不包括预付款的支付、扣回以及价格调整的金额；</w:t>
      </w:r>
    </w:p>
    <w:p>
      <w:pPr>
        <w:pageBreakBefore w:val="0"/>
        <w:kinsoku/>
        <w:wordWrap/>
        <w:overflowPunct/>
        <w:topLinePunct w:val="0"/>
        <w:autoSpaceDE w:val="0"/>
        <w:autoSpaceDN w:val="0"/>
        <w:bidi w:val="0"/>
        <w:adjustRightInd w:val="0"/>
        <w:spacing w:line="240" w:lineRule="auto"/>
        <w:ind w:firstLine="420" w:firstLineChars="200"/>
        <w:jc w:val="left"/>
        <w:outlineLvl w:val="0"/>
        <w:rPr>
          <w:rFonts w:hint="eastAsia" w:ascii="宋体" w:hAnsi="宋体" w:eastAsia="宋体" w:cs="宋体"/>
          <w:color w:val="auto"/>
          <w:kern w:val="0"/>
          <w:sz w:val="21"/>
          <w:szCs w:val="21"/>
          <w:highlight w:val="none"/>
        </w:rPr>
      </w:pPr>
      <w:bookmarkStart w:id="241" w:name="_Toc27486"/>
      <w:bookmarkStart w:id="242" w:name="_Toc1647"/>
      <w:bookmarkStart w:id="243" w:name="_Toc30669"/>
      <w:bookmarkStart w:id="244" w:name="_Toc30089"/>
      <w:r>
        <w:rPr>
          <w:rFonts w:hint="eastAsia" w:ascii="宋体" w:hAnsi="宋体" w:eastAsia="宋体" w:cs="宋体"/>
          <w:color w:val="auto"/>
          <w:kern w:val="0"/>
          <w:sz w:val="21"/>
          <w:szCs w:val="21"/>
          <w:highlight w:val="none"/>
        </w:rPr>
        <w:t>（2）工程竣工结算时一次性扣留质量保证金</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highlight w:val="none"/>
          <w:lang w:val="en-US" w:eastAsia="zh-CN"/>
        </w:rPr>
        <w:t>如为</w:t>
      </w:r>
      <w:r>
        <w:rPr>
          <w:rFonts w:hint="eastAsia" w:ascii="宋体" w:hAnsi="宋体" w:eastAsia="宋体" w:cs="宋体"/>
          <w:color w:val="auto"/>
          <w:kern w:val="0"/>
          <w:sz w:val="21"/>
          <w:szCs w:val="21"/>
          <w:highlight w:val="none"/>
        </w:rPr>
        <w:t>质量保证金</w:t>
      </w:r>
      <w:r>
        <w:rPr>
          <w:rFonts w:hint="eastAsia" w:ascii="宋体" w:hAnsi="宋体" w:eastAsia="宋体" w:cs="宋体"/>
          <w:color w:val="auto"/>
          <w:highlight w:val="none"/>
          <w:lang w:val="en-US" w:eastAsia="zh-CN"/>
        </w:rPr>
        <w:t>保函，承包人按</w:t>
      </w:r>
      <w:r>
        <w:rPr>
          <w:rFonts w:hint="eastAsia" w:ascii="宋体" w:hAnsi="宋体" w:eastAsia="宋体" w:cs="宋体"/>
          <w:color w:val="auto"/>
          <w:kern w:val="0"/>
          <w:sz w:val="21"/>
          <w:szCs w:val="21"/>
          <w:highlight w:val="none"/>
          <w:lang w:val="en-US" w:eastAsia="zh-CN"/>
        </w:rPr>
        <w:t>发包人要求提供</w:t>
      </w:r>
      <w:r>
        <w:rPr>
          <w:rFonts w:hint="eastAsia" w:ascii="宋体" w:hAnsi="宋体" w:eastAsia="宋体" w:cs="宋体"/>
          <w:color w:val="auto"/>
          <w:highlight w:val="none"/>
          <w:lang w:val="en-US" w:eastAsia="zh-CN"/>
        </w:rPr>
        <w:t>银行保函</w:t>
      </w:r>
      <w:r>
        <w:rPr>
          <w:rFonts w:hint="eastAsia" w:ascii="宋体" w:hAnsi="宋体" w:eastAsia="宋体" w:cs="宋体"/>
          <w:color w:val="auto"/>
          <w:kern w:val="0"/>
          <w:sz w:val="21"/>
          <w:szCs w:val="21"/>
          <w:highlight w:val="none"/>
        </w:rPr>
        <w:t>；</w:t>
      </w:r>
      <w:bookmarkEnd w:id="241"/>
      <w:bookmarkEnd w:id="242"/>
      <w:bookmarkEnd w:id="243"/>
      <w:bookmarkEnd w:id="244"/>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（3）其他扣留方式: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关于质量保证金的补充约定：</w:t>
      </w:r>
      <w:r>
        <w:rPr>
          <w:rFonts w:hint="eastAsia" w:ascii="宋体" w:hAnsi="宋体" w:eastAsia="宋体" w:cs="宋体"/>
          <w:color w:val="auto"/>
          <w:kern w:val="0"/>
          <w:sz w:val="21"/>
          <w:szCs w:val="21"/>
          <w:highlight w:val="none"/>
          <w:u w:val="single"/>
        </w:rPr>
        <w:t xml:space="preserve">        无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15.4保修</w:t>
      </w:r>
    </w:p>
    <w:p>
      <w:pPr>
        <w:pageBreakBefore w:val="0"/>
        <w:kinsoku/>
        <w:wordWrap/>
        <w:overflowPunct/>
        <w:topLinePunct w:val="0"/>
        <w:bidi w:val="0"/>
        <w:spacing w:line="240" w:lineRule="auto"/>
        <w:ind w:firstLine="409" w:firstLineChars="19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15.4.1 保修责任</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工程保修期为：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Cs w:val="21"/>
          <w:highlight w:val="none"/>
          <w:u w:val="single"/>
        </w:rPr>
        <w:t>执行国家相关保修规定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09" w:firstLineChars="19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15.4.3 修复通知</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承包人收到保修通知并到达工程现场的合理时间：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eastAsia="zh-CN"/>
        </w:rPr>
        <w:t>小时内</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7"/>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 违约</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245" w:name="_Toc6958"/>
      <w:bookmarkStart w:id="246" w:name="_Toc31488"/>
      <w:bookmarkStart w:id="247" w:name="_Toc6376"/>
      <w:bookmarkStart w:id="248" w:name="_Toc10292"/>
      <w:r>
        <w:rPr>
          <w:rFonts w:hint="eastAsia" w:ascii="宋体" w:hAnsi="宋体" w:eastAsia="宋体" w:cs="宋体"/>
          <w:color w:val="auto"/>
          <w:sz w:val="21"/>
          <w:szCs w:val="21"/>
          <w:highlight w:val="none"/>
        </w:rPr>
        <w:t>16.1 发包人违约</w:t>
      </w:r>
      <w:bookmarkEnd w:id="245"/>
      <w:bookmarkEnd w:id="246"/>
      <w:bookmarkEnd w:id="247"/>
      <w:bookmarkEnd w:id="248"/>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16.1.1发包人违约的情形</w:t>
      </w:r>
    </w:p>
    <w:p>
      <w:pPr>
        <w:pageBreakBefore w:val="0"/>
        <w:kinsoku/>
        <w:wordWrap/>
        <w:overflowPunct/>
        <w:topLinePunct w:val="0"/>
        <w:bidi w:val="0"/>
        <w:spacing w:line="240" w:lineRule="auto"/>
        <w:ind w:left="1050" w:leftChars="200" w:hanging="630" w:hangingChars="3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发包人违约的其他情形：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left="1500" w:hanging="1050" w:hangingChars="5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16.1.2 发包人违约的责任</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发包人违约责任的承担方式和计算方法：</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（1）因发包人原因未能在计划开工日期前7天内下达开工通知的违约责任：</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（2）因发包人原因未能按合同约定支付合同价款的违约责任：</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（3）发包人违反第10.1款〔变更的范围〕第（2）项约定，自行实施被取消的工作或转由他人实施的违约责任：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（5）因发包人违反合同约定造成暂停施工的违约责任：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（6）发包人无正当理由没有在约定期限内发出复工指示，导致承包人无法复工的违约责任：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（7）其他：</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eastAsia="zh-CN"/>
        </w:rPr>
        <w:t>无</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16.1.3 因发包人违约解除合同</w:t>
      </w:r>
    </w:p>
    <w:p>
      <w:pPr>
        <w:pageBreakBefore w:val="0"/>
        <w:kinsoku/>
        <w:wordWrap/>
        <w:overflowPunct/>
        <w:topLinePunct w:val="0"/>
        <w:autoSpaceDE w:val="0"/>
        <w:autoSpaceDN w:val="0"/>
        <w:bidi w:val="0"/>
        <w:adjustRightInd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承包人按16.1.1项〔发包人违约的情形〕约定暂停施工满</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天后发包人仍不纠正其违约行为并致使合同目的不能实现的，承包人有权解除合同。</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249" w:name="_Toc32438"/>
      <w:bookmarkStart w:id="250" w:name="_Toc3792"/>
      <w:bookmarkStart w:id="251" w:name="_Toc4335"/>
      <w:bookmarkStart w:id="252" w:name="_Toc17176"/>
      <w:r>
        <w:rPr>
          <w:rFonts w:hint="eastAsia" w:ascii="宋体" w:hAnsi="宋体" w:eastAsia="宋体" w:cs="宋体"/>
          <w:color w:val="auto"/>
          <w:sz w:val="21"/>
          <w:szCs w:val="21"/>
          <w:highlight w:val="none"/>
        </w:rPr>
        <w:t>16.2 承包人违约</w:t>
      </w:r>
      <w:bookmarkEnd w:id="249"/>
      <w:bookmarkEnd w:id="250"/>
      <w:bookmarkEnd w:id="251"/>
      <w:bookmarkEnd w:id="252"/>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16.2.1 承包人违约的情形</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承包人违约的其他情形：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Cs w:val="21"/>
          <w:highlight w:val="none"/>
          <w:u w:val="single"/>
          <w:lang w:eastAsia="zh-CN"/>
        </w:rPr>
        <w:t>承包人</w:t>
      </w:r>
      <w:r>
        <w:rPr>
          <w:rFonts w:hint="eastAsia" w:ascii="宋体" w:hAnsi="宋体" w:eastAsia="宋体" w:cs="宋体"/>
          <w:color w:val="auto"/>
          <w:szCs w:val="21"/>
          <w:highlight w:val="none"/>
          <w:u w:val="single"/>
        </w:rPr>
        <w:t>未按</w:t>
      </w:r>
      <w:r>
        <w:rPr>
          <w:rFonts w:hint="eastAsia" w:ascii="宋体" w:hAnsi="宋体" w:cs="宋体"/>
          <w:color w:val="auto"/>
          <w:szCs w:val="21"/>
          <w:highlight w:val="none"/>
          <w:u w:val="single"/>
          <w:lang w:eastAsia="zh-CN"/>
        </w:rPr>
        <w:t>响应文件</w:t>
      </w:r>
      <w:r>
        <w:rPr>
          <w:rFonts w:hint="eastAsia" w:ascii="宋体" w:hAnsi="宋体" w:eastAsia="宋体" w:cs="宋体"/>
          <w:color w:val="auto"/>
          <w:szCs w:val="21"/>
          <w:highlight w:val="none"/>
          <w:u w:val="single"/>
        </w:rPr>
        <w:t>所提交的项目组织机构管理人员和</w:t>
      </w:r>
      <w:r>
        <w:rPr>
          <w:rFonts w:hint="eastAsia" w:ascii="宋体" w:hAnsi="宋体" w:cs="宋体"/>
          <w:color w:val="auto"/>
          <w:szCs w:val="21"/>
          <w:highlight w:val="none"/>
          <w:u w:val="single"/>
          <w:lang w:eastAsia="zh-CN"/>
        </w:rPr>
        <w:t>竞争性磋商文件</w:t>
      </w:r>
      <w:r>
        <w:rPr>
          <w:rFonts w:hint="eastAsia" w:ascii="宋体" w:hAnsi="宋体" w:eastAsia="宋体" w:cs="宋体"/>
          <w:color w:val="auto"/>
          <w:szCs w:val="21"/>
          <w:highlight w:val="none"/>
          <w:u w:val="single"/>
        </w:rPr>
        <w:t>约定到岗尽职尽责，或未经发包人同意私自更换项目管理人员</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16.2.2承包人违约的责任</w:t>
      </w:r>
    </w:p>
    <w:p>
      <w:pPr>
        <w:pageBreakBefore w:val="0"/>
        <w:kinsoku/>
        <w:wordWrap/>
        <w:overflowPunct/>
        <w:topLinePunct w:val="0"/>
        <w:bidi w:val="0"/>
        <w:spacing w:line="240" w:lineRule="auto"/>
        <w:ind w:left="1050" w:leftChars="200" w:hanging="630" w:hangingChars="3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承包人违约责任的承担方式和计算方法：</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Cs w:val="21"/>
          <w:highlight w:val="none"/>
          <w:u w:val="single"/>
        </w:rPr>
        <w:t>执行</w:t>
      </w:r>
      <w:r>
        <w:rPr>
          <w:rFonts w:hint="eastAsia" w:ascii="宋体" w:hAnsi="宋体" w:cs="宋体"/>
          <w:color w:val="auto"/>
          <w:szCs w:val="21"/>
          <w:highlight w:val="none"/>
          <w:u w:val="single"/>
          <w:lang w:eastAsia="zh-CN"/>
        </w:rPr>
        <w:t>竞争性磋商文件</w:t>
      </w:r>
      <w:r>
        <w:rPr>
          <w:rFonts w:hint="eastAsia" w:ascii="宋体" w:hAnsi="宋体" w:eastAsia="宋体" w:cs="宋体"/>
          <w:color w:val="auto"/>
          <w:szCs w:val="21"/>
          <w:highlight w:val="none"/>
          <w:u w:val="single"/>
        </w:rPr>
        <w:t>及通用条款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 xml:space="preserve">    </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16.2.3 因承包人违约解除合同</w:t>
      </w:r>
    </w:p>
    <w:p>
      <w:pPr>
        <w:pageBreakBefore w:val="0"/>
        <w:kinsoku/>
        <w:wordWrap/>
        <w:overflowPunct/>
        <w:topLinePunct w:val="0"/>
        <w:bidi w:val="0"/>
        <w:spacing w:before="120" w:after="120"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关于承包人违约解除合同的特别约定：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Cs w:val="21"/>
          <w:highlight w:val="none"/>
          <w:u w:val="single"/>
        </w:rPr>
        <w:t>执行</w:t>
      </w:r>
      <w:r>
        <w:rPr>
          <w:rFonts w:hint="eastAsia" w:ascii="宋体" w:hAnsi="宋体" w:cs="宋体"/>
          <w:color w:val="auto"/>
          <w:szCs w:val="21"/>
          <w:highlight w:val="none"/>
          <w:u w:val="single"/>
          <w:lang w:eastAsia="zh-CN"/>
        </w:rPr>
        <w:t>竞争性磋商文件</w:t>
      </w:r>
      <w:r>
        <w:rPr>
          <w:rFonts w:hint="eastAsia" w:ascii="宋体" w:hAnsi="宋体" w:eastAsia="宋体" w:cs="宋体"/>
          <w:color w:val="auto"/>
          <w:szCs w:val="21"/>
          <w:highlight w:val="none"/>
          <w:u w:val="single"/>
        </w:rPr>
        <w:t>及通用合同条款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before="120" w:after="120"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Cs w:val="21"/>
          <w:highlight w:val="none"/>
          <w:u w:val="single"/>
        </w:rPr>
        <w:t>由承包人承担</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7"/>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17. 不可抗力 </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 不可抗力的确认</w:t>
      </w:r>
    </w:p>
    <w:p>
      <w:pPr>
        <w:pageBreakBefore w:val="0"/>
        <w:kinsoku/>
        <w:wordWrap/>
        <w:overflowPunct/>
        <w:topLinePunct w:val="0"/>
        <w:bidi w:val="0"/>
        <w:spacing w:beforeAutospacing="0" w:afterAutospacing="0" w:line="24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除通用合同条款约定的不可抗力事件之外，视为不可抗力的其他情形： </w:t>
      </w:r>
    </w:p>
    <w:p>
      <w:pPr>
        <w:pageBreakBefore w:val="0"/>
        <w:kinsoku/>
        <w:wordWrap/>
        <w:overflowPunct/>
        <w:topLinePunct w:val="0"/>
        <w:bidi w:val="0"/>
        <w:spacing w:beforeAutospacing="0" w:afterAutospacing="0" w:line="240" w:lineRule="auto"/>
        <w:ind w:firstLine="315" w:firstLineChars="1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（1）4级以上的地震；</w:t>
      </w:r>
    </w:p>
    <w:p>
      <w:pPr>
        <w:pageBreakBefore w:val="0"/>
        <w:kinsoku/>
        <w:wordWrap/>
        <w:overflowPunct/>
        <w:topLinePunct w:val="0"/>
        <w:bidi w:val="0"/>
        <w:spacing w:beforeAutospacing="0" w:afterAutospacing="0" w:line="240" w:lineRule="auto"/>
        <w:ind w:firstLine="315" w:firstLineChars="1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（2）8级以上的持续3天的大风；</w:t>
      </w:r>
    </w:p>
    <w:p>
      <w:pPr>
        <w:pageBreakBefore w:val="0"/>
        <w:kinsoku/>
        <w:wordWrap/>
        <w:overflowPunct/>
        <w:topLinePunct w:val="0"/>
        <w:bidi w:val="0"/>
        <w:spacing w:beforeAutospacing="0" w:afterAutospacing="0" w:line="240" w:lineRule="auto"/>
        <w:ind w:firstLine="315" w:firstLineChars="1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（3）连续4日日降雨量达到100mm以上的大雨；</w:t>
      </w:r>
    </w:p>
    <w:p>
      <w:pPr>
        <w:pageBreakBefore w:val="0"/>
        <w:kinsoku/>
        <w:wordWrap/>
        <w:overflowPunct/>
        <w:topLinePunct w:val="0"/>
        <w:bidi w:val="0"/>
        <w:spacing w:beforeAutospacing="0" w:afterAutospacing="0" w:line="240" w:lineRule="auto"/>
        <w:ind w:firstLine="315" w:firstLineChars="1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（4）30毫米以上的持续3天的大雪；</w:t>
      </w:r>
    </w:p>
    <w:p>
      <w:pPr>
        <w:pageBreakBefore w:val="0"/>
        <w:kinsoku/>
        <w:wordWrap/>
        <w:overflowPunct/>
        <w:topLinePunct w:val="0"/>
        <w:bidi w:val="0"/>
        <w:spacing w:beforeAutospacing="0" w:afterAutospacing="0" w:line="240" w:lineRule="auto"/>
        <w:ind w:firstLine="315" w:firstLineChars="1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（5）50年以上未发生过的，持续3天的高温天气；</w:t>
      </w:r>
    </w:p>
    <w:p>
      <w:pPr>
        <w:pageBreakBefore w:val="0"/>
        <w:kinsoku/>
        <w:wordWrap/>
        <w:overflowPunct/>
        <w:topLinePunct w:val="0"/>
        <w:bidi w:val="0"/>
        <w:spacing w:beforeAutospacing="0" w:afterAutospacing="0" w:line="240" w:lineRule="auto"/>
        <w:ind w:firstLine="315" w:firstLineChars="1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（6）50年以上未发生过的，持续3天的低温天气；</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szCs w:val="21"/>
          <w:highlight w:val="none"/>
          <w:u w:val="single"/>
        </w:rPr>
        <w:t>（7）50年以上未发生过的洪水</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253" w:name="_Toc22286"/>
      <w:bookmarkStart w:id="254" w:name="_Toc4538"/>
      <w:bookmarkStart w:id="255" w:name="_Toc23980"/>
      <w:bookmarkStart w:id="256" w:name="_Toc26416"/>
      <w:r>
        <w:rPr>
          <w:rFonts w:hint="eastAsia" w:ascii="宋体" w:hAnsi="宋体" w:eastAsia="宋体" w:cs="宋体"/>
          <w:color w:val="auto"/>
          <w:sz w:val="21"/>
          <w:szCs w:val="21"/>
          <w:highlight w:val="none"/>
        </w:rPr>
        <w:t>17.4 因不可抗力解除合同</w:t>
      </w:r>
      <w:bookmarkEnd w:id="253"/>
      <w:bookmarkEnd w:id="254"/>
      <w:bookmarkEnd w:id="255"/>
      <w:bookmarkEnd w:id="256"/>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合同解除后，发包人应在商定或确定发包人应支付款项后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56</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天内完成款项的支付。</w:t>
      </w:r>
    </w:p>
    <w:p>
      <w:pPr>
        <w:pStyle w:val="7"/>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 保险</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工程保险</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关于工程保险的特别约定：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Cs w:val="21"/>
          <w:highlight w:val="none"/>
          <w:u w:val="single"/>
        </w:rPr>
        <w:t>所有工程保险费用均由承包人承担</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257" w:name="_Toc11649"/>
      <w:bookmarkStart w:id="258" w:name="_Toc878"/>
      <w:bookmarkStart w:id="259" w:name="_Toc27652"/>
      <w:bookmarkStart w:id="260" w:name="_Toc8905"/>
      <w:r>
        <w:rPr>
          <w:rFonts w:hint="eastAsia" w:ascii="宋体" w:hAnsi="宋体" w:eastAsia="宋体" w:cs="宋体"/>
          <w:color w:val="auto"/>
          <w:sz w:val="21"/>
          <w:szCs w:val="21"/>
          <w:highlight w:val="none"/>
        </w:rPr>
        <w:t>18.3 其他保险</w:t>
      </w:r>
      <w:bookmarkEnd w:id="257"/>
      <w:bookmarkEnd w:id="258"/>
      <w:bookmarkEnd w:id="259"/>
      <w:bookmarkEnd w:id="260"/>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关于其他保险的约定：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承包人是否应为其施工设备等办理财产保险：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 通知义务</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关于变更保险合同时的通知义务的约定：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执行通用条款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7"/>
        <w:pageBreakBefore w:val="0"/>
        <w:kinsoku/>
        <w:wordWrap/>
        <w:overflowPunct/>
        <w:topLinePunct w:val="0"/>
        <w:bidi w:val="0"/>
        <w:spacing w:before="120" w:after="12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20. 争议解决</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261" w:name="_Toc24152"/>
      <w:bookmarkStart w:id="262" w:name="_Toc23589"/>
      <w:bookmarkStart w:id="263" w:name="_Toc11054"/>
      <w:bookmarkStart w:id="264" w:name="_Toc7098"/>
      <w:r>
        <w:rPr>
          <w:rFonts w:hint="eastAsia" w:ascii="宋体" w:hAnsi="宋体" w:eastAsia="宋体" w:cs="宋体"/>
          <w:color w:val="auto"/>
          <w:sz w:val="21"/>
          <w:szCs w:val="21"/>
          <w:highlight w:val="none"/>
        </w:rPr>
        <w:t>20.3 争议评审</w:t>
      </w:r>
      <w:bookmarkEnd w:id="261"/>
      <w:bookmarkEnd w:id="262"/>
      <w:bookmarkEnd w:id="263"/>
      <w:bookmarkEnd w:id="264"/>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合同当事人是否同意将工程争议提交争议评审小组决定：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否</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ageBreakBefore w:val="0"/>
        <w:kinsoku/>
        <w:wordWrap/>
        <w:overflowPunct/>
        <w:topLinePunct w:val="0"/>
        <w:bidi w:val="0"/>
        <w:spacing w:line="240" w:lineRule="auto"/>
        <w:ind w:firstLine="420" w:firstLineChars="200"/>
        <w:jc w:val="left"/>
        <w:outlineLvl w:val="0"/>
        <w:rPr>
          <w:rFonts w:hint="eastAsia" w:ascii="宋体" w:hAnsi="宋体" w:eastAsia="宋体" w:cs="宋体"/>
          <w:color w:val="auto"/>
          <w:sz w:val="21"/>
          <w:szCs w:val="21"/>
          <w:highlight w:val="none"/>
        </w:rPr>
      </w:pPr>
      <w:bookmarkStart w:id="265" w:name="_Toc27231"/>
      <w:bookmarkStart w:id="266" w:name="_Toc2029"/>
      <w:bookmarkStart w:id="267" w:name="_Toc16151"/>
      <w:bookmarkStart w:id="268" w:name="_Toc4664"/>
      <w:r>
        <w:rPr>
          <w:rFonts w:hint="eastAsia" w:ascii="宋体" w:hAnsi="宋体" w:eastAsia="宋体" w:cs="宋体"/>
          <w:color w:val="auto"/>
          <w:sz w:val="21"/>
          <w:szCs w:val="21"/>
          <w:highlight w:val="none"/>
        </w:rPr>
        <w:t>20.3.1 争议评审小组的确定</w:t>
      </w:r>
      <w:bookmarkEnd w:id="265"/>
      <w:bookmarkEnd w:id="266"/>
      <w:bookmarkEnd w:id="267"/>
      <w:bookmarkEnd w:id="268"/>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争议评审小组成员的确定：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选定争议评审员的期限：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争议评审小组成员的报酬承担方式：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其他事项的约定：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autoSpaceDE w:val="0"/>
        <w:autoSpaceDN w:val="0"/>
        <w:bidi w:val="0"/>
        <w:adjustRightInd w:val="0"/>
        <w:spacing w:line="240" w:lineRule="auto"/>
        <w:ind w:firstLine="420" w:firstLineChars="200"/>
        <w:jc w:val="left"/>
        <w:outlineLvl w:val="0"/>
        <w:rPr>
          <w:rFonts w:hint="eastAsia" w:ascii="宋体" w:hAnsi="宋体" w:eastAsia="宋体" w:cs="宋体"/>
          <w:color w:val="auto"/>
          <w:kern w:val="0"/>
          <w:sz w:val="21"/>
          <w:szCs w:val="21"/>
          <w:highlight w:val="none"/>
        </w:rPr>
      </w:pPr>
      <w:bookmarkStart w:id="269" w:name="_Toc21635"/>
      <w:bookmarkStart w:id="270" w:name="_Toc9691"/>
      <w:bookmarkStart w:id="271" w:name="_Toc27311"/>
      <w:bookmarkStart w:id="272" w:name="_Toc13655"/>
      <w:r>
        <w:rPr>
          <w:rFonts w:hint="eastAsia" w:ascii="宋体" w:hAnsi="宋体" w:eastAsia="宋体" w:cs="宋体"/>
          <w:color w:val="auto"/>
          <w:kern w:val="0"/>
          <w:sz w:val="21"/>
          <w:szCs w:val="21"/>
          <w:highlight w:val="none"/>
        </w:rPr>
        <w:t>20.3.2 争议评审小组的决定</w:t>
      </w:r>
      <w:bookmarkEnd w:id="269"/>
      <w:bookmarkEnd w:id="270"/>
      <w:bookmarkEnd w:id="271"/>
      <w:bookmarkEnd w:id="272"/>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合同当事人关于本项的约定：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after="120" w:line="240" w:lineRule="auto"/>
        <w:ind w:firstLine="420" w:firstLineChars="200"/>
        <w:outlineLvl w:val="0"/>
        <w:rPr>
          <w:rFonts w:hint="eastAsia" w:ascii="宋体" w:hAnsi="宋体" w:eastAsia="宋体" w:cs="宋体"/>
          <w:color w:val="auto"/>
          <w:sz w:val="21"/>
          <w:szCs w:val="21"/>
          <w:highlight w:val="none"/>
        </w:rPr>
      </w:pPr>
      <w:bookmarkStart w:id="273" w:name="_Toc11715"/>
      <w:bookmarkStart w:id="274" w:name="_Toc32204"/>
      <w:bookmarkStart w:id="275" w:name="_Toc1779"/>
      <w:bookmarkStart w:id="276" w:name="_Toc29246"/>
      <w:r>
        <w:rPr>
          <w:rFonts w:hint="eastAsia" w:ascii="宋体" w:hAnsi="宋体" w:eastAsia="宋体" w:cs="宋体"/>
          <w:color w:val="auto"/>
          <w:sz w:val="21"/>
          <w:szCs w:val="21"/>
          <w:highlight w:val="none"/>
        </w:rPr>
        <w:t>20.4仲裁或诉讼</w:t>
      </w:r>
      <w:bookmarkEnd w:id="273"/>
      <w:bookmarkEnd w:id="274"/>
      <w:bookmarkEnd w:id="275"/>
      <w:bookmarkEnd w:id="276"/>
    </w:p>
    <w:p>
      <w:pPr>
        <w:pageBreakBefore w:val="0"/>
        <w:kinsoku/>
        <w:wordWrap/>
        <w:overflowPunct/>
        <w:topLinePunct w:val="0"/>
        <w:bidi w:val="0"/>
        <w:spacing w:after="12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因合同及合同有关事项发生的争议，按下列第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种方式解决：</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安庆</w:t>
      </w:r>
      <w:r>
        <w:rPr>
          <w:rFonts w:hint="eastAsia" w:ascii="宋体" w:hAnsi="宋体" w:eastAsia="宋体" w:cs="宋体"/>
          <w:color w:val="auto"/>
          <w:sz w:val="21"/>
          <w:szCs w:val="21"/>
          <w:highlight w:val="none"/>
        </w:rPr>
        <w:t>仲裁委员会申请仲裁；</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u w:val="single"/>
          <w:lang w:val="en-US" w:eastAsia="zh-CN"/>
        </w:rPr>
        <w:t xml:space="preserve"> 工程所在地有管辖权的 </w:t>
      </w:r>
      <w:r>
        <w:rPr>
          <w:rFonts w:hint="eastAsia" w:ascii="宋体" w:hAnsi="宋体" w:eastAsia="宋体" w:cs="宋体"/>
          <w:color w:val="auto"/>
          <w:sz w:val="21"/>
          <w:szCs w:val="21"/>
          <w:highlight w:val="none"/>
        </w:rPr>
        <w:t>人民法院起诉。</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21.补充条款</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1.承包人必须严格按《安庆市人民政府办公室关于印发安庆市工程建设领域农民工工资专用账户和工程款分账管理办法的通知》（宜政办秘〔2021〕17号）的规定执行。</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2.承包人应严格按照国家有关法律、法规和</w:t>
      </w:r>
      <w:r>
        <w:rPr>
          <w:rFonts w:hint="eastAsia" w:ascii="宋体" w:hAnsi="宋体" w:cs="宋体"/>
          <w:b/>
          <w:color w:val="auto"/>
          <w:sz w:val="21"/>
          <w:szCs w:val="21"/>
          <w:highlight w:val="none"/>
          <w:lang w:eastAsia="zh-CN"/>
        </w:rPr>
        <w:t>竞争性磋商文件</w:t>
      </w:r>
      <w:r>
        <w:rPr>
          <w:rFonts w:hint="eastAsia" w:ascii="宋体" w:hAnsi="宋体" w:eastAsia="宋体" w:cs="宋体"/>
          <w:b/>
          <w:color w:val="auto"/>
          <w:sz w:val="21"/>
          <w:szCs w:val="21"/>
          <w:highlight w:val="none"/>
        </w:rPr>
        <w:t>、建设工程施工合同、施工图设计文件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3.承包人应仔细勘查现场，充分考虑现场装卸条件、材料堆放、实际状况等施工环境和市场风险，由此造成的造价增加或工期延误等一切责任均由承包人自负。</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4.承包人必须根据发包人的要求采取切实可行的措施并确保交通畅通和安全，施工中采取保护措施，确保各类管线安全运营，确保沿线居民出行通畅，将施工给群众带来的干扰降至最低。</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5.工程施工期间，承包人必须按照</w:t>
      </w:r>
      <w:r>
        <w:rPr>
          <w:rFonts w:hint="eastAsia" w:ascii="宋体" w:hAnsi="宋体" w:cs="宋体"/>
          <w:b/>
          <w:color w:val="auto"/>
          <w:sz w:val="21"/>
          <w:szCs w:val="21"/>
          <w:highlight w:val="none"/>
          <w:lang w:eastAsia="zh-CN"/>
        </w:rPr>
        <w:t>竞争性磋商文件</w:t>
      </w:r>
      <w:r>
        <w:rPr>
          <w:rFonts w:hint="eastAsia" w:ascii="宋体" w:hAnsi="宋体" w:eastAsia="宋体" w:cs="宋体"/>
          <w:b/>
          <w:color w:val="auto"/>
          <w:sz w:val="21"/>
          <w:szCs w:val="21"/>
          <w:highlight w:val="none"/>
        </w:rPr>
        <w:t>要求和响应文件承诺，以及经批准的施工组织设计、总进度计划、关键节点的进度计划，向发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-5000元/台·天。累计出现10次（含10次）以上者，影响工程进度且不能如期完成节点工期或总工期的，发包人可解除合同，并要求承包人赔偿给发包人造成的损失。</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6.开展党建工作要求</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根据《中国共产党支部工作条例（试行）》第二章组织设置第五条：为期6个月以上的工程、工作项目等，符合条件的，应当成立党支部。</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 w:val="21"/>
          <w:szCs w:val="21"/>
          <w:highlight w:val="none"/>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pPr>
        <w:pageBreakBefore w:val="0"/>
        <w:kinsoku/>
        <w:wordWrap/>
        <w:overflowPunct/>
        <w:topLinePunct w:val="0"/>
        <w:bidi w:val="0"/>
        <w:spacing w:beforeAutospacing="0" w:afterAutospacing="0" w:line="240" w:lineRule="auto"/>
        <w:ind w:firstLine="442" w:firstLineChars="200"/>
        <w:jc w:val="left"/>
        <w:rPr>
          <w:rFonts w:hint="eastAsia" w:ascii="宋体" w:hAnsi="宋体" w:eastAsia="宋体" w:cs="宋体"/>
          <w:b/>
          <w:color w:val="auto"/>
          <w:kern w:val="0"/>
          <w:sz w:val="22"/>
          <w:szCs w:val="21"/>
          <w:highlight w:val="none"/>
        </w:rPr>
      </w:pPr>
    </w:p>
    <w:p>
      <w:pPr>
        <w:pageBreakBefore w:val="0"/>
        <w:kinsoku/>
        <w:wordWrap/>
        <w:overflowPunct/>
        <w:topLinePunct w:val="0"/>
        <w:bidi w:val="0"/>
        <w:spacing w:beforeAutospacing="0" w:afterAutospacing="0" w:line="24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w:t>
      </w: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协议书附件：</w:t>
      </w: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附件1：承包人承揽工程项目一览表</w:t>
      </w: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专用合同条款附件：</w:t>
      </w: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附件2：发包人供应材料设备一览表</w:t>
      </w: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附件3：工程质量保修书</w:t>
      </w: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附件4：主要建设工程文件目录</w:t>
      </w: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附件5：承包人用于本工程施工的机械设备表</w:t>
      </w: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附件6：承包人主要施工管理人员表</w:t>
      </w: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附件7：分包人主要施工管理人员表</w:t>
      </w: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附件8：履约担保格式</w:t>
      </w: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附件9：预付款担保格式</w:t>
      </w: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附件10：支付担保格式</w:t>
      </w: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附件11：暂估价一览表</w:t>
      </w:r>
    </w:p>
    <w:p>
      <w:pPr>
        <w:pStyle w:val="83"/>
        <w:rPr>
          <w:rFonts w:hint="eastAsia" w:ascii="宋体" w:hAnsi="宋体" w:eastAsia="宋体" w:cs="宋体"/>
          <w:color w:val="auto"/>
          <w:szCs w:val="21"/>
          <w:highlight w:val="none"/>
        </w:rPr>
      </w:pPr>
    </w:p>
    <w:p>
      <w:pPr>
        <w:pStyle w:val="83"/>
        <w:rPr>
          <w:rFonts w:hint="eastAsia" w:ascii="宋体" w:hAnsi="宋体" w:eastAsia="宋体" w:cs="宋体"/>
          <w:color w:val="auto"/>
          <w:szCs w:val="21"/>
          <w:highlight w:val="none"/>
        </w:rPr>
      </w:pPr>
    </w:p>
    <w:p>
      <w:pPr>
        <w:pStyle w:val="83"/>
        <w:rPr>
          <w:rFonts w:hint="eastAsia" w:ascii="宋体" w:hAnsi="宋体" w:eastAsia="宋体" w:cs="宋体"/>
          <w:color w:val="auto"/>
          <w:szCs w:val="21"/>
          <w:highlight w:val="none"/>
        </w:rPr>
      </w:pPr>
    </w:p>
    <w:p>
      <w:pPr>
        <w:pStyle w:val="83"/>
        <w:rPr>
          <w:rFonts w:hint="eastAsia" w:ascii="宋体" w:hAnsi="宋体" w:eastAsia="宋体" w:cs="宋体"/>
          <w:color w:val="auto"/>
          <w:szCs w:val="21"/>
          <w:highlight w:val="none"/>
        </w:rPr>
      </w:pPr>
    </w:p>
    <w:p>
      <w:pPr>
        <w:pStyle w:val="83"/>
        <w:rPr>
          <w:rFonts w:hint="eastAsia" w:ascii="宋体" w:hAnsi="宋体" w:eastAsia="宋体" w:cs="宋体"/>
          <w:color w:val="auto"/>
          <w:szCs w:val="21"/>
          <w:highlight w:val="none"/>
        </w:rPr>
      </w:pPr>
    </w:p>
    <w:p>
      <w:pPr>
        <w:pStyle w:val="83"/>
        <w:rPr>
          <w:rFonts w:hint="eastAsia" w:ascii="宋体" w:hAnsi="宋体" w:eastAsia="宋体" w:cs="宋体"/>
          <w:color w:val="auto"/>
          <w:szCs w:val="21"/>
          <w:highlight w:val="none"/>
        </w:rPr>
      </w:pPr>
    </w:p>
    <w:p>
      <w:pPr>
        <w:pStyle w:val="83"/>
        <w:rPr>
          <w:rFonts w:hint="eastAsia" w:ascii="宋体" w:hAnsi="宋体" w:eastAsia="宋体" w:cs="宋体"/>
          <w:color w:val="auto"/>
          <w:szCs w:val="21"/>
          <w:highlight w:val="none"/>
        </w:rPr>
      </w:pPr>
    </w:p>
    <w:p>
      <w:pPr>
        <w:pStyle w:val="83"/>
        <w:rPr>
          <w:rFonts w:hint="eastAsia" w:ascii="宋体" w:hAnsi="宋体" w:eastAsia="宋体" w:cs="宋体"/>
          <w:color w:val="auto"/>
          <w:szCs w:val="21"/>
          <w:highlight w:val="none"/>
        </w:rPr>
      </w:pPr>
    </w:p>
    <w:p>
      <w:pPr>
        <w:pStyle w:val="83"/>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附件1：</w:t>
      </w: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承包人承揽工程项目一览表</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705"/>
        <w:gridCol w:w="1222"/>
        <w:gridCol w:w="707"/>
        <w:gridCol w:w="851"/>
        <w:gridCol w:w="1377"/>
        <w:gridCol w:w="943"/>
        <w:gridCol w:w="879"/>
        <w:gridCol w:w="1082"/>
        <w:gridCol w:w="10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leftChars="0" w:right="63"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单位工程名称</w:t>
            </w:r>
          </w:p>
        </w:tc>
        <w:tc>
          <w:tcPr>
            <w:tcW w:w="1705" w:type="dxa"/>
            <w:tcBorders>
              <w:top w:val="single" w:color="auto" w:sz="12" w:space="0"/>
              <w:bottom w:val="doub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leftChars="0" w:right="63"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建设规模</w:t>
            </w:r>
          </w:p>
        </w:tc>
        <w:tc>
          <w:tcPr>
            <w:tcW w:w="1222" w:type="dxa"/>
            <w:tcBorders>
              <w:top w:val="single" w:color="auto" w:sz="12" w:space="0"/>
              <w:bottom w:val="doub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leftChars="0" w:right="63"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建筑面积(平方米)</w:t>
            </w:r>
          </w:p>
        </w:tc>
        <w:tc>
          <w:tcPr>
            <w:tcW w:w="707" w:type="dxa"/>
            <w:tcBorders>
              <w:top w:val="single" w:color="auto" w:sz="12" w:space="0"/>
              <w:bottom w:val="doub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leftChars="0" w:right="63"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结构形式</w:t>
            </w:r>
          </w:p>
        </w:tc>
        <w:tc>
          <w:tcPr>
            <w:tcW w:w="851" w:type="dxa"/>
            <w:tcBorders>
              <w:top w:val="single" w:color="auto" w:sz="12" w:space="0"/>
              <w:bottom w:val="doub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leftChars="0" w:right="63"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层数</w:t>
            </w:r>
          </w:p>
        </w:tc>
        <w:tc>
          <w:tcPr>
            <w:tcW w:w="1377" w:type="dxa"/>
            <w:tcBorders>
              <w:top w:val="single" w:color="auto" w:sz="12" w:space="0"/>
              <w:bottom w:val="doub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leftChars="0" w:right="63"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生产能力</w:t>
            </w:r>
          </w:p>
        </w:tc>
        <w:tc>
          <w:tcPr>
            <w:tcW w:w="943" w:type="dxa"/>
            <w:tcBorders>
              <w:top w:val="single" w:color="auto" w:sz="12" w:space="0"/>
              <w:bottom w:val="doub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leftChars="0" w:right="63"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设备安装内容</w:t>
            </w:r>
          </w:p>
        </w:tc>
        <w:tc>
          <w:tcPr>
            <w:tcW w:w="879" w:type="dxa"/>
            <w:tcBorders>
              <w:top w:val="single" w:color="auto" w:sz="12" w:space="0"/>
              <w:bottom w:val="doub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leftChars="0" w:right="63"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合同价格（元）</w:t>
            </w:r>
          </w:p>
        </w:tc>
        <w:tc>
          <w:tcPr>
            <w:tcW w:w="1082" w:type="dxa"/>
            <w:tcBorders>
              <w:top w:val="single" w:color="auto" w:sz="12" w:space="0"/>
              <w:bottom w:val="doub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leftChars="0" w:right="63"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开工日期</w:t>
            </w:r>
          </w:p>
        </w:tc>
        <w:tc>
          <w:tcPr>
            <w:tcW w:w="1085" w:type="dxa"/>
            <w:tcBorders>
              <w:top w:val="single" w:color="auto" w:sz="12" w:space="0"/>
              <w:bottom w:val="doub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leftChars="0" w:right="63"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5" w:type="dxa"/>
            <w:tcBorders>
              <w:top w:val="doub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22" w:type="dxa"/>
            <w:tcBorders>
              <w:top w:val="doub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07" w:type="dxa"/>
            <w:tcBorders>
              <w:top w:val="doub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tcBorders>
              <w:top w:val="doub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77" w:type="dxa"/>
            <w:tcBorders>
              <w:top w:val="doub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43" w:type="dxa"/>
            <w:tcBorders>
              <w:top w:val="doub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79" w:type="dxa"/>
            <w:tcBorders>
              <w:top w:val="doub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82" w:type="dxa"/>
            <w:tcBorders>
              <w:top w:val="doub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85" w:type="dxa"/>
            <w:tcBorders>
              <w:top w:val="doub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5" w:type="dxa"/>
            <w:tcBorders>
              <w:top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22" w:type="dxa"/>
            <w:tcBorders>
              <w:top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07" w:type="dxa"/>
            <w:tcBorders>
              <w:top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tcBorders>
              <w:top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77" w:type="dxa"/>
            <w:tcBorders>
              <w:top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43" w:type="dxa"/>
            <w:tcBorders>
              <w:top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79" w:type="dxa"/>
            <w:tcBorders>
              <w:top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82" w:type="dxa"/>
            <w:tcBorders>
              <w:top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85" w:type="dxa"/>
            <w:tcBorders>
              <w:top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5"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2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07"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77"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43"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79"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8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85"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5"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2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07"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77"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43"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79"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8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85"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5"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2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07"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77"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43"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79"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8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85"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5"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2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07"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77"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43"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79"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8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85"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5"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2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07"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77"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43"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79"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8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85"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5"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2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07"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77"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43"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79"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8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85"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705"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22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707"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377"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43"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79"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08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085"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5"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2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07"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77"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43"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79"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8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85"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705"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22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707"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377"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43"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79"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08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085"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705"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22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707"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377"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43"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79"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08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085"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705"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22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707"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377"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43"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79"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08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085"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705"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22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707"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377"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43"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79"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08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085"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705"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22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707"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377"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43"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79"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08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085"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r>
    </w:tbl>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Style w:val="24"/>
        <w:rPr>
          <w:rFonts w:hint="eastAsia"/>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w:t>
      </w:r>
      <w:bookmarkStart w:id="277" w:name="_Toc296944564"/>
      <w:bookmarkStart w:id="278" w:name="_Toc267261692"/>
      <w:bookmarkStart w:id="279" w:name="_Toc296891265"/>
      <w:bookmarkStart w:id="280" w:name="_Toc296503225"/>
      <w:bookmarkStart w:id="281" w:name="_Toc296346726"/>
      <w:bookmarkStart w:id="282" w:name="_Toc296891053"/>
      <w:bookmarkStart w:id="283" w:name="_Toc296347224"/>
      <w:r>
        <w:rPr>
          <w:rFonts w:hint="eastAsia" w:ascii="宋体" w:hAnsi="宋体" w:eastAsia="宋体" w:cs="宋体"/>
          <w:color w:val="auto"/>
          <w:szCs w:val="21"/>
          <w:highlight w:val="none"/>
        </w:rPr>
        <w:t>件2：</w:t>
      </w:r>
    </w:p>
    <w:bookmarkEnd w:id="277"/>
    <w:bookmarkEnd w:id="278"/>
    <w:bookmarkEnd w:id="279"/>
    <w:bookmarkEnd w:id="280"/>
    <w:bookmarkEnd w:id="281"/>
    <w:bookmarkEnd w:id="282"/>
    <w:bookmarkEnd w:id="283"/>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发包人供应材料设备一览表</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76" w:type="dxa"/>
            <w:tcBorders>
              <w:top w:val="single" w:color="auto" w:sz="12" w:space="0"/>
              <w:bottom w:val="doub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w:t>
            </w:r>
          </w:p>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0"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设备品种</w:t>
            </w:r>
          </w:p>
        </w:tc>
        <w:tc>
          <w:tcPr>
            <w:tcW w:w="1418" w:type="dxa"/>
            <w:tcBorders>
              <w:top w:val="single" w:color="auto" w:sz="12" w:space="0"/>
              <w:bottom w:val="doub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规格型号</w:t>
            </w:r>
          </w:p>
        </w:tc>
        <w:tc>
          <w:tcPr>
            <w:tcW w:w="940" w:type="dxa"/>
            <w:tcBorders>
              <w:top w:val="single" w:color="auto" w:sz="12" w:space="0"/>
              <w:bottom w:val="doub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851" w:type="dxa"/>
            <w:tcBorders>
              <w:top w:val="single" w:color="auto" w:sz="12" w:space="0"/>
              <w:bottom w:val="doub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044" w:type="dxa"/>
            <w:tcBorders>
              <w:top w:val="single" w:color="auto" w:sz="12" w:space="0"/>
              <w:bottom w:val="doub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单价（元）</w:t>
            </w:r>
          </w:p>
        </w:tc>
        <w:tc>
          <w:tcPr>
            <w:tcW w:w="992" w:type="dxa"/>
            <w:tcBorders>
              <w:top w:val="single" w:color="auto" w:sz="12" w:space="0"/>
              <w:bottom w:val="doub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质量等级</w:t>
            </w:r>
          </w:p>
        </w:tc>
        <w:tc>
          <w:tcPr>
            <w:tcW w:w="851" w:type="dxa"/>
            <w:tcBorders>
              <w:top w:val="single" w:color="auto" w:sz="12" w:space="0"/>
              <w:bottom w:val="doub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供应时间</w:t>
            </w:r>
          </w:p>
        </w:tc>
        <w:tc>
          <w:tcPr>
            <w:tcW w:w="1487" w:type="dxa"/>
            <w:tcBorders>
              <w:top w:val="single" w:color="auto" w:sz="12" w:space="0"/>
              <w:bottom w:val="doub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送达地点</w:t>
            </w:r>
          </w:p>
        </w:tc>
        <w:tc>
          <w:tcPr>
            <w:tcW w:w="992" w:type="dxa"/>
            <w:tcBorders>
              <w:top w:val="single" w:color="auto" w:sz="12" w:space="0"/>
              <w:bottom w:val="doub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76" w:type="dxa"/>
            <w:tcBorders>
              <w:top w:val="doub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tcBorders>
              <w:top w:val="doub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40" w:type="dxa"/>
            <w:tcBorders>
              <w:top w:val="doub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tcBorders>
              <w:top w:val="doub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44" w:type="dxa"/>
            <w:tcBorders>
              <w:top w:val="doub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92" w:type="dxa"/>
            <w:tcBorders>
              <w:top w:val="doub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tcBorders>
              <w:top w:val="doub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87" w:type="dxa"/>
            <w:tcBorders>
              <w:top w:val="doub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92" w:type="dxa"/>
            <w:tcBorders>
              <w:top w:val="doub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76" w:type="dxa"/>
            <w:tcBorders>
              <w:top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tcBorders>
              <w:top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40" w:type="dxa"/>
            <w:tcBorders>
              <w:top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tcBorders>
              <w:top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44" w:type="dxa"/>
            <w:tcBorders>
              <w:top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92" w:type="dxa"/>
            <w:tcBorders>
              <w:top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tcBorders>
              <w:top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87" w:type="dxa"/>
            <w:tcBorders>
              <w:top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92" w:type="dxa"/>
            <w:tcBorders>
              <w:top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76"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4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4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9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87"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9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76"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4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4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9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87"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9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76"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4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4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9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87"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9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76"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4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4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9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87"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9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76"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4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4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9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87"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9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76"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4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4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9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87"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9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276"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418"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40"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044"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9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487"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9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76"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4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4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9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87"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9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276"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418"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40"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044"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9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487"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9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276"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418"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40"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044"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9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487"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9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276"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418"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40"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044"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9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487"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9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276"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418"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40"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044"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9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487"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9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276"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418"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40"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044"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9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85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487"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992"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p>
        </w:tc>
      </w:tr>
    </w:tbl>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Style w:val="24"/>
        <w:rPr>
          <w:rFonts w:hint="eastAsia"/>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w:t>
      </w:r>
      <w:bookmarkStart w:id="284" w:name="_Toc296944565"/>
      <w:bookmarkStart w:id="285" w:name="_Toc296347225"/>
      <w:bookmarkStart w:id="286" w:name="_Toc267261693"/>
      <w:bookmarkStart w:id="287" w:name="_Toc296346727"/>
      <w:bookmarkStart w:id="288" w:name="_Toc296891054"/>
      <w:bookmarkStart w:id="289" w:name="_Toc296891266"/>
      <w:bookmarkStart w:id="290" w:name="_Toc296503226"/>
      <w:r>
        <w:rPr>
          <w:rFonts w:hint="eastAsia" w:ascii="宋体" w:hAnsi="宋体" w:eastAsia="宋体" w:cs="宋体"/>
          <w:color w:val="auto"/>
          <w:szCs w:val="21"/>
          <w:highlight w:val="none"/>
        </w:rPr>
        <w:t>件3：</w:t>
      </w:r>
      <w:bookmarkEnd w:id="284"/>
      <w:bookmarkEnd w:id="285"/>
      <w:bookmarkEnd w:id="286"/>
      <w:bookmarkEnd w:id="287"/>
      <w:bookmarkEnd w:id="288"/>
      <w:bookmarkEnd w:id="289"/>
      <w:bookmarkEnd w:id="290"/>
    </w:p>
    <w:p>
      <w:pPr>
        <w:pageBreakBefore w:val="0"/>
        <w:kinsoku/>
        <w:wordWrap/>
        <w:overflowPunct/>
        <w:topLinePunct w:val="0"/>
        <w:bidi w:val="0"/>
        <w:spacing w:before="156" w:beforeLines="50" w:after="156" w:after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发包人和承包人根据《中华人民共和国建筑法》和《建设工程质量管理条例》，经协商一致就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（工程全称）签订工程质量保修书。</w:t>
      </w:r>
    </w:p>
    <w:p>
      <w:pPr>
        <w:pageBreakBefore w:val="0"/>
        <w:kinsoku/>
        <w:wordWrap/>
        <w:overflowPunct/>
        <w:topLinePunct w:val="0"/>
        <w:bidi w:val="0"/>
        <w:spacing w:line="24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bookmarkStart w:id="291" w:name="_Toc13923"/>
      <w:bookmarkStart w:id="292" w:name="_Toc6211"/>
      <w:bookmarkStart w:id="293" w:name="_Toc31580"/>
      <w:bookmarkStart w:id="294" w:name="_Toc23173"/>
      <w:r>
        <w:rPr>
          <w:rFonts w:hint="eastAsia" w:ascii="宋体" w:hAnsi="宋体" w:eastAsia="宋体" w:cs="宋体"/>
          <w:color w:val="auto"/>
          <w:sz w:val="21"/>
          <w:szCs w:val="21"/>
          <w:highlight w:val="none"/>
        </w:rPr>
        <w:t>一、工程质量保修范围和内容</w:t>
      </w:r>
      <w:bookmarkEnd w:id="291"/>
      <w:bookmarkEnd w:id="292"/>
      <w:bookmarkEnd w:id="293"/>
      <w:bookmarkEnd w:id="294"/>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承包人在质量保修期内，按照有关法律规定和合同约定，承担工程质量保修责任。</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w:t>
      </w:r>
      <w:bookmarkStart w:id="295" w:name="_Toc2798"/>
      <w:bookmarkStart w:id="296" w:name="_Toc11050"/>
      <w:bookmarkStart w:id="297" w:name="_Toc23961"/>
      <w:bookmarkStart w:id="298" w:name="_Toc21489"/>
      <w:r>
        <w:rPr>
          <w:rFonts w:hint="eastAsia" w:ascii="宋体" w:hAnsi="宋体" w:eastAsia="宋体" w:cs="宋体"/>
          <w:color w:val="auto"/>
          <w:sz w:val="21"/>
          <w:szCs w:val="21"/>
          <w:highlight w:val="none"/>
        </w:rPr>
        <w:t>二、质量保修期</w:t>
      </w:r>
      <w:bookmarkEnd w:id="295"/>
      <w:bookmarkEnd w:id="296"/>
      <w:bookmarkEnd w:id="297"/>
      <w:bookmarkEnd w:id="298"/>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根据《建设工程质量管理条例》及有关规定，工程的质量保修期如下：</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1．地基基础工程和主体结构工程为设计文件规定的工程合理使用年限；</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2．屋面防水工程、有防水要求的卫生间、房间和外墙面的防渗为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pageBreakBefore w:val="0"/>
        <w:kinsoku/>
        <w:wordWrap/>
        <w:overflowPunct/>
        <w:topLinePunct w:val="0"/>
        <w:bidi w:val="0"/>
        <w:spacing w:line="240" w:lineRule="auto"/>
        <w:ind w:left="420" w:leftChars="2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3．装修工程为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pageBreakBefore w:val="0"/>
        <w:kinsoku/>
        <w:wordWrap/>
        <w:overflowPunct/>
        <w:topLinePunct w:val="0"/>
        <w:bidi w:val="0"/>
        <w:spacing w:line="240" w:lineRule="auto"/>
        <w:ind w:left="420" w:leftChars="2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4．电气管线、给排水管道、设备安装工程为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pageBreakBefore w:val="0"/>
        <w:kinsoku/>
        <w:wordWrap/>
        <w:overflowPunct/>
        <w:topLinePunct w:val="0"/>
        <w:bidi w:val="0"/>
        <w:spacing w:line="240" w:lineRule="auto"/>
        <w:ind w:left="420" w:leftChars="2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5．供热与供冷系统为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个采暖期、供冷期；</w:t>
      </w:r>
    </w:p>
    <w:p>
      <w:pPr>
        <w:pageBreakBefore w:val="0"/>
        <w:kinsoku/>
        <w:wordWrap/>
        <w:overflowPunct/>
        <w:topLinePunct w:val="0"/>
        <w:bidi w:val="0"/>
        <w:spacing w:line="240" w:lineRule="auto"/>
        <w:ind w:left="420" w:leftChars="2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6．住宅小区内的给排水设施、道路等配套工程为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pageBreakBefore w:val="0"/>
        <w:kinsoku/>
        <w:wordWrap/>
        <w:overflowPunct/>
        <w:topLinePunct w:val="0"/>
        <w:bidi w:val="0"/>
        <w:spacing w:line="240" w:lineRule="auto"/>
        <w:ind w:left="420" w:leftChars="2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7．其他项目保修期限约定如下：</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质量保修期自工程竣工验收合格之日起计算。</w:t>
      </w:r>
    </w:p>
    <w:p>
      <w:pPr>
        <w:pageBreakBefore w:val="0"/>
        <w:kinsoku/>
        <w:wordWrap/>
        <w:overflowPunct/>
        <w:topLinePunct w:val="0"/>
        <w:bidi w:val="0"/>
        <w:spacing w:line="240" w:lineRule="auto"/>
        <w:ind w:firstLine="420" w:firstLineChars="200"/>
        <w:outlineLvl w:val="0"/>
        <w:rPr>
          <w:rFonts w:hint="eastAsia" w:ascii="宋体" w:hAnsi="宋体" w:eastAsia="宋体" w:cs="宋体"/>
          <w:color w:val="auto"/>
          <w:sz w:val="21"/>
          <w:szCs w:val="21"/>
          <w:highlight w:val="none"/>
        </w:rPr>
      </w:pPr>
      <w:bookmarkStart w:id="299" w:name="_Toc11117"/>
      <w:bookmarkStart w:id="300" w:name="_Toc2139"/>
      <w:bookmarkStart w:id="301" w:name="_Toc4559"/>
      <w:bookmarkStart w:id="302" w:name="_Toc13430"/>
      <w:r>
        <w:rPr>
          <w:rFonts w:hint="eastAsia" w:ascii="宋体" w:hAnsi="宋体" w:eastAsia="宋体" w:cs="宋体"/>
          <w:color w:val="auto"/>
          <w:sz w:val="21"/>
          <w:szCs w:val="21"/>
          <w:highlight w:val="none"/>
        </w:rPr>
        <w:t>三、缺陷责任期</w:t>
      </w:r>
      <w:bookmarkEnd w:id="299"/>
      <w:bookmarkEnd w:id="300"/>
      <w:bookmarkEnd w:id="301"/>
      <w:bookmarkEnd w:id="302"/>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工程缺陷责任期为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个月，缺陷责任期自工程通过竣工验收之日起计算。单位工程先于全部工程进行验收，单位工程缺陷责任期自单位工程验收合格之日起算。</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缺陷责任期终止后，发包人应退还剩余的质量保证金。</w:t>
      </w:r>
    </w:p>
    <w:p>
      <w:pPr>
        <w:pageBreakBefore w:val="0"/>
        <w:kinsoku/>
        <w:wordWrap/>
        <w:overflowPunct/>
        <w:topLinePunct w:val="0"/>
        <w:bidi w:val="0"/>
        <w:spacing w:line="24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303" w:name="_Toc31780"/>
      <w:bookmarkStart w:id="304" w:name="_Toc11514"/>
      <w:bookmarkStart w:id="305" w:name="_Toc11376"/>
      <w:bookmarkStart w:id="306" w:name="_Toc28942"/>
      <w:r>
        <w:rPr>
          <w:rFonts w:hint="eastAsia" w:ascii="宋体" w:hAnsi="宋体" w:eastAsia="宋体" w:cs="宋体"/>
          <w:color w:val="auto"/>
          <w:sz w:val="21"/>
          <w:szCs w:val="21"/>
          <w:highlight w:val="none"/>
        </w:rPr>
        <w:t>四、质量保修责任</w:t>
      </w:r>
      <w:bookmarkEnd w:id="303"/>
      <w:bookmarkEnd w:id="304"/>
      <w:bookmarkEnd w:id="305"/>
      <w:bookmarkEnd w:id="306"/>
    </w:p>
    <w:p>
      <w:pPr>
        <w:pageBreakBefore w:val="0"/>
        <w:kinsoku/>
        <w:wordWrap/>
        <w:overflowPunct/>
        <w:topLinePunct w:val="0"/>
        <w:bidi w:val="0"/>
        <w:spacing w:line="240" w:lineRule="auto"/>
        <w:ind w:left="105" w:leftChars="5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1．属于保修范围、内容的项目，承包人应当在接到保修通知之日起7天内派人保修。承包人不在约定期限内派人保修的，发包人可以委托他人修理。</w:t>
      </w:r>
    </w:p>
    <w:p>
      <w:pPr>
        <w:pageBreakBefore w:val="0"/>
        <w:kinsoku/>
        <w:wordWrap/>
        <w:overflowPunct/>
        <w:topLinePunct w:val="0"/>
        <w:bidi w:val="0"/>
        <w:spacing w:line="240" w:lineRule="auto"/>
        <w:ind w:left="105" w:leftChars="5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2．发生紧急事故需抢修的，承包人在接到事故通知后，应当立即到达事故现场抢修。</w:t>
      </w:r>
    </w:p>
    <w:p>
      <w:pPr>
        <w:pageBreakBefore w:val="0"/>
        <w:kinsoku/>
        <w:wordWrap/>
        <w:overflowPunct/>
        <w:topLinePunct w:val="0"/>
        <w:bidi w:val="0"/>
        <w:spacing w:line="240" w:lineRule="auto"/>
        <w:ind w:left="105" w:leftChars="5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ageBreakBefore w:val="0"/>
        <w:kinsoku/>
        <w:wordWrap/>
        <w:overflowPunct/>
        <w:topLinePunct w:val="0"/>
        <w:bidi w:val="0"/>
        <w:spacing w:line="240" w:lineRule="auto"/>
        <w:ind w:left="420" w:leftChars="2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4．质量保修完成后，由发包人组织验收。</w:t>
      </w:r>
    </w:p>
    <w:p>
      <w:pPr>
        <w:pageBreakBefore w:val="0"/>
        <w:kinsoku/>
        <w:wordWrap/>
        <w:overflowPunct/>
        <w:topLinePunct w:val="0"/>
        <w:bidi w:val="0"/>
        <w:spacing w:line="24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bookmarkStart w:id="307" w:name="_Toc23250"/>
      <w:bookmarkStart w:id="308" w:name="_Toc20699"/>
      <w:bookmarkStart w:id="309" w:name="_Toc23242"/>
      <w:bookmarkStart w:id="310" w:name="_Toc2556"/>
      <w:r>
        <w:rPr>
          <w:rFonts w:hint="eastAsia" w:ascii="宋体" w:hAnsi="宋体" w:eastAsia="宋体" w:cs="宋体"/>
          <w:color w:val="auto"/>
          <w:sz w:val="21"/>
          <w:szCs w:val="21"/>
          <w:highlight w:val="none"/>
        </w:rPr>
        <w:t>五、保修费用</w:t>
      </w:r>
      <w:bookmarkEnd w:id="307"/>
      <w:bookmarkEnd w:id="308"/>
      <w:bookmarkEnd w:id="309"/>
      <w:bookmarkEnd w:id="310"/>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保修费用由造成质量缺陷的责任方承担。</w:t>
      </w:r>
    </w:p>
    <w:p>
      <w:pPr>
        <w:pageBreakBefore w:val="0"/>
        <w:kinsoku/>
        <w:wordWrap/>
        <w:overflowPunct/>
        <w:topLinePunct w:val="0"/>
        <w:bidi w:val="0"/>
        <w:spacing w:line="240" w:lineRule="auto"/>
        <w:ind w:firstLine="422" w:firstLineChars="200"/>
        <w:jc w:val="left"/>
        <w:outlineLvl w:val="0"/>
        <w:rPr>
          <w:rFonts w:hint="eastAsia" w:ascii="宋体" w:hAnsi="宋体" w:eastAsia="宋体" w:cs="宋体"/>
          <w:color w:val="auto"/>
          <w:sz w:val="21"/>
          <w:szCs w:val="21"/>
          <w:highlight w:val="none"/>
          <w:u w:val="single"/>
        </w:rPr>
      </w:pPr>
      <w:bookmarkStart w:id="311" w:name="_Toc15511"/>
      <w:bookmarkStart w:id="312" w:name="_Toc22399"/>
      <w:bookmarkStart w:id="313" w:name="_Toc28329"/>
      <w:bookmarkStart w:id="314" w:name="_Toc28827"/>
      <w:r>
        <w:rPr>
          <w:rFonts w:hint="eastAsia" w:ascii="宋体" w:hAnsi="宋体" w:eastAsia="宋体" w:cs="宋体"/>
          <w:b/>
          <w:color w:val="auto"/>
          <w:sz w:val="21"/>
          <w:szCs w:val="21"/>
          <w:highlight w:val="none"/>
        </w:rPr>
        <w:t>六</w:t>
      </w:r>
      <w:r>
        <w:rPr>
          <w:rFonts w:hint="eastAsia" w:ascii="宋体" w:hAnsi="宋体" w:eastAsia="宋体" w:cs="宋体"/>
          <w:color w:val="auto"/>
          <w:sz w:val="21"/>
          <w:szCs w:val="21"/>
          <w:highlight w:val="none"/>
        </w:rPr>
        <w:t>、双方约定的其他工程质量保修事项：</w:t>
      </w:r>
      <w:bookmarkEnd w:id="311"/>
      <w:bookmarkEnd w:id="312"/>
      <w:bookmarkEnd w:id="313"/>
      <w:bookmarkEnd w:id="314"/>
      <w:r>
        <w:rPr>
          <w:rFonts w:hint="eastAsia" w:ascii="宋体" w:hAnsi="宋体" w:eastAsia="宋体" w:cs="宋体"/>
          <w:color w:val="auto"/>
          <w:sz w:val="21"/>
          <w:szCs w:val="21"/>
          <w:highlight w:val="none"/>
          <w:u w:val="single"/>
        </w:rPr>
        <w:t xml:space="preserve">                  </w:t>
      </w:r>
    </w:p>
    <w:p>
      <w:pPr>
        <w:pageBreakBefore w:val="0"/>
        <w:kinsoku/>
        <w:wordWrap/>
        <w:overflowPunct/>
        <w:topLinePunct w:val="0"/>
        <w:bidi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240" w:lineRule="auto"/>
        <w:ind w:firstLine="399"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工程质量保修书由发包人、承包人在工程竣工验收前共同签署，作为施工合同附件，其有效期限至保修期满。</w:t>
      </w:r>
    </w:p>
    <w:p>
      <w:pPr>
        <w:pageBreakBefore w:val="0"/>
        <w:kinsoku/>
        <w:wordWrap/>
        <w:overflowPunct/>
        <w:topLinePunct w:val="0"/>
        <w:bidi w:val="0"/>
        <w:spacing w:line="240" w:lineRule="auto"/>
        <w:ind w:firstLine="420"/>
        <w:rPr>
          <w:rFonts w:hint="eastAsia" w:ascii="宋体" w:hAnsi="宋体" w:eastAsia="宋体" w:cs="宋体"/>
          <w:color w:val="auto"/>
          <w:sz w:val="21"/>
          <w:szCs w:val="21"/>
          <w:highlight w:val="none"/>
        </w:rPr>
      </w:pP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 xml:space="preserve"> 承包人(公章)：</w:t>
      </w:r>
      <w:r>
        <w:rPr>
          <w:rFonts w:hint="eastAsia" w:ascii="宋体" w:hAnsi="宋体" w:eastAsia="宋体" w:cs="宋体"/>
          <w:color w:val="auto"/>
          <w:sz w:val="21"/>
          <w:szCs w:val="21"/>
          <w:highlight w:val="none"/>
          <w:u w:val="single"/>
        </w:rPr>
        <w:t xml:space="preserve">           </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u w:val="single"/>
        </w:rPr>
        <w:t xml:space="preserve">       </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法定代表人(签字)：</w:t>
      </w:r>
      <w:r>
        <w:rPr>
          <w:rFonts w:hint="eastAsia" w:ascii="宋体" w:hAnsi="宋体" w:eastAsia="宋体" w:cs="宋体"/>
          <w:color w:val="auto"/>
          <w:sz w:val="21"/>
          <w:szCs w:val="21"/>
          <w:highlight w:val="none"/>
          <w:u w:val="single"/>
        </w:rPr>
        <w:t xml:space="preserve">       </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委托代理人(签字)：</w:t>
      </w:r>
      <w:r>
        <w:rPr>
          <w:rFonts w:hint="eastAsia" w:ascii="宋体" w:hAnsi="宋体" w:eastAsia="宋体" w:cs="宋体"/>
          <w:color w:val="auto"/>
          <w:sz w:val="21"/>
          <w:szCs w:val="21"/>
          <w:highlight w:val="none"/>
          <w:u w:val="single"/>
        </w:rPr>
        <w:t xml:space="preserve">       </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  真：</w:t>
      </w:r>
      <w:r>
        <w:rPr>
          <w:rFonts w:hint="eastAsia" w:ascii="宋体" w:hAnsi="宋体" w:eastAsia="宋体" w:cs="宋体"/>
          <w:color w:val="auto"/>
          <w:sz w:val="21"/>
          <w:szCs w:val="21"/>
          <w:highlight w:val="none"/>
          <w:u w:val="single"/>
        </w:rPr>
        <w:t xml:space="preserve">     </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pPr>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账  号：</w:t>
      </w:r>
      <w:r>
        <w:rPr>
          <w:rFonts w:hint="eastAsia" w:ascii="宋体" w:hAnsi="宋体" w:eastAsia="宋体" w:cs="宋体"/>
          <w:color w:val="auto"/>
          <w:sz w:val="21"/>
          <w:szCs w:val="21"/>
          <w:highlight w:val="none"/>
          <w:u w:val="single"/>
        </w:rPr>
        <w:t xml:space="preserve">     </w:t>
      </w:r>
    </w:p>
    <w:p>
      <w:pPr>
        <w:pageBreakBefore w:val="0"/>
        <w:kinsoku/>
        <w:wordWrap/>
        <w:overflowPunct/>
        <w:topLinePunct w:val="0"/>
        <w:bidi w:val="0"/>
        <w:spacing w:beforeAutospacing="0" w:afterAutospacing="0"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Style w:val="83"/>
        <w:rPr>
          <w:rFonts w:hint="eastAsia"/>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附件4：</w:t>
      </w: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主要建设工程文件目录</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文件名称</w:t>
            </w:r>
          </w:p>
        </w:tc>
        <w:tc>
          <w:tcPr>
            <w:tcW w:w="1276" w:type="dxa"/>
            <w:tcBorders>
              <w:top w:val="single" w:color="auto" w:sz="12" w:space="0"/>
              <w:bottom w:val="doub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套数</w:t>
            </w:r>
          </w:p>
        </w:tc>
        <w:tc>
          <w:tcPr>
            <w:tcW w:w="1450" w:type="dxa"/>
            <w:tcBorders>
              <w:top w:val="single" w:color="auto" w:sz="12" w:space="0"/>
              <w:bottom w:val="doub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费用（元）</w:t>
            </w:r>
          </w:p>
        </w:tc>
        <w:tc>
          <w:tcPr>
            <w:tcW w:w="1243" w:type="dxa"/>
            <w:tcBorders>
              <w:top w:val="single" w:color="auto" w:sz="12" w:space="0"/>
              <w:bottom w:val="doub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w:t>
            </w:r>
          </w:p>
        </w:tc>
        <w:tc>
          <w:tcPr>
            <w:tcW w:w="1450" w:type="dxa"/>
            <w:tcBorders>
              <w:top w:val="single" w:color="auto" w:sz="12" w:space="0"/>
              <w:bottom w:val="double" w:color="auto" w:sz="6"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移交时间</w:t>
            </w:r>
          </w:p>
        </w:tc>
        <w:tc>
          <w:tcPr>
            <w:tcW w:w="1667" w:type="dxa"/>
            <w:tcBorders>
              <w:top w:val="single" w:color="auto" w:sz="12" w:space="0"/>
              <w:bottom w:val="double" w:color="auto" w:sz="6"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76" w:type="dxa"/>
            <w:tcBorders>
              <w:top w:val="doub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50" w:type="dxa"/>
            <w:tcBorders>
              <w:top w:val="doub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43" w:type="dxa"/>
            <w:tcBorders>
              <w:top w:val="doub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50" w:type="dxa"/>
            <w:tcBorders>
              <w:top w:val="doub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667" w:type="dxa"/>
            <w:tcBorders>
              <w:top w:val="doub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76" w:type="dxa"/>
            <w:tcBorders>
              <w:top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50" w:type="dxa"/>
            <w:tcBorders>
              <w:top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43" w:type="dxa"/>
            <w:tcBorders>
              <w:top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50" w:type="dxa"/>
            <w:tcBorders>
              <w:top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667" w:type="dxa"/>
            <w:tcBorders>
              <w:top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76"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5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43"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5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667"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76"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5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43"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5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667"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76"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5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43"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5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667"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76"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5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43"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5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667"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76"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5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43"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5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667"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76"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5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43"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5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667"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276"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5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243"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5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667"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76"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5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243"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5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667"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276"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5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243"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5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667"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276"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5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243"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5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667"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276"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5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243"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5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667"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276"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5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243"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5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667"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276"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5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243"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5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667"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276"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5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243"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5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667"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r>
    </w:tbl>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w:t>
      </w:r>
      <w:bookmarkStart w:id="315" w:name="_Toc296944566"/>
      <w:bookmarkStart w:id="316" w:name="_Toc296346728"/>
      <w:bookmarkStart w:id="317" w:name="_Toc296891267"/>
      <w:bookmarkStart w:id="318" w:name="_Toc296347226"/>
      <w:bookmarkStart w:id="319" w:name="_Toc296503227"/>
      <w:bookmarkStart w:id="320" w:name="_Toc296891055"/>
      <w:bookmarkStart w:id="321" w:name="_Toc267261698"/>
      <w:r>
        <w:rPr>
          <w:rFonts w:hint="eastAsia" w:ascii="宋体" w:hAnsi="宋体" w:eastAsia="宋体" w:cs="宋体"/>
          <w:color w:val="auto"/>
          <w:szCs w:val="21"/>
          <w:highlight w:val="none"/>
        </w:rPr>
        <w:t>件5：</w:t>
      </w:r>
    </w:p>
    <w:bookmarkEnd w:id="315"/>
    <w:bookmarkEnd w:id="316"/>
    <w:bookmarkEnd w:id="317"/>
    <w:bookmarkEnd w:id="318"/>
    <w:bookmarkEnd w:id="319"/>
    <w:bookmarkEnd w:id="320"/>
    <w:bookmarkEnd w:id="321"/>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承包人用于本工程施工的机械设备表</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418" w:type="dxa"/>
            <w:tcBorders>
              <w:top w:val="single" w:color="auto" w:sz="12" w:space="0"/>
              <w:bottom w:val="doub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机械或设备名称</w:t>
            </w:r>
          </w:p>
        </w:tc>
        <w:tc>
          <w:tcPr>
            <w:tcW w:w="850" w:type="dxa"/>
            <w:tcBorders>
              <w:top w:val="single" w:color="auto" w:sz="12" w:space="0"/>
              <w:bottom w:val="doub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规格型号</w:t>
            </w:r>
          </w:p>
        </w:tc>
        <w:tc>
          <w:tcPr>
            <w:tcW w:w="1058" w:type="dxa"/>
            <w:tcBorders>
              <w:top w:val="single" w:color="auto" w:sz="12" w:space="0"/>
              <w:bottom w:val="doub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880" w:type="dxa"/>
            <w:tcBorders>
              <w:top w:val="single" w:color="auto" w:sz="12" w:space="0"/>
              <w:bottom w:val="doub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1020" w:type="dxa"/>
            <w:tcBorders>
              <w:top w:val="single" w:color="auto" w:sz="12" w:space="0"/>
              <w:bottom w:val="doub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制造年份</w:t>
            </w:r>
          </w:p>
        </w:tc>
        <w:tc>
          <w:tcPr>
            <w:tcW w:w="1480" w:type="dxa"/>
            <w:tcBorders>
              <w:top w:val="single" w:color="auto" w:sz="12" w:space="0"/>
              <w:bottom w:val="doub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额定功率(kW)</w:t>
            </w:r>
          </w:p>
        </w:tc>
        <w:tc>
          <w:tcPr>
            <w:tcW w:w="1020" w:type="dxa"/>
            <w:tcBorders>
              <w:top w:val="single" w:color="auto" w:sz="12" w:space="0"/>
              <w:bottom w:val="doub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生产能力</w:t>
            </w:r>
          </w:p>
        </w:tc>
        <w:tc>
          <w:tcPr>
            <w:tcW w:w="921" w:type="dxa"/>
            <w:tcBorders>
              <w:top w:val="single" w:color="auto" w:sz="12" w:space="0"/>
              <w:bottom w:val="doub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tcBorders>
              <w:top w:val="doub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0" w:type="dxa"/>
            <w:tcBorders>
              <w:top w:val="doub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58" w:type="dxa"/>
            <w:tcBorders>
              <w:top w:val="doub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80" w:type="dxa"/>
            <w:tcBorders>
              <w:top w:val="doub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tcBorders>
              <w:top w:val="doub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80" w:type="dxa"/>
            <w:tcBorders>
              <w:top w:val="doub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tcBorders>
              <w:top w:val="doub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21" w:type="dxa"/>
            <w:tcBorders>
              <w:top w:val="doub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tcBorders>
              <w:top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0" w:type="dxa"/>
            <w:tcBorders>
              <w:top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58" w:type="dxa"/>
            <w:tcBorders>
              <w:top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80" w:type="dxa"/>
            <w:tcBorders>
              <w:top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tcBorders>
              <w:top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80" w:type="dxa"/>
            <w:tcBorders>
              <w:top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tcBorders>
              <w:top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21" w:type="dxa"/>
            <w:tcBorders>
              <w:top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58"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8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8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21"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58"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8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8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21"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58"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8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8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21"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58"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8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8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21"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58"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8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8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21"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58"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8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8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21"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18"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85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058"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88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02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8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02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921"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58"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8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8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020"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921"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18"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85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058"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88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02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8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02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921"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18"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85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058"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88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02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8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02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921"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18"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85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058"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88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02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8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02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921"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18"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85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058"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88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02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8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02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921"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18"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85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058"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88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02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48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1020"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c>
          <w:tcPr>
            <w:tcW w:w="921"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宋体" w:hAnsi="宋体" w:eastAsia="宋体" w:cs="宋体"/>
                <w:color w:val="auto"/>
                <w:szCs w:val="21"/>
                <w:highlight w:val="none"/>
              </w:rPr>
            </w:pPr>
          </w:p>
        </w:tc>
      </w:tr>
    </w:tbl>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w:t>
      </w:r>
      <w:bookmarkStart w:id="322" w:name="_Toc296346729"/>
      <w:bookmarkStart w:id="323" w:name="_Toc296891056"/>
      <w:bookmarkStart w:id="324" w:name="_Toc296503228"/>
      <w:bookmarkStart w:id="325" w:name="_Toc296944567"/>
      <w:bookmarkStart w:id="326" w:name="_Toc296891268"/>
      <w:bookmarkStart w:id="327" w:name="_Toc267261699"/>
      <w:bookmarkStart w:id="328" w:name="_Toc296347227"/>
      <w:r>
        <w:rPr>
          <w:rFonts w:hint="eastAsia" w:ascii="宋体" w:hAnsi="宋体" w:eastAsia="宋体" w:cs="宋体"/>
          <w:color w:val="auto"/>
          <w:szCs w:val="21"/>
          <w:highlight w:val="none"/>
        </w:rPr>
        <w:t>件6：</w:t>
      </w:r>
    </w:p>
    <w:bookmarkEnd w:id="322"/>
    <w:bookmarkEnd w:id="323"/>
    <w:bookmarkEnd w:id="324"/>
    <w:bookmarkEnd w:id="325"/>
    <w:bookmarkEnd w:id="326"/>
    <w:bookmarkEnd w:id="327"/>
    <w:bookmarkEnd w:id="328"/>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承包人主要施工管理人员表</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418" w:type="dxa"/>
            <w:tcBorders>
              <w:top w:val="single" w:color="auto" w:sz="12" w:space="0"/>
              <w:bottom w:val="doub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134" w:type="dxa"/>
            <w:tcBorders>
              <w:top w:val="single" w:color="auto" w:sz="12" w:space="0"/>
              <w:bottom w:val="doub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1134" w:type="dxa"/>
            <w:tcBorders>
              <w:top w:val="single" w:color="auto" w:sz="12" w:space="0"/>
              <w:bottom w:val="doub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4252" w:type="dxa"/>
            <w:tcBorders>
              <w:top w:val="single" w:color="auto" w:sz="12" w:space="0"/>
              <w:bottom w:val="doub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项目主管</w:t>
            </w:r>
          </w:p>
        </w:tc>
        <w:tc>
          <w:tcPr>
            <w:tcW w:w="1418" w:type="dxa"/>
            <w:tcBorders>
              <w:top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tcBorders>
              <w:top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tcBorders>
              <w:top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tcBorders>
              <w:top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其他人员</w:t>
            </w:r>
          </w:p>
        </w:tc>
        <w:tc>
          <w:tcPr>
            <w:tcW w:w="1418"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c>
          <w:tcPr>
            <w:tcW w:w="1418"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项目副经理</w:t>
            </w:r>
          </w:p>
        </w:tc>
        <w:tc>
          <w:tcPr>
            <w:tcW w:w="1418"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1418"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造价管理</w:t>
            </w:r>
          </w:p>
        </w:tc>
        <w:tc>
          <w:tcPr>
            <w:tcW w:w="1418"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质量管理</w:t>
            </w:r>
          </w:p>
        </w:tc>
        <w:tc>
          <w:tcPr>
            <w:tcW w:w="1418"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材料管理</w:t>
            </w:r>
          </w:p>
        </w:tc>
        <w:tc>
          <w:tcPr>
            <w:tcW w:w="1418"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计划管理</w:t>
            </w:r>
          </w:p>
        </w:tc>
        <w:tc>
          <w:tcPr>
            <w:tcW w:w="1418"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安全管理</w:t>
            </w:r>
          </w:p>
        </w:tc>
        <w:tc>
          <w:tcPr>
            <w:tcW w:w="1418"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vMerge w:val="restart"/>
            <w:tcBorders>
              <w:top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其他人员</w:t>
            </w:r>
          </w:p>
        </w:tc>
        <w:tc>
          <w:tcPr>
            <w:tcW w:w="1418"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vMerge w:val="continue"/>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tcBorders>
              <w:bottom w:val="single" w:color="auto" w:sz="12"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tcBorders>
              <w:bottom w:val="single" w:color="auto" w:sz="12"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tcBorders>
              <w:bottom w:val="single" w:color="auto" w:sz="12"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tcBorders>
              <w:bottom w:val="single" w:color="auto" w:sz="12"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bl>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w:t>
      </w:r>
      <w:bookmarkStart w:id="329" w:name="_Toc296891269"/>
      <w:bookmarkStart w:id="330" w:name="_Toc296944568"/>
      <w:bookmarkStart w:id="331" w:name="_Toc296346730"/>
      <w:bookmarkStart w:id="332" w:name="_Toc296503229"/>
      <w:bookmarkStart w:id="333" w:name="_Toc296347228"/>
      <w:bookmarkStart w:id="334" w:name="_Toc296891057"/>
      <w:r>
        <w:rPr>
          <w:rFonts w:hint="eastAsia" w:ascii="宋体" w:hAnsi="宋体" w:eastAsia="宋体" w:cs="宋体"/>
          <w:color w:val="auto"/>
          <w:szCs w:val="21"/>
          <w:highlight w:val="none"/>
        </w:rPr>
        <w:t>件7：</w:t>
      </w:r>
    </w:p>
    <w:bookmarkEnd w:id="329"/>
    <w:bookmarkEnd w:id="330"/>
    <w:bookmarkEnd w:id="331"/>
    <w:bookmarkEnd w:id="332"/>
    <w:bookmarkEnd w:id="333"/>
    <w:bookmarkEnd w:id="334"/>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分包人主要施工管理人员表</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418" w:type="dxa"/>
            <w:tcBorders>
              <w:top w:val="single" w:color="auto" w:sz="12" w:space="0"/>
              <w:bottom w:val="doub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134" w:type="dxa"/>
            <w:tcBorders>
              <w:top w:val="single" w:color="auto" w:sz="12" w:space="0"/>
              <w:bottom w:val="doub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1134" w:type="dxa"/>
            <w:tcBorders>
              <w:top w:val="single" w:color="auto" w:sz="12" w:space="0"/>
              <w:bottom w:val="doub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4252" w:type="dxa"/>
            <w:tcBorders>
              <w:top w:val="single" w:color="auto" w:sz="12" w:space="0"/>
              <w:bottom w:val="doub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项目主管</w:t>
            </w:r>
          </w:p>
        </w:tc>
        <w:tc>
          <w:tcPr>
            <w:tcW w:w="1418" w:type="dxa"/>
            <w:tcBorders>
              <w:top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tcBorders>
              <w:top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tcBorders>
              <w:top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tcBorders>
              <w:top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其他人员</w:t>
            </w:r>
          </w:p>
        </w:tc>
        <w:tc>
          <w:tcPr>
            <w:tcW w:w="1418"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c>
          <w:tcPr>
            <w:tcW w:w="1418"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项目副经理</w:t>
            </w:r>
          </w:p>
        </w:tc>
        <w:tc>
          <w:tcPr>
            <w:tcW w:w="1418"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1418"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造价管理</w:t>
            </w:r>
          </w:p>
        </w:tc>
        <w:tc>
          <w:tcPr>
            <w:tcW w:w="1418"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质量管理</w:t>
            </w:r>
          </w:p>
        </w:tc>
        <w:tc>
          <w:tcPr>
            <w:tcW w:w="1418"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材料管理</w:t>
            </w:r>
          </w:p>
        </w:tc>
        <w:tc>
          <w:tcPr>
            <w:tcW w:w="1418"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计划管理</w:t>
            </w:r>
          </w:p>
        </w:tc>
        <w:tc>
          <w:tcPr>
            <w:tcW w:w="1418"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安全管理</w:t>
            </w:r>
          </w:p>
        </w:tc>
        <w:tc>
          <w:tcPr>
            <w:tcW w:w="1418"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vMerge w:val="restart"/>
            <w:tcBorders>
              <w:top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其他人员</w:t>
            </w:r>
          </w:p>
        </w:tc>
        <w:tc>
          <w:tcPr>
            <w:tcW w:w="1418"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871" w:type="dxa"/>
            <w:vMerge w:val="continue"/>
            <w:tcBorders>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tcBorders>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tcBorders>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134" w:type="dxa"/>
            <w:tcBorders>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4252" w:type="dxa"/>
            <w:tcBorders>
              <w:bottom w:val="single" w:color="auto" w:sz="6" w:space="0"/>
            </w:tcBorders>
            <w:noWrap w:val="0"/>
            <w:vAlign w:val="center"/>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bl>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bookmarkStart w:id="335" w:name="_Toc267261701"/>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w:t>
      </w:r>
      <w:bookmarkStart w:id="336" w:name="_Toc296346732"/>
      <w:bookmarkStart w:id="337" w:name="_Toc296503231"/>
      <w:bookmarkStart w:id="338" w:name="_Toc296347230"/>
      <w:bookmarkStart w:id="339" w:name="_Toc296891271"/>
      <w:bookmarkStart w:id="340" w:name="_Toc296944570"/>
      <w:bookmarkStart w:id="341" w:name="_Toc296891059"/>
      <w:r>
        <w:rPr>
          <w:rFonts w:hint="eastAsia" w:ascii="宋体" w:hAnsi="宋体" w:eastAsia="宋体" w:cs="宋体"/>
          <w:color w:val="auto"/>
          <w:szCs w:val="21"/>
          <w:highlight w:val="none"/>
        </w:rPr>
        <w:t>件8：</w:t>
      </w:r>
    </w:p>
    <w:bookmarkEnd w:id="335"/>
    <w:bookmarkEnd w:id="336"/>
    <w:bookmarkEnd w:id="337"/>
    <w:bookmarkEnd w:id="338"/>
    <w:bookmarkEnd w:id="339"/>
    <w:bookmarkEnd w:id="340"/>
    <w:bookmarkEnd w:id="341"/>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w:t>
      </w: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（发包人名称）：</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发包人名称，以下简称“发包人”）与（承包人名称）（以下称“承包人”）于年月日就（工程名称）施工及有关事项协商一致共同签订《建设工程施工合同》。我方愿意无条件地、不可撤销地就承包人履行与你方签订的合同，向你方提供连带责任担保。</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1.担保金额人民币（大写）</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2.担保有效期自你方与承包人签订的合同生效之日起至你方签发或应签发工程接收证书之日止。</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3.在本担保有效期内，因承包人违反合同约定的义务给你方造成经济损失时，我方在收到你方以书面形式提出的在担保金额内的赔偿要求后，在7天内无条件支付。</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4.你方和承包人按合同约定变更合同时，我方承担本担保规定的义务不变。</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5.因本保函发生的纠纷，可由双方协商解决，协商不成的，任何一方均可提请仲裁委员会仲裁。</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6.本保函自我方法定代表人（或其</w:t>
      </w:r>
      <w:r>
        <w:rPr>
          <w:rFonts w:hint="eastAsia" w:ascii="宋体" w:hAnsi="宋体" w:eastAsia="宋体" w:cs="宋体"/>
          <w:color w:val="auto"/>
          <w:szCs w:val="21"/>
          <w:highlight w:val="none"/>
          <w:lang w:val="en-US" w:eastAsia="zh-CN"/>
        </w:rPr>
        <w:t>委托</w:t>
      </w:r>
      <w:r>
        <w:rPr>
          <w:rFonts w:hint="eastAsia" w:ascii="宋体" w:hAnsi="宋体" w:eastAsia="宋体" w:cs="宋体"/>
          <w:color w:val="auto"/>
          <w:szCs w:val="21"/>
          <w:highlight w:val="none"/>
        </w:rPr>
        <w:t>代理人）签字并加盖公章之日起生效。</w:t>
      </w: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担保人：（盖单位章）</w:t>
      </w:r>
    </w:p>
    <w:p>
      <w:pPr>
        <w:pageBreakBefore w:val="0"/>
        <w:kinsoku/>
        <w:wordWrap/>
        <w:overflowPunct/>
        <w:topLinePunct w:val="0"/>
        <w:bidi w:val="0"/>
        <w:spacing w:beforeAutospacing="0" w:afterAutospacing="0" w:line="24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法定代表人或其委托代理人：（签字）</w:t>
      </w: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地址：</w:t>
      </w: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邮政编码：</w:t>
      </w: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电话：</w:t>
      </w: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传真：</w:t>
      </w:r>
    </w:p>
    <w:p>
      <w:pPr>
        <w:pageBreakBefore w:val="0"/>
        <w:kinsoku/>
        <w:wordWrap/>
        <w:overflowPunct/>
        <w:topLinePunct w:val="0"/>
        <w:bidi w:val="0"/>
        <w:spacing w:beforeAutospacing="0" w:afterAutospacing="0" w:line="240" w:lineRule="auto"/>
        <w:ind w:left="1329" w:hanging="1329" w:hangingChars="63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日</w:t>
      </w: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w:t>
      </w:r>
      <w:bookmarkStart w:id="342" w:name="_Toc267261702"/>
      <w:bookmarkStart w:id="343" w:name="_Toc296891272"/>
      <w:bookmarkStart w:id="344" w:name="_Toc296503232"/>
      <w:bookmarkStart w:id="345" w:name="_Toc296944571"/>
      <w:bookmarkStart w:id="346" w:name="_Toc296347231"/>
      <w:bookmarkStart w:id="347" w:name="_Toc296891060"/>
      <w:bookmarkStart w:id="348" w:name="_Toc296346733"/>
      <w:r>
        <w:rPr>
          <w:rFonts w:hint="eastAsia" w:ascii="宋体" w:hAnsi="宋体" w:eastAsia="宋体" w:cs="宋体"/>
          <w:color w:val="auto"/>
          <w:szCs w:val="21"/>
          <w:highlight w:val="none"/>
        </w:rPr>
        <w:t>件9：</w:t>
      </w:r>
    </w:p>
    <w:bookmarkEnd w:id="342"/>
    <w:bookmarkEnd w:id="343"/>
    <w:bookmarkEnd w:id="344"/>
    <w:bookmarkEnd w:id="345"/>
    <w:bookmarkEnd w:id="346"/>
    <w:bookmarkEnd w:id="347"/>
    <w:bookmarkEnd w:id="348"/>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预付款担保</w:t>
      </w: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（发包人名称）：</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根据（承包人名称）（以下称“承包人”）与（发包人名称）（以下简称“发包人”）</w:t>
      </w: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于</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日签订的（工程名称）《建设工程施工合同》，承包人按约定的金额向你方提交一份预付款担保，即有权得到你方支付相等金额的预付款。我方愿意就你方提供给承包人的预付款为承包人提供连带责任担保。</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1.担保金额人民币（大写）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2.担保有效期自预付款支付给承包人起生效，至你方签发的进度款支付证书说明已完全扣清止。</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4.你方和承包人按合同约定变更合同时，我方承担本保函规定的义务不变。</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5.因本保函发生的纠纷，可由双方协商解决，协商不成的，任何一方均可提请仲裁委员会仲裁。</w:t>
      </w:r>
    </w:p>
    <w:p>
      <w:pPr>
        <w:pageBreakBefore w:val="0"/>
        <w:kinsoku/>
        <w:wordWrap/>
        <w:overflowPunct/>
        <w:topLinePunct w:val="0"/>
        <w:bidi w:val="0"/>
        <w:spacing w:beforeAutospacing="0" w:afterAutospacing="0"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6.本保函自我方法定代表人（或其</w:t>
      </w:r>
      <w:r>
        <w:rPr>
          <w:rFonts w:hint="eastAsia" w:ascii="宋体" w:hAnsi="宋体" w:eastAsia="宋体" w:cs="宋体"/>
          <w:color w:val="auto"/>
          <w:szCs w:val="21"/>
          <w:highlight w:val="none"/>
          <w:lang w:val="en-US" w:eastAsia="zh-CN"/>
        </w:rPr>
        <w:t>委托</w:t>
      </w:r>
      <w:r>
        <w:rPr>
          <w:rFonts w:hint="eastAsia" w:ascii="宋体" w:hAnsi="宋体" w:eastAsia="宋体" w:cs="宋体"/>
          <w:color w:val="auto"/>
          <w:szCs w:val="21"/>
          <w:highlight w:val="none"/>
        </w:rPr>
        <w:t>代理人）签字并加盖公章之日起生效。</w:t>
      </w:r>
    </w:p>
    <w:p>
      <w:pPr>
        <w:pageBreakBefore w:val="0"/>
        <w:kinsoku/>
        <w:wordWrap/>
        <w:overflowPunct/>
        <w:topLinePunct w:val="0"/>
        <w:bidi w:val="0"/>
        <w:spacing w:beforeAutospacing="0" w:afterAutospacing="0"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担保人：（盖单位章）</w:t>
      </w:r>
    </w:p>
    <w:p>
      <w:pPr>
        <w:pageBreakBefore w:val="0"/>
        <w:kinsoku/>
        <w:wordWrap/>
        <w:overflowPunct/>
        <w:topLinePunct w:val="0"/>
        <w:bidi w:val="0"/>
        <w:spacing w:beforeAutospacing="0" w:afterAutospacing="0" w:line="24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法定代表人或其委托代理人：（签字）</w:t>
      </w: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lang w:val="en-US" w:eastAsia="zh-CN"/>
        </w:rPr>
        <w:t xml:space="preserve">     </w:t>
      </w: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p>
    <w:p>
      <w:pPr>
        <w:pageBreakBefore w:val="0"/>
        <w:kinsoku/>
        <w:wordWrap/>
        <w:overflowPunct/>
        <w:topLinePunct w:val="0"/>
        <w:bidi w:val="0"/>
        <w:spacing w:beforeAutospacing="0" w:afterAutospacing="0" w:line="24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日</w:t>
      </w: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Style w:val="83"/>
        <w:rPr>
          <w:rFonts w:hint="eastAsia" w:ascii="宋体" w:hAnsi="宋体" w:eastAsia="宋体" w:cs="宋体"/>
          <w:color w:val="auto"/>
          <w:szCs w:val="21"/>
          <w:highlight w:val="none"/>
        </w:rPr>
      </w:pPr>
    </w:p>
    <w:p>
      <w:pPr>
        <w:pStyle w:val="83"/>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w:t>
      </w:r>
      <w:bookmarkStart w:id="349" w:name="_Toc296891273"/>
      <w:bookmarkStart w:id="350" w:name="_Toc296944572"/>
      <w:bookmarkStart w:id="351" w:name="_Toc296347232"/>
      <w:bookmarkStart w:id="352" w:name="_Toc296891061"/>
      <w:bookmarkStart w:id="353" w:name="_Toc296503233"/>
      <w:bookmarkStart w:id="354" w:name="_Toc296346734"/>
      <w:r>
        <w:rPr>
          <w:rFonts w:hint="eastAsia" w:ascii="宋体" w:hAnsi="宋体" w:eastAsia="宋体" w:cs="宋体"/>
          <w:color w:val="auto"/>
          <w:szCs w:val="21"/>
          <w:highlight w:val="none"/>
        </w:rPr>
        <w:t>件10:</w:t>
      </w:r>
    </w:p>
    <w:bookmarkEnd w:id="349"/>
    <w:bookmarkEnd w:id="350"/>
    <w:bookmarkEnd w:id="351"/>
    <w:bookmarkEnd w:id="352"/>
    <w:bookmarkEnd w:id="353"/>
    <w:bookmarkEnd w:id="354"/>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支付担保</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鉴于你方作为承包人已经与（发包人名称）（以下称“发包人”）于</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日签订了（工程名称）《建设工程施工合同》（以下称“主合同”），应发包人的申请，我方愿就发包人履行主合同约定的工程款支付义务以保证的方式向你方提供如下担保：</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一、保证的范围及保证金额</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1.我方的保证范围是主合同约定的工程款。</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2.本保函所称主合同约定的工程款是指主合同约定的除工程质量保证金以外的合同价款。</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3.我方保证的金额是主合同约定的工程款的</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%，数额最高不超过人民币</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元（大写：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二、保证的方式及保证期间</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1.我方保证的方式为：连带责任保证。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2.我方保证的期间为：自本合同生效之日起至主合同约定的工程款支付完毕之日后日内。</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3.你方与发包人协议变更工程款支付日期的，经我方书面同意后，保证期间按照变更后的支付日期做相应调整。</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三、承担保证责任的形式</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我方承担保证责任的形式是代为支付。发包人未按主合同约定向你方支付工程款的，由我方在保证金额内代为支付。</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四、代偿的安排</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1.你方要求我方承担保证责任的，应向我方发出书面索赔通知及发包人未支付主合同约定工程款的证明材料。索赔通知应写明要求索赔的金额，支付款项应到达的账号。</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2.在出现你方与发包人因工程质量发生争议，发包人拒绝向你方支付工程款的情形时，你方要求我方履行保证责任代为支付的，需提供符合相应条件要求的工程质量检测机构出具的质量说明材料。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3.我方收到你方的书面索赔通知及相应的证明材料后７天内无条件支付。</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五、保证责任的解除</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1.在本保函承诺的保证期间内，你方未书面向我方主张保证责任的，自保证期间届满次日起，我方保证责任解除。</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2.发包人按主合同约定履行了工程款的全部支付义务的，自本保函承诺的保证期间届满次日起，我方保证责任解除。</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3.我方按照本保函向你方履行保证责任所支付金额达到本保函保证金额时，自我方向你方支付（支付款项从我方账户划出）之日起，保证责任即解除。</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4.按照法律法规的规定或出现应解除我方保证责任的其他情形的，我方在本保函项下的保证责任亦解除。</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5.我方解除保证责任后，你方应自我方保证责任解除之日起个工作日内，将本保函原件</w:t>
      </w:r>
      <w:r>
        <w:rPr>
          <w:rFonts w:hint="eastAsia" w:ascii="宋体" w:hAnsi="宋体" w:eastAsia="宋体" w:cs="宋体"/>
          <w:color w:val="auto"/>
          <w:szCs w:val="21"/>
          <w:highlight w:val="none"/>
          <w:lang w:eastAsia="zh-CN"/>
        </w:rPr>
        <w:t>退还</w:t>
      </w:r>
      <w:r>
        <w:rPr>
          <w:rFonts w:hint="eastAsia" w:ascii="宋体" w:hAnsi="宋体" w:eastAsia="宋体" w:cs="宋体"/>
          <w:color w:val="auto"/>
          <w:szCs w:val="21"/>
          <w:highlight w:val="none"/>
        </w:rPr>
        <w:t>我方。</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六、免责条款</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1.因你方违约致使发包人不能履行义务的，我方不承担保证责任。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2.依照法律法规的规定或你方与发包人的另行约定，免除发包人部分或全部义务的，我方亦免除其相应的保证责任。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3.你方与发包人协议变更主合同的，如加重发包人责任致使我方保证责任加重的，需征得我方书面同意，否则我方不再承担因此而加重部分的保证责任，但主合同第10条〔变更〕约定的变更不受本款限制。</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4.因不可抗力造成发包人不能履行义务的，我方不承担保证责任。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七、争议解决</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因本保函或本保函相关事项发生的纠纷，可由双方协商解决，协商不成的，按下列第</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种方式解决：</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（1）向</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仲裁委员会申请仲裁；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（2）向</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人民法院起诉。</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八、保函的生效</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本保函自我方法定代表人（或其</w:t>
      </w:r>
      <w:r>
        <w:rPr>
          <w:rFonts w:hint="eastAsia" w:ascii="宋体" w:hAnsi="宋体" w:eastAsia="宋体" w:cs="宋体"/>
          <w:color w:val="auto"/>
          <w:szCs w:val="21"/>
          <w:highlight w:val="none"/>
          <w:lang w:val="en-US" w:eastAsia="zh-CN"/>
        </w:rPr>
        <w:t>委托</w:t>
      </w:r>
      <w:r>
        <w:rPr>
          <w:rFonts w:hint="eastAsia" w:ascii="宋体" w:hAnsi="宋体" w:eastAsia="宋体" w:cs="宋体"/>
          <w:color w:val="auto"/>
          <w:szCs w:val="21"/>
          <w:highlight w:val="none"/>
        </w:rPr>
        <w:t>代理人）签字并加盖公章之日起生效。</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60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担保人：（盖章）</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20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法定代表人或委托代理人：（签字）</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地址：</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邮政编码：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传真：</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pStyle w:val="83"/>
        <w:rPr>
          <w:rFonts w:hint="eastAsia"/>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jc w:val="both"/>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jc w:val="both"/>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150" w:firstLine="420" w:firstLineChars="200"/>
        <w:jc w:val="center"/>
        <w:textAlignment w:val="auto"/>
        <w:outlineLvl w:val="9"/>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附件11：</w:t>
      </w: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11-1：材料暂估价表</w:t>
      </w:r>
    </w:p>
    <w:tbl>
      <w:tblPr>
        <w:tblStyle w:val="63"/>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984" w:type="dxa"/>
            <w:tcBorders>
              <w:top w:val="single" w:color="auto" w:sz="12" w:space="0"/>
              <w:bottom w:val="double" w:color="auto" w:sz="6" w:space="0"/>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851" w:type="dxa"/>
            <w:tcBorders>
              <w:top w:val="single" w:color="auto" w:sz="12" w:space="0"/>
              <w:bottom w:val="double" w:color="auto" w:sz="6" w:space="0"/>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774" w:type="dxa"/>
            <w:tcBorders>
              <w:top w:val="single" w:color="auto" w:sz="12" w:space="0"/>
              <w:bottom w:val="double" w:color="auto" w:sz="6" w:space="0"/>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352" w:type="dxa"/>
            <w:tcBorders>
              <w:top w:val="single" w:color="auto" w:sz="12" w:space="0"/>
              <w:bottom w:val="double" w:color="auto" w:sz="6" w:space="0"/>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单价（元）</w:t>
            </w:r>
          </w:p>
        </w:tc>
        <w:tc>
          <w:tcPr>
            <w:tcW w:w="1418" w:type="dxa"/>
            <w:tcBorders>
              <w:top w:val="single" w:color="auto" w:sz="12" w:space="0"/>
              <w:bottom w:val="double" w:color="auto" w:sz="6" w:space="0"/>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合价（元）</w:t>
            </w:r>
          </w:p>
        </w:tc>
        <w:tc>
          <w:tcPr>
            <w:tcW w:w="1701" w:type="dxa"/>
            <w:tcBorders>
              <w:top w:val="single" w:color="auto" w:sz="12" w:space="0"/>
              <w:bottom w:val="double" w:color="auto" w:sz="6" w:space="0"/>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tcBorders>
              <w:top w:val="double" w:color="auto" w:sz="6" w:space="0"/>
              <w:bottom w:val="single" w:color="auto" w:sz="6" w:space="0"/>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tcBorders>
              <w:top w:val="double" w:color="auto" w:sz="6" w:space="0"/>
              <w:bottom w:val="single" w:color="auto" w:sz="6" w:space="0"/>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tcBorders>
              <w:top w:val="double" w:color="auto" w:sz="6" w:space="0"/>
              <w:bottom w:val="single" w:color="auto" w:sz="6" w:space="0"/>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tcBorders>
              <w:top w:val="double" w:color="auto" w:sz="6" w:space="0"/>
              <w:bottom w:val="single" w:color="auto" w:sz="6" w:space="0"/>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tcBorders>
              <w:top w:val="double" w:color="auto" w:sz="6" w:space="0"/>
              <w:bottom w:val="single" w:color="auto" w:sz="6" w:space="0"/>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tcBorders>
              <w:top w:val="double" w:color="auto" w:sz="6" w:space="0"/>
              <w:bottom w:val="single" w:color="auto" w:sz="6" w:space="0"/>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tcBorders>
              <w:top w:val="nil"/>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tcBorders>
              <w:top w:val="nil"/>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tcBorders>
              <w:top w:val="nil"/>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tcBorders>
              <w:top w:val="nil"/>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tcBorders>
              <w:top w:val="nil"/>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tcBorders>
              <w:top w:val="nil"/>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bl>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11-2：工程设备暂估价表</w:t>
      </w:r>
    </w:p>
    <w:tbl>
      <w:tblPr>
        <w:tblStyle w:val="63"/>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984" w:type="dxa"/>
            <w:tcBorders>
              <w:top w:val="single" w:color="auto" w:sz="12" w:space="0"/>
              <w:bottom w:val="double" w:color="auto" w:sz="6" w:space="0"/>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851" w:type="dxa"/>
            <w:tcBorders>
              <w:top w:val="single" w:color="auto" w:sz="12" w:space="0"/>
              <w:bottom w:val="double" w:color="auto" w:sz="6" w:space="0"/>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774" w:type="dxa"/>
            <w:tcBorders>
              <w:top w:val="single" w:color="auto" w:sz="12" w:space="0"/>
              <w:bottom w:val="double" w:color="auto" w:sz="6" w:space="0"/>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352" w:type="dxa"/>
            <w:tcBorders>
              <w:top w:val="single" w:color="auto" w:sz="12" w:space="0"/>
              <w:bottom w:val="double" w:color="auto" w:sz="6" w:space="0"/>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单价（元）</w:t>
            </w:r>
          </w:p>
        </w:tc>
        <w:tc>
          <w:tcPr>
            <w:tcW w:w="1418" w:type="dxa"/>
            <w:tcBorders>
              <w:top w:val="single" w:color="auto" w:sz="12" w:space="0"/>
              <w:bottom w:val="double" w:color="auto" w:sz="6" w:space="0"/>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合价（元）</w:t>
            </w:r>
          </w:p>
        </w:tc>
        <w:tc>
          <w:tcPr>
            <w:tcW w:w="1701" w:type="dxa"/>
            <w:tcBorders>
              <w:top w:val="single" w:color="auto" w:sz="12" w:space="0"/>
              <w:bottom w:val="double" w:color="auto" w:sz="6" w:space="0"/>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tcBorders>
              <w:top w:val="double" w:color="auto" w:sz="6" w:space="0"/>
              <w:bottom w:val="single" w:color="auto" w:sz="6" w:space="0"/>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tcBorders>
              <w:top w:val="double" w:color="auto" w:sz="6" w:space="0"/>
              <w:bottom w:val="single" w:color="auto" w:sz="6" w:space="0"/>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tcBorders>
              <w:top w:val="double" w:color="auto" w:sz="6" w:space="0"/>
              <w:bottom w:val="single" w:color="auto" w:sz="6" w:space="0"/>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tcBorders>
              <w:top w:val="double" w:color="auto" w:sz="6" w:space="0"/>
              <w:bottom w:val="single" w:color="auto" w:sz="6" w:space="0"/>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tcBorders>
              <w:top w:val="double" w:color="auto" w:sz="6" w:space="0"/>
              <w:bottom w:val="single" w:color="auto" w:sz="6" w:space="0"/>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tcBorders>
              <w:top w:val="double" w:color="auto" w:sz="6" w:space="0"/>
              <w:bottom w:val="single" w:color="auto" w:sz="6" w:space="0"/>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tcBorders>
              <w:top w:val="nil"/>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tcBorders>
              <w:top w:val="nil"/>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tcBorders>
              <w:top w:val="nil"/>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tcBorders>
              <w:top w:val="nil"/>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tcBorders>
              <w:top w:val="nil"/>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tcBorders>
              <w:top w:val="nil"/>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bl>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Style w:val="24"/>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Style w:val="24"/>
        <w:rPr>
          <w:rFonts w:hint="eastAsia"/>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11-3：专业工程暂估价表</w:t>
      </w:r>
    </w:p>
    <w:tbl>
      <w:tblPr>
        <w:tblStyle w:val="63"/>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984" w:type="dxa"/>
            <w:tcBorders>
              <w:top w:val="single" w:color="auto" w:sz="12" w:space="0"/>
              <w:bottom w:val="double" w:color="auto" w:sz="6" w:space="0"/>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851" w:type="dxa"/>
            <w:tcBorders>
              <w:top w:val="single" w:color="auto" w:sz="12" w:space="0"/>
              <w:bottom w:val="double" w:color="auto" w:sz="6" w:space="0"/>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774" w:type="dxa"/>
            <w:tcBorders>
              <w:top w:val="single" w:color="auto" w:sz="12" w:space="0"/>
              <w:bottom w:val="double" w:color="auto" w:sz="6" w:space="0"/>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352" w:type="dxa"/>
            <w:tcBorders>
              <w:top w:val="single" w:color="auto" w:sz="12" w:space="0"/>
              <w:bottom w:val="double" w:color="auto" w:sz="6" w:space="0"/>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单价（元）</w:t>
            </w:r>
          </w:p>
        </w:tc>
        <w:tc>
          <w:tcPr>
            <w:tcW w:w="1418" w:type="dxa"/>
            <w:tcBorders>
              <w:top w:val="single" w:color="auto" w:sz="12" w:space="0"/>
              <w:bottom w:val="double" w:color="auto" w:sz="6" w:space="0"/>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合价（元）</w:t>
            </w:r>
          </w:p>
        </w:tc>
        <w:tc>
          <w:tcPr>
            <w:tcW w:w="1701" w:type="dxa"/>
            <w:tcBorders>
              <w:top w:val="single" w:color="auto" w:sz="12" w:space="0"/>
              <w:bottom w:val="double" w:color="auto" w:sz="6" w:space="0"/>
            </w:tcBorders>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98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85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774"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352"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418"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c>
          <w:tcPr>
            <w:tcW w:w="1701" w:type="dxa"/>
            <w:noWrap w:val="0"/>
            <w:vAlign w:val="top"/>
          </w:tcPr>
          <w:p>
            <w:pPr>
              <w:pStyle w:val="24"/>
              <w:keepNext/>
              <w:keepLines w:val="0"/>
              <w:pageBreakBefore w:val="0"/>
              <w:suppressLineNumbers w:val="0"/>
              <w:tabs>
                <w:tab w:val="left" w:pos="567"/>
              </w:tabs>
              <w:kinsoku/>
              <w:wordWrap/>
              <w:overflowPunct/>
              <w:topLinePunct w:val="0"/>
              <w:bidi w:val="0"/>
              <w:spacing w:beforeAutospacing="0" w:after="0" w:afterLines="0" w:afterAutospacing="0" w:line="240" w:lineRule="auto"/>
              <w:ind w:left="63" w:right="63"/>
              <w:rPr>
                <w:rFonts w:hint="eastAsia" w:ascii="宋体" w:hAnsi="宋体" w:eastAsia="宋体" w:cs="宋体"/>
                <w:color w:val="auto"/>
                <w:szCs w:val="21"/>
                <w:highlight w:val="none"/>
              </w:rPr>
            </w:pPr>
          </w:p>
        </w:tc>
      </w:tr>
    </w:tbl>
    <w:p>
      <w:pPr>
        <w:pageBreakBefore w:val="0"/>
        <w:kinsoku/>
        <w:wordWrap/>
        <w:overflowPunct/>
        <w:topLinePunct w:val="0"/>
        <w:bidi w:val="0"/>
        <w:adjustRightInd w:val="0"/>
        <w:snapToGrid w:val="0"/>
        <w:spacing w:before="54" w:beforeLines="20" w:after="54" w:afterLines="20" w:line="240" w:lineRule="auto"/>
        <w:rPr>
          <w:rFonts w:hint="eastAsia" w:ascii="宋体" w:hAnsi="宋体" w:eastAsia="宋体" w:cs="宋体"/>
          <w:color w:val="auto"/>
          <w:sz w:val="36"/>
          <w:highlight w:val="none"/>
        </w:rPr>
      </w:pPr>
    </w:p>
    <w:p>
      <w:pPr>
        <w:pStyle w:val="3"/>
        <w:pageBreakBefore w:val="0"/>
        <w:numPr>
          <w:ilvl w:val="0"/>
          <w:numId w:val="0"/>
        </w:numPr>
        <w:kinsoku/>
        <w:wordWrap/>
        <w:overflowPunct/>
        <w:topLinePunct w:val="0"/>
        <w:bidi w:val="0"/>
        <w:spacing w:before="135" w:beforeLines="50" w:after="135" w:afterLines="50" w:line="240" w:lineRule="auto"/>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24"/>
        <w:rPr>
          <w:rFonts w:hint="eastAsia" w:ascii="宋体" w:hAnsi="宋体" w:eastAsia="宋体" w:cs="宋体"/>
          <w:b/>
          <w:color w:val="auto"/>
          <w:sz w:val="36"/>
          <w:szCs w:val="36"/>
          <w:highlight w:val="none"/>
        </w:rPr>
      </w:pPr>
    </w:p>
    <w:p>
      <w:pPr>
        <w:pStyle w:val="24"/>
        <w:rPr>
          <w:rFonts w:hint="eastAsia" w:ascii="宋体" w:hAnsi="宋体" w:eastAsia="宋体" w:cs="宋体"/>
          <w:b/>
          <w:color w:val="auto"/>
          <w:sz w:val="36"/>
          <w:szCs w:val="36"/>
          <w:highlight w:val="none"/>
        </w:rPr>
      </w:pPr>
    </w:p>
    <w:p>
      <w:pPr>
        <w:pStyle w:val="24"/>
        <w:rPr>
          <w:rFonts w:hint="eastAsia" w:ascii="宋体" w:hAnsi="宋体" w:eastAsia="宋体" w:cs="宋体"/>
          <w:b/>
          <w:color w:val="auto"/>
          <w:sz w:val="36"/>
          <w:szCs w:val="36"/>
          <w:highlight w:val="none"/>
        </w:rPr>
      </w:pPr>
    </w:p>
    <w:p>
      <w:pPr>
        <w:pStyle w:val="24"/>
        <w:rPr>
          <w:rFonts w:hint="eastAsia" w:ascii="宋体" w:hAnsi="宋体" w:eastAsia="宋体" w:cs="宋体"/>
          <w:b/>
          <w:color w:val="auto"/>
          <w:sz w:val="36"/>
          <w:szCs w:val="36"/>
          <w:highlight w:val="none"/>
        </w:rPr>
      </w:pPr>
    </w:p>
    <w:p>
      <w:pPr>
        <w:pStyle w:val="24"/>
        <w:rPr>
          <w:rFonts w:hint="eastAsia" w:ascii="宋体" w:hAnsi="宋体" w:eastAsia="宋体" w:cs="宋体"/>
          <w:b/>
          <w:color w:val="auto"/>
          <w:sz w:val="36"/>
          <w:szCs w:val="36"/>
          <w:highlight w:val="none"/>
        </w:rPr>
      </w:pPr>
    </w:p>
    <w:p>
      <w:pPr>
        <w:snapToGrid w:val="0"/>
        <w:spacing w:line="480" w:lineRule="auto"/>
        <w:rPr>
          <w:rFonts w:ascii="宋体" w:cs="宋体"/>
          <w:highlight w:val="none"/>
        </w:rPr>
      </w:pPr>
    </w:p>
    <w:p>
      <w:pPr>
        <w:pStyle w:val="29"/>
        <w:widowControl w:val="0"/>
        <w:numPr>
          <w:ilvl w:val="0"/>
          <w:numId w:val="0"/>
        </w:numPr>
        <w:jc w:val="both"/>
        <w:rPr>
          <w:rFonts w:ascii="宋体" w:cs="宋体"/>
          <w:highlight w:val="none"/>
        </w:rPr>
      </w:pPr>
    </w:p>
    <w:p>
      <w:pPr>
        <w:pStyle w:val="29"/>
        <w:widowControl w:val="0"/>
        <w:numPr>
          <w:ilvl w:val="0"/>
          <w:numId w:val="0"/>
        </w:numPr>
        <w:jc w:val="both"/>
        <w:rPr>
          <w:rFonts w:ascii="宋体" w:cs="宋体"/>
          <w:highlight w:val="none"/>
        </w:rPr>
      </w:pPr>
    </w:p>
    <w:p>
      <w:pPr>
        <w:pStyle w:val="3"/>
        <w:spacing w:before="62" w:beforeLines="20" w:after="62" w:afterLines="20" w:line="480" w:lineRule="exact"/>
        <w:ind w:firstLine="0" w:firstLineChars="0"/>
        <w:jc w:val="center"/>
        <w:rPr>
          <w:rFonts w:ascii="Arial" w:hAnsi="Arial"/>
          <w:kern w:val="2"/>
          <w:sz w:val="36"/>
          <w:szCs w:val="36"/>
          <w:highlight w:val="none"/>
        </w:rPr>
      </w:pPr>
      <w:bookmarkStart w:id="355" w:name="_Toc8981"/>
      <w:bookmarkStart w:id="356" w:name="_Toc54941341"/>
      <w:bookmarkStart w:id="357" w:name="_Toc27878"/>
      <w:bookmarkStart w:id="358" w:name="_Toc439316880"/>
      <w:r>
        <w:rPr>
          <w:rFonts w:hint="eastAsia" w:ascii="Arial" w:hAnsi="Arial"/>
          <w:kern w:val="2"/>
          <w:sz w:val="32"/>
          <w:szCs w:val="32"/>
          <w:highlight w:val="none"/>
          <w:lang w:val="zh-CN" w:eastAsia="zh-CN"/>
        </w:rPr>
        <w:t>第</w:t>
      </w:r>
      <w:r>
        <w:rPr>
          <w:rFonts w:hint="eastAsia" w:ascii="Arial" w:hAnsi="Arial"/>
          <w:kern w:val="2"/>
          <w:sz w:val="32"/>
          <w:szCs w:val="32"/>
          <w:highlight w:val="none"/>
          <w:lang w:val="en-US" w:eastAsia="zh-CN"/>
        </w:rPr>
        <w:t>四</w:t>
      </w:r>
      <w:r>
        <w:rPr>
          <w:rFonts w:hint="eastAsia" w:ascii="Arial" w:hAnsi="Arial"/>
          <w:kern w:val="2"/>
          <w:sz w:val="32"/>
          <w:szCs w:val="32"/>
          <w:highlight w:val="none"/>
          <w:lang w:val="zh-CN" w:eastAsia="zh-CN"/>
        </w:rPr>
        <w:t xml:space="preserve">章  </w:t>
      </w:r>
      <w:bookmarkStart w:id="359" w:name="_Toc417656001"/>
      <w:r>
        <w:rPr>
          <w:rFonts w:hint="eastAsia" w:ascii="Arial" w:hAnsi="Arial"/>
          <w:kern w:val="2"/>
          <w:sz w:val="32"/>
          <w:szCs w:val="32"/>
          <w:highlight w:val="none"/>
          <w:lang w:val="en-US" w:eastAsia="zh-CN"/>
        </w:rPr>
        <w:t>响应文件格式</w:t>
      </w:r>
      <w:bookmarkEnd w:id="355"/>
      <w:bookmarkEnd w:id="356"/>
      <w:bookmarkEnd w:id="357"/>
      <w:bookmarkEnd w:id="358"/>
      <w:bookmarkEnd w:id="359"/>
    </w:p>
    <w:p>
      <w:pPr>
        <w:spacing w:line="360" w:lineRule="auto"/>
        <w:jc w:val="center"/>
        <w:rPr>
          <w:rFonts w:ascii="仿宋" w:hAnsi="仿宋" w:eastAsia="仿宋"/>
          <w:b/>
          <w:spacing w:val="20"/>
          <w:sz w:val="36"/>
          <w:szCs w:val="36"/>
          <w:highlight w:val="none"/>
          <w:u w:val="single"/>
        </w:rPr>
      </w:pPr>
    </w:p>
    <w:p>
      <w:pPr>
        <w:spacing w:line="360" w:lineRule="auto"/>
        <w:jc w:val="center"/>
        <w:rPr>
          <w:rFonts w:ascii="仿宋" w:hAnsi="仿宋" w:eastAsia="仿宋"/>
          <w:b/>
          <w:spacing w:val="20"/>
          <w:sz w:val="36"/>
          <w:szCs w:val="36"/>
          <w:highlight w:val="none"/>
        </w:rPr>
      </w:pPr>
      <w:r>
        <w:rPr>
          <w:rFonts w:ascii="仿宋" w:hAnsi="仿宋" w:eastAsia="仿宋"/>
          <w:b/>
          <w:spacing w:val="20"/>
          <w:sz w:val="36"/>
          <w:szCs w:val="36"/>
          <w:highlight w:val="none"/>
          <w:u w:val="single"/>
        </w:rPr>
        <w:t xml:space="preserve">                              </w:t>
      </w:r>
      <w:r>
        <w:rPr>
          <w:rFonts w:hint="eastAsia" w:ascii="仿宋" w:hAnsi="仿宋" w:eastAsia="仿宋"/>
          <w:b/>
          <w:spacing w:val="20"/>
          <w:sz w:val="36"/>
          <w:szCs w:val="36"/>
          <w:highlight w:val="none"/>
        </w:rPr>
        <w:t>项目</w:t>
      </w:r>
    </w:p>
    <w:p>
      <w:pPr>
        <w:spacing w:line="480" w:lineRule="auto"/>
        <w:jc w:val="center"/>
        <w:rPr>
          <w:rFonts w:ascii="宋体" w:hAnsi="宋体"/>
          <w:b/>
          <w:sz w:val="72"/>
          <w:szCs w:val="72"/>
          <w:highlight w:val="none"/>
        </w:rPr>
      </w:pPr>
      <w:r>
        <w:rPr>
          <w:rFonts w:hint="eastAsia" w:ascii="宋体" w:hAnsi="宋体"/>
          <w:b/>
          <w:sz w:val="72"/>
          <w:szCs w:val="72"/>
          <w:highlight w:val="none"/>
        </w:rPr>
        <w:t>响</w:t>
      </w:r>
    </w:p>
    <w:p>
      <w:pPr>
        <w:spacing w:line="480" w:lineRule="auto"/>
        <w:jc w:val="center"/>
        <w:rPr>
          <w:rFonts w:ascii="宋体"/>
          <w:b/>
          <w:sz w:val="72"/>
          <w:szCs w:val="72"/>
          <w:highlight w:val="none"/>
        </w:rPr>
      </w:pPr>
    </w:p>
    <w:p>
      <w:pPr>
        <w:spacing w:line="480" w:lineRule="auto"/>
        <w:jc w:val="center"/>
        <w:rPr>
          <w:rFonts w:ascii="宋体" w:hAnsi="宋体"/>
          <w:b/>
          <w:sz w:val="72"/>
          <w:szCs w:val="72"/>
          <w:highlight w:val="none"/>
        </w:rPr>
      </w:pPr>
      <w:r>
        <w:rPr>
          <w:rFonts w:hint="eastAsia" w:ascii="宋体" w:hAnsi="宋体"/>
          <w:b/>
          <w:sz w:val="72"/>
          <w:szCs w:val="72"/>
          <w:highlight w:val="none"/>
        </w:rPr>
        <w:t>应</w:t>
      </w:r>
    </w:p>
    <w:p>
      <w:pPr>
        <w:spacing w:line="480" w:lineRule="auto"/>
        <w:jc w:val="center"/>
        <w:rPr>
          <w:rFonts w:ascii="宋体"/>
          <w:b/>
          <w:sz w:val="72"/>
          <w:szCs w:val="72"/>
          <w:highlight w:val="none"/>
        </w:rPr>
      </w:pPr>
    </w:p>
    <w:p>
      <w:pPr>
        <w:spacing w:line="480" w:lineRule="auto"/>
        <w:jc w:val="center"/>
        <w:rPr>
          <w:rFonts w:ascii="宋体" w:hAnsi="宋体"/>
          <w:b/>
          <w:sz w:val="72"/>
          <w:szCs w:val="72"/>
          <w:highlight w:val="none"/>
        </w:rPr>
      </w:pPr>
      <w:r>
        <w:rPr>
          <w:rFonts w:hint="eastAsia" w:ascii="宋体" w:hAnsi="宋体"/>
          <w:b/>
          <w:sz w:val="72"/>
          <w:szCs w:val="72"/>
          <w:highlight w:val="none"/>
        </w:rPr>
        <w:t>文</w:t>
      </w:r>
    </w:p>
    <w:p>
      <w:pPr>
        <w:spacing w:line="480" w:lineRule="auto"/>
        <w:jc w:val="center"/>
        <w:rPr>
          <w:rFonts w:ascii="宋体"/>
          <w:b/>
          <w:sz w:val="72"/>
          <w:szCs w:val="72"/>
          <w:highlight w:val="none"/>
        </w:rPr>
      </w:pPr>
    </w:p>
    <w:p>
      <w:pPr>
        <w:spacing w:line="480" w:lineRule="auto"/>
        <w:jc w:val="center"/>
        <w:rPr>
          <w:rFonts w:ascii="宋体"/>
          <w:b/>
          <w:sz w:val="72"/>
          <w:szCs w:val="72"/>
          <w:highlight w:val="none"/>
        </w:rPr>
      </w:pPr>
      <w:r>
        <w:rPr>
          <w:rFonts w:hint="eastAsia" w:ascii="宋体" w:hAnsi="宋体"/>
          <w:b/>
          <w:sz w:val="72"/>
          <w:szCs w:val="72"/>
          <w:highlight w:val="none"/>
        </w:rPr>
        <w:t>件</w:t>
      </w:r>
    </w:p>
    <w:p>
      <w:pPr>
        <w:spacing w:line="360" w:lineRule="auto"/>
        <w:rPr>
          <w:rFonts w:ascii="宋体"/>
          <w:sz w:val="24"/>
          <w:highlight w:val="none"/>
        </w:rPr>
      </w:pPr>
    </w:p>
    <w:p>
      <w:pPr>
        <w:spacing w:line="360" w:lineRule="auto"/>
        <w:rPr>
          <w:rFonts w:ascii="宋体"/>
          <w:sz w:val="24"/>
          <w:highlight w:val="none"/>
        </w:rPr>
      </w:pPr>
    </w:p>
    <w:p>
      <w:pPr>
        <w:spacing w:line="360" w:lineRule="auto"/>
        <w:rPr>
          <w:rFonts w:ascii="宋体"/>
          <w:sz w:val="24"/>
          <w:highlight w:val="none"/>
        </w:rPr>
      </w:pPr>
    </w:p>
    <w:p>
      <w:pPr>
        <w:spacing w:line="360" w:lineRule="auto"/>
        <w:ind w:firstLine="148" w:firstLineChars="49"/>
        <w:rPr>
          <w:rFonts w:ascii="宋体"/>
          <w:b/>
          <w:sz w:val="30"/>
          <w:szCs w:val="30"/>
          <w:highlight w:val="none"/>
        </w:rPr>
      </w:pPr>
      <w:r>
        <w:rPr>
          <w:rFonts w:hint="eastAsia" w:ascii="宋体" w:hAnsi="宋体"/>
          <w:b/>
          <w:sz w:val="30"/>
          <w:szCs w:val="30"/>
          <w:highlight w:val="none"/>
        </w:rPr>
        <w:t>采购人名称：</w:t>
      </w:r>
      <w:r>
        <w:rPr>
          <w:rFonts w:ascii="宋体" w:hAnsi="宋体"/>
          <w:b/>
          <w:sz w:val="30"/>
          <w:szCs w:val="30"/>
          <w:highlight w:val="none"/>
        </w:rPr>
        <w:t xml:space="preserve"> </w:t>
      </w:r>
      <w:r>
        <w:rPr>
          <w:rFonts w:ascii="宋体" w:hAnsi="宋体"/>
          <w:b/>
          <w:sz w:val="30"/>
          <w:szCs w:val="30"/>
          <w:highlight w:val="none"/>
          <w:u w:val="single"/>
        </w:rPr>
        <w:t xml:space="preserve">                                             </w:t>
      </w:r>
    </w:p>
    <w:p>
      <w:pPr>
        <w:spacing w:line="360" w:lineRule="auto"/>
        <w:ind w:firstLine="148" w:firstLineChars="49"/>
        <w:rPr>
          <w:rFonts w:ascii="宋体"/>
          <w:b/>
          <w:sz w:val="30"/>
          <w:szCs w:val="30"/>
          <w:highlight w:val="none"/>
        </w:rPr>
      </w:pPr>
      <w:r>
        <w:rPr>
          <w:rFonts w:hint="eastAsia" w:ascii="宋体" w:hAnsi="宋体"/>
          <w:b/>
          <w:sz w:val="30"/>
          <w:szCs w:val="30"/>
          <w:highlight w:val="none"/>
        </w:rPr>
        <w:t>供应商名称：</w:t>
      </w:r>
      <w:r>
        <w:rPr>
          <w:rFonts w:ascii="宋体" w:hAnsi="宋体"/>
          <w:b/>
          <w:sz w:val="30"/>
          <w:szCs w:val="30"/>
          <w:highlight w:val="none"/>
        </w:rPr>
        <w:t xml:space="preserve"> </w:t>
      </w:r>
      <w:r>
        <w:rPr>
          <w:rFonts w:ascii="宋体" w:hAnsi="宋体"/>
          <w:b/>
          <w:sz w:val="30"/>
          <w:szCs w:val="30"/>
          <w:highlight w:val="none"/>
          <w:u w:val="single"/>
        </w:rPr>
        <w:t xml:space="preserve">                               </w:t>
      </w:r>
      <w:r>
        <w:rPr>
          <w:rFonts w:hint="eastAsia" w:ascii="宋体" w:hAnsi="宋体"/>
          <w:b/>
          <w:sz w:val="30"/>
          <w:szCs w:val="30"/>
          <w:highlight w:val="none"/>
          <w:u w:val="single"/>
        </w:rPr>
        <w:t>（盖章）</w:t>
      </w:r>
      <w:r>
        <w:rPr>
          <w:rFonts w:ascii="宋体" w:hAnsi="宋体"/>
          <w:b/>
          <w:sz w:val="30"/>
          <w:szCs w:val="30"/>
          <w:highlight w:val="none"/>
          <w:u w:val="single"/>
        </w:rPr>
        <w:t xml:space="preserve"> </w:t>
      </w:r>
    </w:p>
    <w:p>
      <w:pPr>
        <w:spacing w:line="360" w:lineRule="auto"/>
        <w:ind w:firstLine="148" w:firstLineChars="49"/>
        <w:rPr>
          <w:rFonts w:ascii="宋体"/>
          <w:b/>
          <w:sz w:val="30"/>
          <w:szCs w:val="30"/>
          <w:highlight w:val="none"/>
        </w:rPr>
      </w:pPr>
      <w:r>
        <w:rPr>
          <w:rFonts w:hint="eastAsia" w:ascii="宋体" w:hAnsi="宋体"/>
          <w:b/>
          <w:sz w:val="30"/>
          <w:szCs w:val="30"/>
          <w:highlight w:val="none"/>
        </w:rPr>
        <w:t>法定代表人：</w:t>
      </w:r>
      <w:r>
        <w:rPr>
          <w:rFonts w:ascii="宋体" w:hAnsi="宋体"/>
          <w:b/>
          <w:sz w:val="30"/>
          <w:szCs w:val="30"/>
          <w:highlight w:val="none"/>
          <w:u w:val="single"/>
        </w:rPr>
        <w:t xml:space="preserve">                 </w:t>
      </w:r>
      <w:r>
        <w:rPr>
          <w:rFonts w:hint="eastAsia" w:ascii="宋体" w:hAnsi="宋体"/>
          <w:b/>
          <w:sz w:val="30"/>
          <w:szCs w:val="30"/>
          <w:highlight w:val="none"/>
          <w:u w:val="single"/>
        </w:rPr>
        <w:t xml:space="preserve">             </w:t>
      </w:r>
      <w:r>
        <w:rPr>
          <w:rFonts w:ascii="宋体" w:hAnsi="宋体"/>
          <w:b/>
          <w:sz w:val="30"/>
          <w:szCs w:val="30"/>
          <w:highlight w:val="none"/>
          <w:u w:val="single"/>
        </w:rPr>
        <w:t xml:space="preserve">  </w:t>
      </w:r>
      <w:r>
        <w:rPr>
          <w:rFonts w:hint="eastAsia" w:ascii="宋体" w:hAnsi="宋体"/>
          <w:b/>
          <w:sz w:val="30"/>
          <w:szCs w:val="30"/>
          <w:highlight w:val="none"/>
          <w:u w:val="single"/>
        </w:rPr>
        <w:t xml:space="preserve"> </w:t>
      </w:r>
      <w:r>
        <w:rPr>
          <w:rFonts w:ascii="宋体" w:hAnsi="宋体"/>
          <w:b/>
          <w:sz w:val="30"/>
          <w:szCs w:val="30"/>
          <w:highlight w:val="none"/>
          <w:u w:val="single"/>
        </w:rPr>
        <w:t>(</w:t>
      </w:r>
      <w:r>
        <w:rPr>
          <w:rFonts w:hint="eastAsia" w:ascii="宋体" w:hAnsi="宋体"/>
          <w:b/>
          <w:sz w:val="30"/>
          <w:szCs w:val="30"/>
          <w:highlight w:val="none"/>
          <w:u w:val="single"/>
        </w:rPr>
        <w:t>盖章</w:t>
      </w:r>
      <w:r>
        <w:rPr>
          <w:rFonts w:ascii="宋体" w:hAnsi="宋体"/>
          <w:b/>
          <w:sz w:val="30"/>
          <w:szCs w:val="30"/>
          <w:highlight w:val="none"/>
          <w:u w:val="single"/>
        </w:rPr>
        <w:t xml:space="preserve">)  </w:t>
      </w:r>
    </w:p>
    <w:p>
      <w:pPr>
        <w:spacing w:line="360" w:lineRule="auto"/>
        <w:rPr>
          <w:rFonts w:ascii="仿宋_GB2312" w:eastAsia="仿宋_GB2312"/>
          <w:sz w:val="30"/>
          <w:szCs w:val="30"/>
          <w:highlight w:val="none"/>
        </w:rPr>
      </w:pPr>
    </w:p>
    <w:p>
      <w:pPr>
        <w:spacing w:line="480" w:lineRule="exact"/>
        <w:jc w:val="center"/>
        <w:rPr>
          <w:rFonts w:ascii="宋体" w:hAnsi="宋体"/>
          <w:b/>
          <w:sz w:val="30"/>
          <w:szCs w:val="30"/>
          <w:highlight w:val="none"/>
        </w:rPr>
      </w:pPr>
      <w:r>
        <w:rPr>
          <w:rFonts w:hint="eastAsia" w:ascii="宋体" w:hAnsi="宋体"/>
          <w:b/>
          <w:sz w:val="30"/>
          <w:szCs w:val="30"/>
          <w:highlight w:val="none"/>
        </w:rPr>
        <w:t>日期：</w:t>
      </w:r>
      <w:r>
        <w:rPr>
          <w:rFonts w:ascii="宋体" w:hAnsi="宋体"/>
          <w:b/>
          <w:sz w:val="30"/>
          <w:szCs w:val="30"/>
          <w:highlight w:val="none"/>
          <w:u w:val="single"/>
        </w:rPr>
        <w:t xml:space="preserve">    </w:t>
      </w:r>
      <w:r>
        <w:rPr>
          <w:rFonts w:hint="eastAsia" w:ascii="宋体" w:hAnsi="宋体"/>
          <w:b/>
          <w:sz w:val="30"/>
          <w:szCs w:val="30"/>
          <w:highlight w:val="none"/>
        </w:rPr>
        <w:t>年</w:t>
      </w:r>
      <w:r>
        <w:rPr>
          <w:rFonts w:ascii="宋体" w:hAnsi="宋体"/>
          <w:b/>
          <w:sz w:val="30"/>
          <w:szCs w:val="30"/>
          <w:highlight w:val="none"/>
          <w:u w:val="single"/>
        </w:rPr>
        <w:t xml:space="preserve">     </w:t>
      </w:r>
      <w:r>
        <w:rPr>
          <w:rFonts w:hint="eastAsia" w:ascii="宋体" w:hAnsi="宋体"/>
          <w:b/>
          <w:sz w:val="30"/>
          <w:szCs w:val="30"/>
          <w:highlight w:val="none"/>
        </w:rPr>
        <w:t>月</w:t>
      </w:r>
      <w:r>
        <w:rPr>
          <w:rFonts w:ascii="宋体" w:hAnsi="宋体"/>
          <w:b/>
          <w:sz w:val="30"/>
          <w:szCs w:val="30"/>
          <w:highlight w:val="none"/>
          <w:u w:val="single"/>
        </w:rPr>
        <w:t xml:space="preserve">    </w:t>
      </w:r>
      <w:r>
        <w:rPr>
          <w:rFonts w:hint="eastAsia" w:ascii="宋体" w:hAnsi="宋体"/>
          <w:b/>
          <w:sz w:val="30"/>
          <w:szCs w:val="30"/>
          <w:highlight w:val="none"/>
        </w:rPr>
        <w:t>日</w:t>
      </w:r>
    </w:p>
    <w:p>
      <w:pPr>
        <w:spacing w:line="480" w:lineRule="exact"/>
        <w:jc w:val="center"/>
        <w:rPr>
          <w:rFonts w:ascii="宋体" w:hAnsi="宋体"/>
          <w:b/>
          <w:sz w:val="30"/>
          <w:szCs w:val="30"/>
          <w:highlight w:val="none"/>
        </w:rPr>
      </w:pPr>
    </w:p>
    <w:p>
      <w:pPr>
        <w:spacing w:line="480" w:lineRule="exact"/>
        <w:rPr>
          <w:rFonts w:ascii="黑体" w:eastAsia="黑体"/>
          <w:b/>
          <w:bCs/>
          <w:szCs w:val="21"/>
          <w:highlight w:val="none"/>
        </w:rPr>
      </w:pPr>
    </w:p>
    <w:p>
      <w:pPr>
        <w:pStyle w:val="5"/>
        <w:jc w:val="center"/>
        <w:rPr>
          <w:rFonts w:cs="宋体"/>
          <w:sz w:val="28"/>
          <w:szCs w:val="28"/>
          <w:highlight w:val="none"/>
        </w:rPr>
      </w:pPr>
      <w:bookmarkStart w:id="360" w:name="_Toc54941342"/>
      <w:bookmarkStart w:id="361" w:name="_Toc476584433"/>
      <w:r>
        <w:rPr>
          <w:rFonts w:hint="eastAsia" w:cs="宋体"/>
          <w:sz w:val="28"/>
          <w:szCs w:val="28"/>
          <w:highlight w:val="none"/>
        </w:rPr>
        <w:t>一、磋商响应函</w:t>
      </w:r>
      <w:bookmarkEnd w:id="360"/>
      <w:bookmarkEnd w:id="361"/>
    </w:p>
    <w:p>
      <w:pPr>
        <w:tabs>
          <w:tab w:val="left" w:pos="5580"/>
        </w:tabs>
        <w:spacing w:before="120" w:line="480" w:lineRule="auto"/>
        <w:rPr>
          <w:rFonts w:ascii="宋体" w:cs="宋体"/>
          <w:szCs w:val="21"/>
          <w:highlight w:val="none"/>
        </w:rPr>
      </w:pPr>
      <w:r>
        <w:rPr>
          <w:rFonts w:hint="eastAsia" w:ascii="宋体" w:hAnsi="宋体" w:cs="宋体"/>
          <w:szCs w:val="21"/>
          <w:highlight w:val="none"/>
        </w:rPr>
        <w:t>致：</w:t>
      </w:r>
      <w:r>
        <w:rPr>
          <w:rFonts w:ascii="宋体" w:hAnsi="宋体" w:cs="宋体"/>
          <w:szCs w:val="21"/>
          <w:highlight w:val="none"/>
          <w:u w:val="single"/>
        </w:rPr>
        <w:t xml:space="preserve">                        </w:t>
      </w:r>
      <w:r>
        <w:rPr>
          <w:rFonts w:hint="eastAsia" w:ascii="宋体" w:hAnsi="宋体" w:cs="宋体"/>
          <w:szCs w:val="21"/>
          <w:highlight w:val="none"/>
        </w:rPr>
        <w:t>（采购人名称）</w:t>
      </w:r>
    </w:p>
    <w:p>
      <w:pPr>
        <w:pStyle w:val="33"/>
        <w:tabs>
          <w:tab w:val="left" w:pos="5580"/>
        </w:tabs>
        <w:spacing w:line="480" w:lineRule="auto"/>
        <w:ind w:firstLine="420" w:firstLineChars="200"/>
        <w:rPr>
          <w:rFonts w:hAnsi="宋体" w:cs="宋体"/>
          <w:highlight w:val="none"/>
        </w:rPr>
      </w:pPr>
      <w:r>
        <w:rPr>
          <w:rFonts w:hAnsi="宋体" w:cs="宋体"/>
          <w:highlight w:val="none"/>
        </w:rPr>
        <w:t>1</w:t>
      </w:r>
      <w:r>
        <w:rPr>
          <w:rFonts w:hint="eastAsia" w:hAnsi="宋体" w:cs="宋体"/>
          <w:highlight w:val="none"/>
        </w:rPr>
        <w:t>、根据贵方</w:t>
      </w:r>
      <w:r>
        <w:rPr>
          <w:rFonts w:hAnsi="宋体" w:cs="宋体"/>
          <w:highlight w:val="none"/>
          <w:u w:val="single"/>
        </w:rPr>
        <w:t xml:space="preserve">          </w:t>
      </w:r>
      <w:r>
        <w:rPr>
          <w:rFonts w:hint="eastAsia" w:hAnsi="宋体" w:cs="宋体"/>
          <w:highlight w:val="none"/>
        </w:rPr>
        <w:t>号磋商公告，我方决定参加贵方组织的</w:t>
      </w:r>
      <w:r>
        <w:rPr>
          <w:rFonts w:hAnsi="宋体" w:cs="宋体"/>
          <w:highlight w:val="none"/>
          <w:u w:val="single"/>
        </w:rPr>
        <w:t xml:space="preserve">                       </w:t>
      </w:r>
      <w:r>
        <w:rPr>
          <w:rFonts w:hint="eastAsia" w:hAnsi="宋体" w:cs="宋体"/>
          <w:highlight w:val="none"/>
        </w:rPr>
        <w:t>项目的磋商活动。我方授权</w:t>
      </w:r>
      <w:r>
        <w:rPr>
          <w:rFonts w:hAnsi="宋体" w:cs="宋体"/>
          <w:highlight w:val="none"/>
          <w:u w:val="single"/>
        </w:rPr>
        <w:t xml:space="preserve">        </w:t>
      </w:r>
      <w:r>
        <w:rPr>
          <w:rFonts w:hAnsi="宋体" w:cs="宋体"/>
          <w:highlight w:val="none"/>
        </w:rPr>
        <w:t>(</w:t>
      </w:r>
      <w:r>
        <w:rPr>
          <w:rFonts w:hint="eastAsia" w:hAnsi="宋体" w:cs="宋体"/>
          <w:highlight w:val="none"/>
        </w:rPr>
        <w:t>姓名和职务</w:t>
      </w:r>
      <w:r>
        <w:rPr>
          <w:rFonts w:hAnsi="宋体" w:cs="宋体"/>
          <w:highlight w:val="none"/>
        </w:rPr>
        <w:t>)</w:t>
      </w:r>
      <w:r>
        <w:rPr>
          <w:rFonts w:hint="eastAsia" w:hAnsi="宋体" w:cs="宋体"/>
          <w:highlight w:val="none"/>
        </w:rPr>
        <w:t>代表我方</w:t>
      </w:r>
      <w:r>
        <w:rPr>
          <w:rFonts w:hAnsi="宋体" w:cs="宋体"/>
          <w:highlight w:val="none"/>
          <w:u w:val="single"/>
        </w:rPr>
        <w:t xml:space="preserve">                    </w:t>
      </w:r>
      <w:r>
        <w:rPr>
          <w:rFonts w:hint="eastAsia" w:hAnsi="宋体" w:cs="宋体"/>
          <w:highlight w:val="none"/>
        </w:rPr>
        <w:t>（供应商的名称）全权处理本项目响应的有关事宜。</w:t>
      </w:r>
    </w:p>
    <w:p>
      <w:pPr>
        <w:pStyle w:val="33"/>
        <w:tabs>
          <w:tab w:val="left" w:pos="5580"/>
        </w:tabs>
        <w:spacing w:line="480" w:lineRule="auto"/>
        <w:ind w:firstLine="420" w:firstLineChars="200"/>
        <w:rPr>
          <w:rFonts w:hAnsi="宋体" w:cs="宋体"/>
          <w:highlight w:val="none"/>
        </w:rPr>
      </w:pPr>
      <w:r>
        <w:rPr>
          <w:rFonts w:hAnsi="宋体" w:cs="宋体"/>
          <w:highlight w:val="none"/>
        </w:rPr>
        <w:t>2</w:t>
      </w:r>
      <w:r>
        <w:rPr>
          <w:rFonts w:hint="eastAsia" w:hAnsi="宋体" w:cs="宋体"/>
          <w:highlight w:val="none"/>
        </w:rPr>
        <w:t>、我方愿意按照磋商文件约定的各项要求，向采购人提供所需的</w:t>
      </w:r>
      <w:r>
        <w:rPr>
          <w:rFonts w:hint="eastAsia" w:hAnsi="宋体" w:cs="宋体"/>
          <w:color w:val="auto"/>
          <w:highlight w:val="none"/>
        </w:rPr>
        <w:t>货物</w:t>
      </w:r>
      <w:r>
        <w:rPr>
          <w:rFonts w:hint="eastAsia" w:hAnsi="宋体" w:cs="宋体"/>
          <w:highlight w:val="none"/>
        </w:rPr>
        <w:t>与服务，磋商报价为人民币（大写）</w:t>
      </w:r>
      <w:r>
        <w:rPr>
          <w:rFonts w:hAnsi="宋体" w:cs="宋体"/>
          <w:highlight w:val="none"/>
          <w:u w:val="single"/>
        </w:rPr>
        <w:t xml:space="preserve">                    </w:t>
      </w:r>
      <w:r>
        <w:rPr>
          <w:rFonts w:hint="eastAsia" w:hAnsi="宋体" w:cs="宋体"/>
          <w:highlight w:val="none"/>
          <w:u w:val="single"/>
        </w:rPr>
        <w:t>；</w:t>
      </w:r>
      <w:r>
        <w:rPr>
          <w:rFonts w:hAnsi="宋体" w:cs="宋体"/>
          <w:highlight w:val="none"/>
        </w:rPr>
        <w:t>(</w:t>
      </w:r>
      <w:r>
        <w:rPr>
          <w:rFonts w:hint="eastAsia" w:hAnsi="宋体" w:cs="宋体"/>
          <w:highlight w:val="none"/>
        </w:rPr>
        <w:t>小写</w:t>
      </w:r>
      <w:r>
        <w:rPr>
          <w:rFonts w:hAnsi="宋体" w:cs="宋体"/>
          <w:highlight w:val="none"/>
        </w:rPr>
        <w:t>)</w:t>
      </w:r>
      <w:r>
        <w:rPr>
          <w:rFonts w:hAnsi="宋体" w:cs="宋体"/>
          <w:highlight w:val="none"/>
          <w:u w:val="single"/>
        </w:rPr>
        <w:t xml:space="preserve">                  </w:t>
      </w:r>
      <w:r>
        <w:rPr>
          <w:rFonts w:hint="eastAsia" w:hAnsi="宋体" w:cs="宋体"/>
          <w:highlight w:val="none"/>
        </w:rPr>
        <w:t>。</w:t>
      </w:r>
    </w:p>
    <w:p>
      <w:pPr>
        <w:pStyle w:val="33"/>
        <w:tabs>
          <w:tab w:val="left" w:pos="5580"/>
        </w:tabs>
        <w:spacing w:line="480" w:lineRule="auto"/>
        <w:ind w:firstLine="417" w:firstLineChars="199"/>
        <w:rPr>
          <w:rFonts w:hAnsi="宋体" w:cs="宋体"/>
          <w:highlight w:val="none"/>
        </w:rPr>
      </w:pPr>
      <w:r>
        <w:rPr>
          <w:rFonts w:hAnsi="宋体" w:cs="宋体"/>
          <w:highlight w:val="none"/>
        </w:rPr>
        <w:t>3</w:t>
      </w:r>
      <w:r>
        <w:rPr>
          <w:rFonts w:hint="eastAsia" w:hAnsi="宋体" w:cs="宋体"/>
          <w:highlight w:val="none"/>
        </w:rPr>
        <w:t>、一旦我方成交，我方将严格履行合同约定的责任和义务，保证合同签订之日起</w:t>
      </w:r>
      <w:r>
        <w:rPr>
          <w:rFonts w:hAnsi="宋体" w:cs="宋体"/>
          <w:highlight w:val="none"/>
          <w:u w:val="single"/>
        </w:rPr>
        <w:t xml:space="preserve">    </w:t>
      </w:r>
      <w:r>
        <w:rPr>
          <w:rFonts w:hint="eastAsia" w:hAnsi="宋体" w:cs="宋体"/>
          <w:highlight w:val="none"/>
        </w:rPr>
        <w:t>个日历天完成。</w:t>
      </w:r>
    </w:p>
    <w:p>
      <w:pPr>
        <w:pStyle w:val="33"/>
        <w:tabs>
          <w:tab w:val="left" w:pos="5580"/>
        </w:tabs>
        <w:spacing w:line="480" w:lineRule="auto"/>
        <w:ind w:firstLine="394" w:firstLineChars="199"/>
        <w:rPr>
          <w:rFonts w:hAnsi="宋体" w:cs="宋体"/>
          <w:highlight w:val="none"/>
        </w:rPr>
      </w:pPr>
      <w:r>
        <w:rPr>
          <w:rFonts w:hAnsi="宋体" w:cs="宋体"/>
          <w:spacing w:val="-6"/>
          <w:highlight w:val="none"/>
        </w:rPr>
        <w:t>4</w:t>
      </w:r>
      <w:r>
        <w:rPr>
          <w:rFonts w:hint="eastAsia" w:hAnsi="宋体" w:cs="宋体"/>
          <w:spacing w:val="-6"/>
          <w:highlight w:val="none"/>
        </w:rPr>
        <w:t>、我方同意按照磋商文件的要求，向贵方递交金额为人民币（大写）</w:t>
      </w:r>
      <w:r>
        <w:rPr>
          <w:rFonts w:hAnsi="宋体" w:cs="宋体"/>
          <w:highlight w:val="none"/>
          <w:u w:val="single"/>
        </w:rPr>
        <w:t xml:space="preserve"> </w:t>
      </w:r>
      <w:r>
        <w:rPr>
          <w:rFonts w:hint="eastAsia" w:hAnsi="宋体" w:cs="宋体"/>
          <w:highlight w:val="none"/>
          <w:u w:val="single"/>
        </w:rPr>
        <w:t>零元</w:t>
      </w:r>
      <w:r>
        <w:rPr>
          <w:rFonts w:hAnsi="宋体" w:cs="宋体"/>
          <w:highlight w:val="none"/>
          <w:u w:val="single"/>
        </w:rPr>
        <w:t xml:space="preserve">      </w:t>
      </w:r>
      <w:r>
        <w:rPr>
          <w:rFonts w:hAnsi="宋体" w:cs="宋体"/>
          <w:highlight w:val="none"/>
        </w:rPr>
        <w:t xml:space="preserve"> </w:t>
      </w:r>
      <w:r>
        <w:rPr>
          <w:rFonts w:hint="eastAsia" w:hAnsi="宋体" w:cs="宋体"/>
          <w:highlight w:val="none"/>
        </w:rPr>
        <w:t>的磋商保证金。并且承诺遵守磋商文件中有关磋商保证金的约定。</w:t>
      </w:r>
    </w:p>
    <w:p>
      <w:pPr>
        <w:pStyle w:val="33"/>
        <w:tabs>
          <w:tab w:val="left" w:pos="5580"/>
        </w:tabs>
        <w:spacing w:line="360" w:lineRule="auto"/>
        <w:ind w:firstLine="394" w:firstLineChars="199"/>
        <w:rPr>
          <w:rFonts w:hAnsi="宋体" w:cs="宋体"/>
          <w:spacing w:val="-6"/>
          <w:highlight w:val="none"/>
        </w:rPr>
      </w:pPr>
      <w:r>
        <w:rPr>
          <w:rFonts w:hAnsi="宋体" w:cs="宋体"/>
          <w:spacing w:val="-6"/>
          <w:highlight w:val="none"/>
        </w:rPr>
        <w:t>5</w:t>
      </w:r>
      <w:r>
        <w:rPr>
          <w:rFonts w:hint="eastAsia" w:hAnsi="宋体" w:cs="宋体"/>
          <w:spacing w:val="-6"/>
          <w:highlight w:val="none"/>
        </w:rPr>
        <w:t>、我方保证按照本项目竞争性磋商文件要求提交磋商响应文件。</w:t>
      </w:r>
    </w:p>
    <w:p>
      <w:pPr>
        <w:pStyle w:val="33"/>
        <w:tabs>
          <w:tab w:val="left" w:pos="5580"/>
        </w:tabs>
        <w:spacing w:line="360" w:lineRule="auto"/>
        <w:ind w:firstLine="394" w:firstLineChars="199"/>
        <w:rPr>
          <w:rFonts w:hAnsi="宋体" w:cs="宋体"/>
          <w:spacing w:val="-6"/>
          <w:highlight w:val="none"/>
        </w:rPr>
      </w:pPr>
      <w:r>
        <w:rPr>
          <w:rFonts w:hint="eastAsia" w:hAnsi="宋体" w:cs="宋体"/>
          <w:spacing w:val="-6"/>
          <w:highlight w:val="none"/>
        </w:rPr>
        <w:t>6、我方承诺</w:t>
      </w:r>
      <w:r>
        <w:rPr>
          <w:rFonts w:hint="eastAsia" w:hAnsi="宋体" w:cs="宋体"/>
          <w:color w:val="000000" w:themeColor="text1"/>
          <w:spacing w:val="-6"/>
          <w:highlight w:val="none"/>
          <w14:textFill>
            <w14:solidFill>
              <w14:schemeClr w14:val="tx1"/>
            </w14:solidFill>
          </w14:textFill>
        </w:rPr>
        <w:t>，</w:t>
      </w:r>
      <w:r>
        <w:rPr>
          <w:rFonts w:hint="eastAsia" w:hAnsi="宋体" w:cs="宋体"/>
          <w:color w:val="000000" w:themeColor="text1"/>
          <w:highlight w:val="none"/>
          <w14:textFill>
            <w14:solidFill>
              <w14:schemeClr w14:val="tx1"/>
            </w14:solidFill>
          </w14:textFill>
        </w:rPr>
        <w:t>在采用不见面线上磋商时，</w:t>
      </w:r>
      <w:r>
        <w:rPr>
          <w:rFonts w:hint="eastAsia" w:hAnsi="宋体" w:cs="宋体"/>
          <w:color w:val="000000" w:themeColor="text1"/>
          <w:spacing w:val="-6"/>
          <w:highlight w:val="none"/>
          <w14:textFill>
            <w14:solidFill>
              <w14:schemeClr w14:val="tx1"/>
            </w14:solidFill>
          </w14:textFill>
        </w:rPr>
        <w:t>如</w:t>
      </w:r>
      <w:r>
        <w:rPr>
          <w:rFonts w:hint="eastAsia" w:hAnsi="宋体" w:cs="宋体"/>
          <w:spacing w:val="-6"/>
          <w:highlight w:val="none"/>
        </w:rPr>
        <w:t>我方未在规定时间内通过电子交易系统提交最后报价的，以我方的磋商响应函报价作为最后报价。</w:t>
      </w:r>
    </w:p>
    <w:p>
      <w:pPr>
        <w:pStyle w:val="33"/>
        <w:tabs>
          <w:tab w:val="left" w:pos="5580"/>
        </w:tabs>
        <w:spacing w:line="480" w:lineRule="auto"/>
        <w:ind w:firstLine="417" w:firstLineChars="199"/>
        <w:rPr>
          <w:rFonts w:hAnsi="宋体" w:cs="宋体"/>
          <w:highlight w:val="none"/>
        </w:rPr>
      </w:pPr>
      <w:r>
        <w:rPr>
          <w:rFonts w:hint="eastAsia" w:hAnsi="宋体" w:cs="宋体"/>
          <w:highlight w:val="none"/>
        </w:rPr>
        <w:t>7、我方愿意提供贵方可能另外要求的、与响应有关的文件资料，并保证我方已提供和将要提供的文件是真实的、准确的。</w:t>
      </w:r>
    </w:p>
    <w:p>
      <w:pPr>
        <w:pStyle w:val="33"/>
        <w:tabs>
          <w:tab w:val="left" w:pos="5580"/>
        </w:tabs>
        <w:spacing w:line="480" w:lineRule="auto"/>
        <w:ind w:firstLine="417" w:firstLineChars="199"/>
        <w:rPr>
          <w:rFonts w:hAnsi="宋体" w:cs="宋体"/>
          <w:highlight w:val="none"/>
        </w:rPr>
      </w:pPr>
      <w:r>
        <w:rPr>
          <w:rFonts w:hint="eastAsia" w:hAnsi="宋体" w:cs="宋体"/>
          <w:highlight w:val="none"/>
        </w:rPr>
        <w:t>8、我方完全理解贵方不一定将合同授予最低报价的供应商。</w:t>
      </w:r>
    </w:p>
    <w:p>
      <w:pPr>
        <w:pStyle w:val="33"/>
        <w:tabs>
          <w:tab w:val="left" w:pos="5580"/>
        </w:tabs>
        <w:spacing w:line="480" w:lineRule="auto"/>
        <w:ind w:right="360" w:firstLine="3570" w:firstLineChars="1700"/>
        <w:rPr>
          <w:rFonts w:hAnsi="宋体" w:cs="宋体"/>
          <w:highlight w:val="none"/>
        </w:rPr>
      </w:pPr>
    </w:p>
    <w:p>
      <w:pPr>
        <w:pStyle w:val="33"/>
        <w:tabs>
          <w:tab w:val="left" w:pos="5580"/>
        </w:tabs>
        <w:spacing w:line="480" w:lineRule="auto"/>
        <w:ind w:right="360" w:firstLine="3570" w:firstLineChars="1700"/>
        <w:rPr>
          <w:rFonts w:hAnsi="宋体" w:cs="宋体"/>
          <w:highlight w:val="none"/>
        </w:rPr>
      </w:pPr>
    </w:p>
    <w:p>
      <w:pPr>
        <w:pStyle w:val="33"/>
        <w:tabs>
          <w:tab w:val="left" w:pos="5580"/>
        </w:tabs>
        <w:spacing w:line="480" w:lineRule="auto"/>
        <w:ind w:right="360" w:firstLine="3570" w:firstLineChars="1700"/>
        <w:rPr>
          <w:rFonts w:hAnsi="宋体" w:cs="宋体"/>
          <w:highlight w:val="none"/>
          <w:u w:val="single"/>
        </w:rPr>
      </w:pPr>
      <w:r>
        <w:rPr>
          <w:rFonts w:hint="eastAsia" w:hAnsi="宋体" w:cs="宋体"/>
          <w:highlight w:val="none"/>
        </w:rPr>
        <w:t>供应商：</w:t>
      </w:r>
      <w:r>
        <w:rPr>
          <w:rFonts w:hAnsi="宋体" w:cs="宋体"/>
          <w:highlight w:val="none"/>
          <w:u w:val="single"/>
        </w:rPr>
        <w:t xml:space="preserve">                           </w:t>
      </w:r>
      <w:r>
        <w:rPr>
          <w:rFonts w:hint="eastAsia" w:hAnsi="宋体" w:cs="宋体"/>
          <w:highlight w:val="none"/>
          <w:u w:val="single"/>
        </w:rPr>
        <w:t>（盖章）</w:t>
      </w:r>
      <w:r>
        <w:rPr>
          <w:rFonts w:hAnsi="宋体" w:cs="宋体"/>
          <w:highlight w:val="none"/>
          <w:u w:val="single"/>
        </w:rPr>
        <w:t xml:space="preserve"> </w:t>
      </w:r>
    </w:p>
    <w:p>
      <w:pPr>
        <w:pStyle w:val="33"/>
        <w:tabs>
          <w:tab w:val="left" w:pos="5580"/>
        </w:tabs>
        <w:spacing w:line="480" w:lineRule="auto"/>
        <w:ind w:firstLine="420" w:firstLineChars="200"/>
        <w:rPr>
          <w:rFonts w:hAnsi="宋体" w:cs="宋体"/>
          <w:highlight w:val="none"/>
          <w:u w:val="single"/>
        </w:rPr>
      </w:pPr>
      <w:r>
        <w:rPr>
          <w:rFonts w:hAnsi="宋体" w:cs="宋体"/>
          <w:highlight w:val="none"/>
        </w:rPr>
        <w:t xml:space="preserve">                              </w:t>
      </w:r>
      <w:r>
        <w:rPr>
          <w:rFonts w:hint="eastAsia" w:hAnsi="宋体" w:cs="宋体"/>
          <w:highlight w:val="none"/>
        </w:rPr>
        <w:t>单位地址：</w:t>
      </w:r>
      <w:r>
        <w:rPr>
          <w:rFonts w:hAnsi="宋体" w:cs="宋体"/>
          <w:highlight w:val="none"/>
          <w:u w:val="single"/>
        </w:rPr>
        <w:tab/>
      </w:r>
      <w:r>
        <w:rPr>
          <w:rFonts w:hAnsi="宋体" w:cs="宋体"/>
          <w:highlight w:val="none"/>
          <w:u w:val="single"/>
        </w:rPr>
        <w:tab/>
      </w:r>
      <w:r>
        <w:rPr>
          <w:rFonts w:hAnsi="宋体" w:cs="宋体"/>
          <w:highlight w:val="none"/>
          <w:u w:val="single"/>
        </w:rPr>
        <w:tab/>
      </w:r>
      <w:r>
        <w:rPr>
          <w:rFonts w:hAnsi="宋体" w:cs="宋体"/>
          <w:highlight w:val="none"/>
          <w:u w:val="single"/>
        </w:rPr>
        <w:tab/>
      </w:r>
      <w:r>
        <w:rPr>
          <w:rFonts w:hAnsi="宋体" w:cs="宋体"/>
          <w:highlight w:val="none"/>
          <w:u w:val="single"/>
        </w:rPr>
        <w:tab/>
      </w:r>
      <w:r>
        <w:rPr>
          <w:rFonts w:hAnsi="宋体" w:cs="宋体"/>
          <w:highlight w:val="none"/>
          <w:u w:val="single"/>
        </w:rPr>
        <w:tab/>
      </w:r>
      <w:r>
        <w:rPr>
          <w:rFonts w:hAnsi="宋体" w:cs="宋体"/>
          <w:highlight w:val="none"/>
          <w:u w:val="single"/>
        </w:rPr>
        <w:t xml:space="preserve">      </w:t>
      </w:r>
    </w:p>
    <w:p>
      <w:pPr>
        <w:pStyle w:val="33"/>
        <w:tabs>
          <w:tab w:val="left" w:pos="5580"/>
        </w:tabs>
        <w:spacing w:line="480" w:lineRule="auto"/>
        <w:ind w:firstLine="420" w:firstLineChars="200"/>
        <w:rPr>
          <w:rFonts w:hAnsi="宋体" w:cs="宋体"/>
          <w:highlight w:val="none"/>
          <w:u w:val="single"/>
        </w:rPr>
      </w:pPr>
      <w:r>
        <w:rPr>
          <w:rFonts w:hAnsi="宋体" w:cs="宋体"/>
          <w:highlight w:val="none"/>
        </w:rPr>
        <w:t xml:space="preserve">                              </w:t>
      </w:r>
      <w:r>
        <w:rPr>
          <w:rFonts w:hint="eastAsia" w:hAnsi="宋体" w:cs="宋体"/>
          <w:highlight w:val="none"/>
        </w:rPr>
        <w:t>法定代表人：</w:t>
      </w:r>
      <w:r>
        <w:rPr>
          <w:rFonts w:hAnsi="宋体" w:cs="宋体"/>
          <w:highlight w:val="none"/>
          <w:u w:val="single"/>
        </w:rPr>
        <w:t xml:space="preserve">        </w:t>
      </w:r>
      <w:r>
        <w:rPr>
          <w:rFonts w:hint="eastAsia" w:hAnsi="宋体" w:cs="宋体"/>
          <w:highlight w:val="none"/>
          <w:u w:val="single"/>
        </w:rPr>
        <w:t xml:space="preserve">             </w:t>
      </w:r>
      <w:r>
        <w:rPr>
          <w:rFonts w:hAnsi="宋体" w:cs="宋体"/>
          <w:highlight w:val="none"/>
          <w:u w:val="single"/>
        </w:rPr>
        <w:t xml:space="preserve">  </w:t>
      </w:r>
      <w:r>
        <w:rPr>
          <w:rFonts w:hint="eastAsia" w:hAnsi="宋体" w:cs="宋体"/>
          <w:highlight w:val="none"/>
          <w:u w:val="single"/>
        </w:rPr>
        <w:t>（盖章）</w:t>
      </w:r>
    </w:p>
    <w:p>
      <w:pPr>
        <w:pStyle w:val="33"/>
        <w:tabs>
          <w:tab w:val="left" w:pos="5580"/>
        </w:tabs>
        <w:spacing w:line="480" w:lineRule="auto"/>
        <w:ind w:firstLine="3570" w:firstLineChars="1700"/>
        <w:rPr>
          <w:rFonts w:ascii="宋体" w:hAnsi="宋体" w:cs="宋体"/>
          <w:strike/>
          <w:dstrike w:val="0"/>
          <w:szCs w:val="21"/>
          <w:highlight w:val="none"/>
        </w:rPr>
      </w:pPr>
      <w:r>
        <w:rPr>
          <w:rFonts w:hint="eastAsia" w:hAnsi="宋体" w:cs="宋体"/>
          <w:highlight w:val="none"/>
        </w:rPr>
        <w:t>日期：</w:t>
      </w:r>
      <w:r>
        <w:rPr>
          <w:rFonts w:hAnsi="宋体" w:cs="宋体"/>
          <w:highlight w:val="none"/>
        </w:rPr>
        <w:t xml:space="preserve">          </w:t>
      </w:r>
      <w:r>
        <w:rPr>
          <w:rFonts w:hint="eastAsia" w:hAnsi="宋体" w:cs="宋体"/>
          <w:highlight w:val="none"/>
        </w:rPr>
        <w:t>年</w:t>
      </w:r>
      <w:r>
        <w:rPr>
          <w:rFonts w:hAnsi="宋体" w:cs="宋体"/>
          <w:highlight w:val="none"/>
        </w:rPr>
        <w:t xml:space="preserve">      </w:t>
      </w:r>
      <w:r>
        <w:rPr>
          <w:rFonts w:hint="eastAsia" w:hAnsi="宋体" w:cs="宋体"/>
          <w:highlight w:val="none"/>
        </w:rPr>
        <w:t>月</w:t>
      </w:r>
      <w:r>
        <w:rPr>
          <w:rFonts w:hAnsi="宋体" w:cs="宋体"/>
          <w:highlight w:val="none"/>
        </w:rPr>
        <w:t xml:space="preserve">      </w:t>
      </w:r>
      <w:r>
        <w:rPr>
          <w:rFonts w:hint="eastAsia" w:hAnsi="宋体" w:cs="宋体"/>
          <w:highlight w:val="none"/>
        </w:rPr>
        <w:t>日</w:t>
      </w:r>
      <w:bookmarkStart w:id="362" w:name="_Toc388283751"/>
    </w:p>
    <w:bookmarkEnd w:id="362"/>
    <w:p>
      <w:pPr>
        <w:pStyle w:val="5"/>
        <w:numPr>
          <w:ilvl w:val="0"/>
          <w:numId w:val="0"/>
        </w:numPr>
        <w:jc w:val="center"/>
        <w:rPr>
          <w:rFonts w:cs="宋体"/>
          <w:sz w:val="28"/>
          <w:szCs w:val="28"/>
          <w:highlight w:val="none"/>
        </w:rPr>
      </w:pPr>
      <w:bookmarkStart w:id="363" w:name="_Toc54941345"/>
      <w:bookmarkStart w:id="364" w:name="_Toc476584436"/>
      <w:bookmarkStart w:id="365" w:name="_Toc15038"/>
      <w:r>
        <w:rPr>
          <w:rFonts w:hint="eastAsia" w:cs="宋体"/>
          <w:sz w:val="28"/>
          <w:szCs w:val="28"/>
          <w:highlight w:val="none"/>
          <w:lang w:val="en-US" w:eastAsia="zh-CN"/>
        </w:rPr>
        <w:t>二、</w:t>
      </w:r>
      <w:r>
        <w:rPr>
          <w:rFonts w:hint="eastAsia" w:cs="宋体"/>
          <w:sz w:val="28"/>
          <w:szCs w:val="28"/>
          <w:highlight w:val="none"/>
        </w:rPr>
        <w:t>最</w:t>
      </w:r>
      <w:r>
        <w:rPr>
          <w:rFonts w:hint="eastAsia" w:cs="宋体"/>
          <w:sz w:val="28"/>
          <w:szCs w:val="28"/>
          <w:highlight w:val="none"/>
          <w:lang w:val="en-US" w:eastAsia="zh-CN"/>
        </w:rPr>
        <w:t>终</w:t>
      </w:r>
      <w:r>
        <w:rPr>
          <w:rFonts w:hint="eastAsia" w:cs="宋体"/>
          <w:sz w:val="28"/>
          <w:szCs w:val="28"/>
          <w:highlight w:val="none"/>
        </w:rPr>
        <w:t>报价表</w:t>
      </w:r>
      <w:bookmarkEnd w:id="363"/>
    </w:p>
    <w:p>
      <w:pPr>
        <w:pStyle w:val="6"/>
        <w:rPr>
          <w:highlight w:val="none"/>
        </w:rPr>
      </w:pPr>
    </w:p>
    <w:p>
      <w:pPr>
        <w:spacing w:line="360" w:lineRule="auto"/>
        <w:rPr>
          <w:sz w:val="24"/>
          <w:highlight w:val="none"/>
        </w:rPr>
      </w:pPr>
      <w:r>
        <w:rPr>
          <w:rFonts w:hint="eastAsia" w:ascii="宋体" w:hAnsi="宋体"/>
          <w:szCs w:val="21"/>
          <w:highlight w:val="none"/>
        </w:rPr>
        <w:t>项目名称：</w:t>
      </w:r>
      <w:r>
        <w:rPr>
          <w:rFonts w:ascii="宋体" w:hAnsi="宋体"/>
          <w:szCs w:val="21"/>
          <w:highlight w:val="none"/>
        </w:rPr>
        <w:t xml:space="preserve">  </w:t>
      </w:r>
    </w:p>
    <w:p>
      <w:pPr>
        <w:spacing w:line="360" w:lineRule="auto"/>
        <w:rPr>
          <w:rFonts w:eastAsia="仿宋"/>
          <w:kern w:val="0"/>
          <w:sz w:val="24"/>
          <w:highlight w:val="none"/>
          <w:lang w:val="zh-CN"/>
        </w:rPr>
      </w:pPr>
      <w:r>
        <w:rPr>
          <w:rFonts w:hint="eastAsia" w:ascii="宋体" w:hAnsi="宋体"/>
          <w:szCs w:val="21"/>
          <w:highlight w:val="none"/>
        </w:rPr>
        <w:t>项目编号：</w:t>
      </w:r>
      <w:r>
        <w:rPr>
          <w:rFonts w:ascii="宋体" w:hAnsi="宋体"/>
          <w:szCs w:val="21"/>
          <w:highlight w:val="none"/>
        </w:rPr>
        <w:t xml:space="preserve"> </w:t>
      </w:r>
    </w:p>
    <w:p>
      <w:pPr>
        <w:spacing w:line="360" w:lineRule="auto"/>
        <w:ind w:firstLine="6090" w:firstLineChars="2900"/>
        <w:rPr>
          <w:rFonts w:ascii="宋体"/>
          <w:highlight w:val="none"/>
        </w:rPr>
      </w:pPr>
      <w:r>
        <w:rPr>
          <w:rFonts w:hint="eastAsia" w:ascii="宋体" w:hAnsi="宋体"/>
          <w:highlight w:val="none"/>
        </w:rPr>
        <w:t>金额单位：人民币（元）</w:t>
      </w:r>
    </w:p>
    <w:tbl>
      <w:tblPr>
        <w:tblStyle w:val="63"/>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8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restart"/>
            <w:vAlign w:val="center"/>
          </w:tcPr>
          <w:p>
            <w:pPr>
              <w:spacing w:line="400" w:lineRule="exact"/>
              <w:jc w:val="center"/>
              <w:rPr>
                <w:sz w:val="24"/>
                <w:highlight w:val="none"/>
              </w:rPr>
            </w:pPr>
            <w:r>
              <w:rPr>
                <w:rFonts w:hint="eastAsia" w:hAnsi="宋体"/>
                <w:sz w:val="24"/>
                <w:highlight w:val="none"/>
              </w:rPr>
              <w:t>最后报价</w:t>
            </w:r>
          </w:p>
        </w:tc>
        <w:tc>
          <w:tcPr>
            <w:tcW w:w="8167" w:type="dxa"/>
            <w:vAlign w:val="center"/>
          </w:tcPr>
          <w:p>
            <w:pPr>
              <w:wordWrap w:val="0"/>
              <w:spacing w:line="400" w:lineRule="exact"/>
              <w:rPr>
                <w:sz w:val="24"/>
                <w:highlight w:val="none"/>
              </w:rPr>
            </w:pPr>
            <w:r>
              <w:rPr>
                <w:rFonts w:hint="eastAsia" w:hAnsi="宋体"/>
                <w:sz w:val="24"/>
                <w:highlight w:val="none"/>
              </w:rPr>
              <w:t>大写：</w:t>
            </w:r>
            <w:r>
              <w:rPr>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continue"/>
            <w:vAlign w:val="center"/>
          </w:tcPr>
          <w:p>
            <w:pPr>
              <w:spacing w:line="400" w:lineRule="exact"/>
              <w:jc w:val="center"/>
              <w:rPr>
                <w:sz w:val="24"/>
                <w:highlight w:val="none"/>
              </w:rPr>
            </w:pPr>
          </w:p>
        </w:tc>
        <w:tc>
          <w:tcPr>
            <w:tcW w:w="8167" w:type="dxa"/>
            <w:vAlign w:val="center"/>
          </w:tcPr>
          <w:p>
            <w:pPr>
              <w:wordWrap w:val="0"/>
              <w:rPr>
                <w:rFonts w:hAnsi="宋体"/>
                <w:sz w:val="24"/>
                <w:highlight w:val="none"/>
              </w:rPr>
            </w:pPr>
            <w:r>
              <w:rPr>
                <w:rFonts w:hint="eastAsia" w:hAnsi="宋体"/>
                <w:sz w:val="24"/>
                <w:highlight w:val="none"/>
              </w:rPr>
              <w:t>小写：</w:t>
            </w:r>
            <w:r>
              <w:rPr>
                <w:rFonts w:hAnsi="宋体"/>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1463" w:type="dxa"/>
            <w:vAlign w:val="center"/>
          </w:tcPr>
          <w:p>
            <w:pPr>
              <w:spacing w:line="400" w:lineRule="exact"/>
              <w:ind w:firstLine="120" w:firstLineChars="50"/>
              <w:jc w:val="center"/>
              <w:rPr>
                <w:rFonts w:hint="eastAsia" w:eastAsia="宋体"/>
                <w:sz w:val="24"/>
                <w:highlight w:val="none"/>
                <w:lang w:eastAsia="zh-CN"/>
              </w:rPr>
            </w:pPr>
            <w:r>
              <w:rPr>
                <w:rFonts w:hint="eastAsia"/>
                <w:sz w:val="24"/>
                <w:highlight w:val="none"/>
                <w:lang w:eastAsia="zh-CN"/>
              </w:rPr>
              <w:t>工期</w:t>
            </w:r>
          </w:p>
        </w:tc>
        <w:tc>
          <w:tcPr>
            <w:tcW w:w="8167" w:type="dxa"/>
            <w:vAlign w:val="center"/>
          </w:tcPr>
          <w:p>
            <w:pPr>
              <w:spacing w:line="400" w:lineRule="exact"/>
              <w:rPr>
                <w:rFonts w:hint="default" w:eastAsia="宋体"/>
                <w:sz w:val="24"/>
                <w:highlight w:val="none"/>
                <w:lang w:val="en-US" w:eastAsia="zh-CN"/>
              </w:rPr>
            </w:pPr>
            <w:r>
              <w:rPr>
                <w:rFonts w:hint="eastAsia"/>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630" w:type="dxa"/>
            <w:gridSpan w:val="2"/>
            <w:vAlign w:val="center"/>
          </w:tcPr>
          <w:p>
            <w:pPr>
              <w:spacing w:line="400" w:lineRule="exact"/>
              <w:rPr>
                <w:rFonts w:hAnsi="宋体"/>
                <w:sz w:val="24"/>
                <w:highlight w:val="none"/>
              </w:rPr>
            </w:pPr>
            <w:r>
              <w:rPr>
                <w:rFonts w:hint="eastAsia" w:hAnsi="宋体"/>
                <w:sz w:val="24"/>
                <w:highlight w:val="none"/>
              </w:rPr>
              <w:t>备注：</w:t>
            </w:r>
          </w:p>
          <w:p>
            <w:pPr>
              <w:spacing w:line="400" w:lineRule="exact"/>
              <w:rPr>
                <w:rFonts w:hAnsi="宋体"/>
                <w:sz w:val="24"/>
                <w:highlight w:val="none"/>
              </w:rPr>
            </w:pPr>
            <w:r>
              <w:rPr>
                <w:rFonts w:hAnsi="宋体"/>
                <w:sz w:val="24"/>
                <w:highlight w:val="none"/>
              </w:rPr>
              <w:t>1</w:t>
            </w:r>
            <w:r>
              <w:rPr>
                <w:rFonts w:hint="eastAsia" w:hAnsi="宋体"/>
                <w:sz w:val="24"/>
                <w:highlight w:val="none"/>
              </w:rPr>
              <w:t>、分项报价按总报价的同等比例下浮；</w:t>
            </w:r>
          </w:p>
          <w:p>
            <w:pPr>
              <w:spacing w:line="400" w:lineRule="exact"/>
              <w:rPr>
                <w:rFonts w:hAnsi="宋体"/>
                <w:sz w:val="24"/>
                <w:highlight w:val="none"/>
              </w:rPr>
            </w:pPr>
            <w:r>
              <w:rPr>
                <w:rFonts w:hAnsi="宋体"/>
                <w:sz w:val="24"/>
                <w:highlight w:val="none"/>
              </w:rPr>
              <w:t>2</w:t>
            </w:r>
            <w:r>
              <w:rPr>
                <w:rFonts w:hint="eastAsia" w:hAnsi="宋体"/>
                <w:sz w:val="24"/>
                <w:highlight w:val="none"/>
              </w:rPr>
              <w:t>、最后报价保留两位小数，小数点后第三位四舍五入。</w:t>
            </w:r>
          </w:p>
        </w:tc>
      </w:tr>
    </w:tbl>
    <w:p>
      <w:pPr>
        <w:spacing w:line="360" w:lineRule="auto"/>
        <w:rPr>
          <w:rFonts w:ascii="宋体"/>
          <w:b/>
          <w:sz w:val="24"/>
          <w:highlight w:val="none"/>
        </w:rPr>
      </w:pPr>
    </w:p>
    <w:p>
      <w:pPr>
        <w:spacing w:line="360" w:lineRule="auto"/>
        <w:rPr>
          <w:rFonts w:ascii="宋体"/>
          <w:b/>
          <w:sz w:val="24"/>
          <w:highlight w:val="none"/>
        </w:rPr>
      </w:pPr>
      <w:r>
        <w:rPr>
          <w:rFonts w:hint="eastAsia" w:ascii="宋体" w:hAnsi="宋体"/>
          <w:b/>
          <w:sz w:val="24"/>
          <w:highlight w:val="none"/>
        </w:rPr>
        <w:t>此表请各供应商准备好，以便在磋商时报价使用。（此表须加盖供应商电子公章及法定代表人电子签章，由供应商</w:t>
      </w:r>
      <w:r>
        <w:rPr>
          <w:rFonts w:hint="eastAsia" w:ascii="宋体" w:hAnsi="宋体" w:cs="宋体"/>
          <w:b/>
          <w:color w:val="000000"/>
          <w:sz w:val="24"/>
          <w:highlight w:val="none"/>
        </w:rPr>
        <w:t>通过电子交易系统</w:t>
      </w:r>
      <w:r>
        <w:rPr>
          <w:rFonts w:hint="eastAsia" w:ascii="宋体" w:hAnsi="宋体"/>
          <w:b/>
          <w:sz w:val="24"/>
          <w:highlight w:val="none"/>
        </w:rPr>
        <w:t>递交）</w:t>
      </w:r>
    </w:p>
    <w:p>
      <w:pPr>
        <w:spacing w:line="360" w:lineRule="auto"/>
        <w:ind w:firstLine="3465" w:firstLineChars="1650"/>
        <w:rPr>
          <w:rFonts w:ascii="宋体"/>
          <w:szCs w:val="21"/>
          <w:highlight w:val="none"/>
        </w:rPr>
      </w:pPr>
    </w:p>
    <w:p>
      <w:pPr>
        <w:spacing w:line="360" w:lineRule="auto"/>
        <w:ind w:firstLine="3465" w:firstLineChars="1650"/>
        <w:rPr>
          <w:rFonts w:ascii="宋体"/>
          <w:szCs w:val="21"/>
          <w:highlight w:val="none"/>
        </w:rPr>
      </w:pPr>
      <w:r>
        <w:rPr>
          <w:rFonts w:hint="eastAsia" w:ascii="宋体" w:hAnsi="宋体"/>
          <w:szCs w:val="21"/>
          <w:highlight w:val="none"/>
        </w:rPr>
        <w:t>供应商：</w:t>
      </w:r>
      <w:r>
        <w:rPr>
          <w:rFonts w:ascii="宋体" w:hAnsi="宋体"/>
          <w:szCs w:val="21"/>
          <w:highlight w:val="none"/>
          <w:u w:val="single"/>
        </w:rPr>
        <w:t xml:space="preserve">                          </w:t>
      </w:r>
      <w:r>
        <w:rPr>
          <w:rFonts w:hint="eastAsia" w:ascii="宋体" w:hAnsi="宋体"/>
          <w:szCs w:val="21"/>
          <w:highlight w:val="none"/>
        </w:rPr>
        <w:t>（盖章）</w:t>
      </w:r>
    </w:p>
    <w:p>
      <w:pPr>
        <w:spacing w:line="360" w:lineRule="auto"/>
        <w:ind w:firstLine="3561" w:firstLineChars="1696"/>
        <w:rPr>
          <w:rFonts w:ascii="宋体"/>
          <w:szCs w:val="21"/>
          <w:highlight w:val="none"/>
        </w:rPr>
      </w:pPr>
    </w:p>
    <w:p>
      <w:pPr>
        <w:spacing w:line="360" w:lineRule="auto"/>
        <w:ind w:firstLine="3465" w:firstLineChars="1650"/>
        <w:rPr>
          <w:rFonts w:ascii="宋体"/>
          <w:szCs w:val="21"/>
          <w:highlight w:val="none"/>
        </w:rPr>
      </w:pPr>
      <w:r>
        <w:rPr>
          <w:rFonts w:hint="eastAsia" w:ascii="宋体" w:hAnsi="宋体"/>
          <w:szCs w:val="21"/>
          <w:highlight w:val="none"/>
        </w:rPr>
        <w:t>法定代表人：</w:t>
      </w:r>
      <w:r>
        <w:rPr>
          <w:rFonts w:ascii="宋体" w:hAnsi="宋体"/>
          <w:szCs w:val="21"/>
          <w:highlight w:val="none"/>
          <w:u w:val="single"/>
        </w:rPr>
        <w:t xml:space="preserve">           </w:t>
      </w:r>
      <w:r>
        <w:rPr>
          <w:rFonts w:hint="eastAsia" w:ascii="宋体" w:hAnsi="宋体"/>
          <w:szCs w:val="21"/>
          <w:highlight w:val="none"/>
        </w:rPr>
        <w:t>（签章）</w:t>
      </w:r>
    </w:p>
    <w:p>
      <w:pPr>
        <w:spacing w:line="360" w:lineRule="auto"/>
        <w:ind w:firstLine="3570" w:firstLineChars="1700"/>
        <w:rPr>
          <w:rFonts w:ascii="宋体"/>
          <w:szCs w:val="21"/>
          <w:highlight w:val="none"/>
        </w:rPr>
      </w:pPr>
    </w:p>
    <w:p>
      <w:pPr>
        <w:spacing w:line="360" w:lineRule="auto"/>
        <w:ind w:firstLine="3570" w:firstLineChars="1700"/>
        <w:rPr>
          <w:rFonts w:ascii="宋体"/>
          <w:szCs w:val="21"/>
          <w:highlight w:val="none"/>
        </w:rPr>
      </w:pPr>
      <w:r>
        <w:rPr>
          <w:rFonts w:hint="eastAsia"/>
          <w:szCs w:val="21"/>
          <w:highlight w:val="none"/>
        </w:rPr>
        <w:t>日</w:t>
      </w:r>
      <w:r>
        <w:rPr>
          <w:szCs w:val="21"/>
          <w:highlight w:val="none"/>
        </w:rPr>
        <w:t xml:space="preserve">  </w:t>
      </w:r>
      <w:r>
        <w:rPr>
          <w:rFonts w:hint="eastAsia"/>
          <w:szCs w:val="21"/>
          <w:highlight w:val="none"/>
        </w:rPr>
        <w:t>期：</w:t>
      </w:r>
      <w:r>
        <w:rPr>
          <w:szCs w:val="21"/>
          <w:highlight w:val="none"/>
          <w:u w:val="single"/>
        </w:rPr>
        <w:t xml:space="preserve">         </w:t>
      </w:r>
      <w:r>
        <w:rPr>
          <w:rFonts w:hint="eastAsia"/>
          <w:szCs w:val="21"/>
          <w:highlight w:val="none"/>
        </w:rPr>
        <w:t>年</w:t>
      </w:r>
      <w:r>
        <w:rPr>
          <w:szCs w:val="21"/>
          <w:highlight w:val="none"/>
          <w:u w:val="single"/>
        </w:rPr>
        <w:t xml:space="preserve">        </w:t>
      </w:r>
      <w:r>
        <w:rPr>
          <w:rFonts w:hint="eastAsia"/>
          <w:szCs w:val="21"/>
          <w:highlight w:val="none"/>
        </w:rPr>
        <w:t>月</w:t>
      </w:r>
      <w:r>
        <w:rPr>
          <w:szCs w:val="21"/>
          <w:highlight w:val="none"/>
          <w:u w:val="single"/>
        </w:rPr>
        <w:t xml:space="preserve"> </w:t>
      </w:r>
      <w:r>
        <w:rPr>
          <w:rFonts w:hint="eastAsia"/>
          <w:szCs w:val="21"/>
          <w:highlight w:val="none"/>
          <w:u w:val="single"/>
        </w:rPr>
        <w:t>　</w:t>
      </w:r>
      <w:r>
        <w:rPr>
          <w:szCs w:val="21"/>
          <w:highlight w:val="none"/>
          <w:u w:val="single"/>
        </w:rPr>
        <w:t xml:space="preserve">     </w:t>
      </w:r>
      <w:r>
        <w:rPr>
          <w:rFonts w:hint="eastAsia"/>
          <w:szCs w:val="21"/>
          <w:highlight w:val="none"/>
        </w:rPr>
        <w:t>日</w:t>
      </w:r>
    </w:p>
    <w:p>
      <w:pPr>
        <w:spacing w:line="360" w:lineRule="auto"/>
        <w:ind w:left="2833" w:leftChars="1349"/>
        <w:rPr>
          <w:rFonts w:ascii="宋体"/>
          <w:szCs w:val="21"/>
          <w:highlight w:val="none"/>
        </w:rPr>
      </w:pPr>
    </w:p>
    <w:p>
      <w:pPr>
        <w:pStyle w:val="2"/>
      </w:pPr>
    </w:p>
    <w:p>
      <w:pPr>
        <w:spacing w:line="360" w:lineRule="auto"/>
        <w:ind w:left="2833" w:leftChars="1349"/>
        <w:rPr>
          <w:rFonts w:ascii="宋体"/>
          <w:szCs w:val="21"/>
          <w:highlight w:val="none"/>
        </w:rPr>
      </w:pPr>
    </w:p>
    <w:bookmarkEnd w:id="364"/>
    <w:bookmarkEnd w:id="365"/>
    <w:p>
      <w:pPr>
        <w:spacing w:line="360" w:lineRule="auto"/>
        <w:rPr>
          <w:rFonts w:ascii="宋体" w:cs="宋体"/>
          <w:szCs w:val="21"/>
          <w:highlight w:val="none"/>
        </w:rPr>
      </w:pPr>
    </w:p>
    <w:tbl>
      <w:tblPr>
        <w:tblStyle w:val="63"/>
        <w:tblW w:w="10488" w:type="dxa"/>
        <w:jc w:val="center"/>
        <w:tblLayout w:type="fixed"/>
        <w:tblCellMar>
          <w:top w:w="0" w:type="dxa"/>
          <w:left w:w="0" w:type="dxa"/>
          <w:bottom w:w="0" w:type="dxa"/>
          <w:right w:w="0" w:type="dxa"/>
        </w:tblCellMar>
      </w:tblPr>
      <w:tblGrid>
        <w:gridCol w:w="115"/>
        <w:gridCol w:w="1576"/>
        <w:gridCol w:w="558"/>
        <w:gridCol w:w="230"/>
        <w:gridCol w:w="673"/>
        <w:gridCol w:w="1247"/>
        <w:gridCol w:w="2593"/>
        <w:gridCol w:w="459"/>
        <w:gridCol w:w="444"/>
        <w:gridCol w:w="573"/>
        <w:gridCol w:w="673"/>
        <w:gridCol w:w="1347"/>
      </w:tblGrid>
      <w:tr>
        <w:tblPrEx>
          <w:tblCellMar>
            <w:top w:w="0" w:type="dxa"/>
            <w:left w:w="0" w:type="dxa"/>
            <w:bottom w:w="0" w:type="dxa"/>
            <w:right w:w="0" w:type="dxa"/>
          </w:tblCellMar>
        </w:tblPrEx>
        <w:trPr>
          <w:trHeight w:val="673" w:hRule="exact"/>
          <w:jc w:val="center"/>
        </w:trPr>
        <w:tc>
          <w:tcPr>
            <w:tcW w:w="2249" w:type="dxa"/>
            <w:gridSpan w:val="3"/>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eastAsia="宋体"/>
                <w:color w:val="auto"/>
                <w:highlight w:val="none"/>
                <w:lang w:val="en-US" w:eastAsia="zh-CN"/>
              </w:rPr>
            </w:pPr>
          </w:p>
        </w:tc>
        <w:tc>
          <w:tcPr>
            <w:tcW w:w="6219" w:type="dxa"/>
            <w:gridSpan w:val="7"/>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1084" w:firstLineChars="300"/>
              <w:jc w:val="both"/>
              <w:rPr>
                <w:rFonts w:hint="default" w:ascii="宋体" w:hAnsi="宋体" w:eastAsia="宋体" w:cs="宋体"/>
                <w:b/>
                <w:color w:val="auto"/>
                <w:spacing w:val="-2"/>
                <w:sz w:val="34"/>
                <w:highlight w:val="none"/>
              </w:rPr>
            </w:pPr>
            <w:r>
              <w:rPr>
                <w:rFonts w:hint="eastAsia" w:ascii="宋体" w:hAnsi="宋体" w:cs="宋体"/>
                <w:b/>
                <w:color w:val="auto"/>
                <w:sz w:val="36"/>
                <w:szCs w:val="36"/>
                <w:highlight w:val="none"/>
                <w:lang w:val="en-US" w:eastAsia="zh-CN"/>
              </w:rPr>
              <w:t>三</w:t>
            </w:r>
            <w:r>
              <w:rPr>
                <w:rFonts w:hint="eastAsia" w:ascii="宋体" w:hAnsi="宋体" w:eastAsia="宋体" w:cs="宋体"/>
                <w:b/>
                <w:color w:val="auto"/>
                <w:sz w:val="36"/>
                <w:szCs w:val="36"/>
                <w:highlight w:val="none"/>
              </w:rPr>
              <w:t>、</w:t>
            </w:r>
            <w:r>
              <w:rPr>
                <w:rFonts w:hint="default" w:ascii="宋体" w:hAnsi="宋体" w:eastAsia="宋体" w:cs="宋体"/>
                <w:b/>
                <w:color w:val="auto"/>
                <w:spacing w:val="-2"/>
                <w:sz w:val="34"/>
                <w:highlight w:val="none"/>
              </w:rPr>
              <w:t xml:space="preserve"> </w:t>
            </w:r>
            <w:r>
              <w:rPr>
                <w:rFonts w:hint="eastAsia" w:ascii="宋体" w:hAnsi="宋体" w:cs="宋体"/>
                <w:b/>
                <w:color w:val="auto"/>
                <w:spacing w:val="-2"/>
                <w:sz w:val="34"/>
                <w:highlight w:val="none"/>
                <w:lang w:eastAsia="zh-CN"/>
              </w:rPr>
              <w:t>首轮</w:t>
            </w:r>
            <w:r>
              <w:rPr>
                <w:rFonts w:hint="eastAsia" w:ascii="宋体" w:hAnsi="宋体" w:cs="宋体"/>
                <w:b/>
                <w:color w:val="auto"/>
                <w:spacing w:val="-2"/>
                <w:sz w:val="34"/>
                <w:highlight w:val="none"/>
                <w:lang w:val="en-US" w:eastAsia="zh-CN"/>
              </w:rPr>
              <w:t>磋商</w:t>
            </w:r>
            <w:r>
              <w:rPr>
                <w:rFonts w:hint="eastAsia" w:ascii="宋体" w:hAnsi="宋体" w:cs="宋体"/>
                <w:b/>
                <w:color w:val="auto"/>
                <w:spacing w:val="-2"/>
                <w:sz w:val="34"/>
                <w:highlight w:val="none"/>
                <w:lang w:eastAsia="zh-CN"/>
              </w:rPr>
              <w:t>总价封面</w:t>
            </w:r>
          </w:p>
        </w:tc>
        <w:tc>
          <w:tcPr>
            <w:tcW w:w="2020" w:type="dxa"/>
            <w:gridSpan w:val="2"/>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903" w:hRule="exact"/>
          <w:jc w:val="center"/>
        </w:trPr>
        <w:tc>
          <w:tcPr>
            <w:tcW w:w="10488" w:type="dxa"/>
            <w:gridSpan w:val="12"/>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745" w:hRule="exact"/>
          <w:jc w:val="center"/>
        </w:trPr>
        <w:tc>
          <w:tcPr>
            <w:tcW w:w="1691" w:type="dxa"/>
            <w:gridSpan w:val="2"/>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6204" w:type="dxa"/>
            <w:gridSpan w:val="7"/>
            <w:vMerge w:val="restart"/>
            <w:tcBorders>
              <w:bottom w:val="single" w:color="000000" w:sz="4" w:space="0"/>
            </w:tcBorders>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34"/>
                <w:highlight w:val="none"/>
              </w:rPr>
            </w:pPr>
          </w:p>
        </w:tc>
        <w:tc>
          <w:tcPr>
            <w:tcW w:w="1246" w:type="dxa"/>
            <w:gridSpan w:val="2"/>
            <w:vMerge w:val="restart"/>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b/>
                <w:color w:val="auto"/>
                <w:spacing w:val="-2"/>
                <w:sz w:val="34"/>
                <w:highlight w:val="none"/>
              </w:rPr>
            </w:pPr>
            <w:r>
              <w:rPr>
                <w:rFonts w:hint="default" w:ascii="宋体" w:hAnsi="宋体" w:eastAsia="宋体" w:cs="宋体"/>
                <w:b/>
                <w:color w:val="auto"/>
                <w:spacing w:val="-2"/>
                <w:sz w:val="34"/>
                <w:highlight w:val="none"/>
              </w:rPr>
              <w:t>工程</w:t>
            </w:r>
          </w:p>
        </w:tc>
        <w:tc>
          <w:tcPr>
            <w:tcW w:w="1347"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731" w:hRule="exact"/>
          <w:jc w:val="center"/>
        </w:trPr>
        <w:tc>
          <w:tcPr>
            <w:tcW w:w="1691" w:type="dxa"/>
            <w:gridSpan w:val="2"/>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6204" w:type="dxa"/>
            <w:gridSpan w:val="7"/>
            <w:vMerge w:val="continue"/>
            <w:tcBorders>
              <w:bottom w:val="single" w:color="000000" w:sz="4" w:space="0"/>
            </w:tcBorders>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246" w:type="dxa"/>
            <w:gridSpan w:val="2"/>
            <w:vMerge w:val="continue"/>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347"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730" w:hRule="exact"/>
          <w:jc w:val="center"/>
        </w:trPr>
        <w:tc>
          <w:tcPr>
            <w:tcW w:w="1691" w:type="dxa"/>
            <w:gridSpan w:val="2"/>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6204" w:type="dxa"/>
            <w:gridSpan w:val="7"/>
            <w:tcBorders>
              <w:top w:val="single" w:color="000000" w:sz="4"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2593" w:type="dxa"/>
            <w:gridSpan w:val="3"/>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731" w:hRule="exact"/>
          <w:jc w:val="center"/>
        </w:trPr>
        <w:tc>
          <w:tcPr>
            <w:tcW w:w="10488" w:type="dxa"/>
            <w:gridSpan w:val="12"/>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1017" w:hRule="exact"/>
          <w:jc w:val="center"/>
        </w:trPr>
        <w:tc>
          <w:tcPr>
            <w:tcW w:w="115" w:type="dxa"/>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0373" w:type="dxa"/>
            <w:gridSpan w:val="11"/>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b/>
                <w:color w:val="auto"/>
                <w:spacing w:val="-2"/>
                <w:sz w:val="42"/>
                <w:highlight w:val="none"/>
              </w:rPr>
            </w:pPr>
            <w:r>
              <w:rPr>
                <w:rFonts w:hint="eastAsia" w:ascii="宋体" w:hAnsi="宋体" w:cs="宋体"/>
                <w:b/>
                <w:color w:val="auto"/>
                <w:spacing w:val="-2"/>
                <w:sz w:val="42"/>
                <w:highlight w:val="none"/>
                <w:lang w:eastAsia="zh-CN"/>
              </w:rPr>
              <w:t>首轮</w:t>
            </w:r>
            <w:r>
              <w:rPr>
                <w:rFonts w:hint="eastAsia" w:ascii="宋体" w:hAnsi="宋体" w:cs="宋体"/>
                <w:b/>
                <w:color w:val="auto"/>
                <w:spacing w:val="-2"/>
                <w:sz w:val="42"/>
                <w:highlight w:val="none"/>
                <w:lang w:val="en-US" w:eastAsia="zh-CN"/>
              </w:rPr>
              <w:t>磋商</w:t>
            </w:r>
            <w:r>
              <w:rPr>
                <w:rFonts w:hint="eastAsia" w:ascii="宋体" w:hAnsi="宋体" w:cs="宋体"/>
                <w:b/>
                <w:color w:val="auto"/>
                <w:spacing w:val="-2"/>
                <w:sz w:val="42"/>
                <w:highlight w:val="none"/>
                <w:lang w:eastAsia="zh-CN"/>
              </w:rPr>
              <w:t>总价</w:t>
            </w:r>
          </w:p>
        </w:tc>
      </w:tr>
      <w:tr>
        <w:tblPrEx>
          <w:tblCellMar>
            <w:top w:w="0" w:type="dxa"/>
            <w:left w:w="0" w:type="dxa"/>
            <w:bottom w:w="0" w:type="dxa"/>
            <w:right w:w="0" w:type="dxa"/>
          </w:tblCellMar>
        </w:tblPrEx>
        <w:trPr>
          <w:trHeight w:val="1018" w:hRule="exact"/>
          <w:jc w:val="center"/>
        </w:trPr>
        <w:tc>
          <w:tcPr>
            <w:tcW w:w="10488" w:type="dxa"/>
            <w:gridSpan w:val="12"/>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1017" w:hRule="exact"/>
          <w:jc w:val="center"/>
        </w:trPr>
        <w:tc>
          <w:tcPr>
            <w:tcW w:w="10488" w:type="dxa"/>
            <w:gridSpan w:val="12"/>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444" w:hRule="exact"/>
          <w:jc w:val="center"/>
        </w:trPr>
        <w:tc>
          <w:tcPr>
            <w:tcW w:w="2479" w:type="dxa"/>
            <w:gridSpan w:val="4"/>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920" w:type="dxa"/>
            <w:gridSpan w:val="2"/>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32"/>
                <w:highlight w:val="none"/>
              </w:rPr>
            </w:pPr>
            <w:r>
              <w:rPr>
                <w:rFonts w:hint="eastAsia" w:ascii="宋体" w:hAnsi="宋体" w:cs="宋体"/>
                <w:color w:val="auto"/>
                <w:spacing w:val="-2"/>
                <w:sz w:val="32"/>
                <w:highlight w:val="none"/>
                <w:lang w:val="en-US" w:eastAsia="zh-CN"/>
              </w:rPr>
              <w:t>供应商</w:t>
            </w:r>
            <w:r>
              <w:rPr>
                <w:rFonts w:hint="default" w:ascii="宋体" w:hAnsi="宋体" w:eastAsia="宋体" w:cs="宋体"/>
                <w:color w:val="auto"/>
                <w:spacing w:val="-2"/>
                <w:sz w:val="32"/>
                <w:highlight w:val="none"/>
              </w:rPr>
              <w:t xml:space="preserve">  ：</w:t>
            </w:r>
          </w:p>
        </w:tc>
        <w:tc>
          <w:tcPr>
            <w:tcW w:w="3052" w:type="dxa"/>
            <w:gridSpan w:val="2"/>
            <w:tcBorders>
              <w:bottom w:val="single" w:color="000000" w:sz="4" w:space="0"/>
            </w:tcBorders>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32"/>
                <w:highlight w:val="none"/>
              </w:rPr>
            </w:pPr>
          </w:p>
        </w:tc>
        <w:tc>
          <w:tcPr>
            <w:tcW w:w="3037" w:type="dxa"/>
            <w:gridSpan w:val="4"/>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459" w:hRule="exact"/>
          <w:jc w:val="center"/>
        </w:trPr>
        <w:tc>
          <w:tcPr>
            <w:tcW w:w="4399" w:type="dxa"/>
            <w:gridSpan w:val="6"/>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3052" w:type="dxa"/>
            <w:gridSpan w:val="2"/>
            <w:tcBorders>
              <w:top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0"/>
                <w:highlight w:val="none"/>
              </w:rPr>
            </w:pPr>
            <w:r>
              <w:rPr>
                <w:rFonts w:hint="default" w:ascii="宋体" w:hAnsi="宋体" w:eastAsia="宋体" w:cs="宋体"/>
                <w:color w:val="auto"/>
                <w:spacing w:val="-2"/>
                <w:sz w:val="20"/>
                <w:highlight w:val="none"/>
              </w:rPr>
              <w:t>（单位盖章）</w:t>
            </w:r>
          </w:p>
        </w:tc>
        <w:tc>
          <w:tcPr>
            <w:tcW w:w="3037" w:type="dxa"/>
            <w:gridSpan w:val="4"/>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788" w:hRule="exact"/>
          <w:jc w:val="center"/>
        </w:trPr>
        <w:tc>
          <w:tcPr>
            <w:tcW w:w="10488" w:type="dxa"/>
            <w:gridSpan w:val="12"/>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788" w:hRule="exact"/>
          <w:jc w:val="center"/>
        </w:trPr>
        <w:tc>
          <w:tcPr>
            <w:tcW w:w="10488" w:type="dxa"/>
            <w:gridSpan w:val="12"/>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458" w:hRule="exact"/>
          <w:jc w:val="center"/>
        </w:trPr>
        <w:tc>
          <w:tcPr>
            <w:tcW w:w="3152" w:type="dxa"/>
            <w:gridSpan w:val="5"/>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3840" w:type="dxa"/>
            <w:gridSpan w:val="2"/>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32"/>
                <w:highlight w:val="none"/>
              </w:rPr>
            </w:pPr>
            <w:r>
              <w:rPr>
                <w:rFonts w:hint="default" w:ascii="宋体" w:hAnsi="宋体" w:eastAsia="宋体" w:cs="宋体"/>
                <w:color w:val="auto"/>
                <w:spacing w:val="-2"/>
                <w:sz w:val="32"/>
                <w:highlight w:val="none"/>
              </w:rPr>
              <w:t>年   月   日</w:t>
            </w:r>
          </w:p>
        </w:tc>
        <w:tc>
          <w:tcPr>
            <w:tcW w:w="3496" w:type="dxa"/>
            <w:gridSpan w:val="5"/>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2933" w:hRule="exact"/>
          <w:jc w:val="center"/>
        </w:trPr>
        <w:tc>
          <w:tcPr>
            <w:tcW w:w="3152" w:type="dxa"/>
            <w:gridSpan w:val="5"/>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3840" w:type="dxa"/>
            <w:gridSpan w:val="2"/>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32"/>
                <w:highlight w:val="none"/>
              </w:rPr>
            </w:pPr>
          </w:p>
        </w:tc>
        <w:tc>
          <w:tcPr>
            <w:tcW w:w="3496" w:type="dxa"/>
            <w:gridSpan w:val="5"/>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bl>
    <w:tbl>
      <w:tblPr>
        <w:tblStyle w:val="63"/>
        <w:tblpPr w:leftFromText="180" w:rightFromText="180" w:vertAnchor="text" w:horzAnchor="page" w:tblpXSpec="center" w:tblpY="482"/>
        <w:tblOverlap w:val="never"/>
        <w:tblW w:w="10373" w:type="dxa"/>
        <w:jc w:val="center"/>
        <w:tblLayout w:type="fixed"/>
        <w:tblCellMar>
          <w:top w:w="0" w:type="dxa"/>
          <w:left w:w="0" w:type="dxa"/>
          <w:bottom w:w="0" w:type="dxa"/>
          <w:right w:w="0" w:type="dxa"/>
        </w:tblCellMar>
      </w:tblPr>
      <w:tblGrid>
        <w:gridCol w:w="903"/>
        <w:gridCol w:w="1690"/>
        <w:gridCol w:w="115"/>
        <w:gridCol w:w="115"/>
        <w:gridCol w:w="229"/>
        <w:gridCol w:w="100"/>
        <w:gridCol w:w="903"/>
        <w:gridCol w:w="71"/>
        <w:gridCol w:w="2981"/>
        <w:gridCol w:w="556"/>
        <w:gridCol w:w="1593"/>
        <w:gridCol w:w="115"/>
        <w:gridCol w:w="1002"/>
      </w:tblGrid>
      <w:tr>
        <w:tblPrEx>
          <w:tblCellMar>
            <w:top w:w="0" w:type="dxa"/>
            <w:left w:w="0" w:type="dxa"/>
            <w:bottom w:w="0" w:type="dxa"/>
            <w:right w:w="0" w:type="dxa"/>
          </w:tblCellMar>
        </w:tblPrEx>
        <w:trPr>
          <w:trHeight w:val="1017" w:hRule="exact"/>
          <w:jc w:val="center"/>
        </w:trPr>
        <w:tc>
          <w:tcPr>
            <w:tcW w:w="10373" w:type="dxa"/>
            <w:gridSpan w:val="13"/>
            <w:tcBorders>
              <w:top w:val="nil"/>
              <w:left w:val="nil"/>
              <w:bottom w:val="nil"/>
              <w:right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b/>
                <w:color w:val="auto"/>
                <w:spacing w:val="-2"/>
                <w:sz w:val="42"/>
                <w:highlight w:val="none"/>
              </w:rPr>
            </w:pPr>
            <w:r>
              <w:rPr>
                <w:rFonts w:hint="eastAsia" w:ascii="宋体" w:hAnsi="宋体" w:cs="宋体"/>
                <w:b/>
                <w:color w:val="auto"/>
                <w:spacing w:val="-2"/>
                <w:sz w:val="42"/>
                <w:highlight w:val="none"/>
                <w:lang w:eastAsia="zh-CN"/>
              </w:rPr>
              <w:t>首轮</w:t>
            </w:r>
            <w:r>
              <w:rPr>
                <w:rFonts w:hint="eastAsia" w:ascii="宋体" w:hAnsi="宋体" w:cs="宋体"/>
                <w:b/>
                <w:color w:val="auto"/>
                <w:spacing w:val="-2"/>
                <w:sz w:val="42"/>
                <w:highlight w:val="none"/>
                <w:lang w:val="en-US" w:eastAsia="zh-CN"/>
              </w:rPr>
              <w:t>磋商</w:t>
            </w:r>
            <w:r>
              <w:rPr>
                <w:rFonts w:hint="eastAsia" w:ascii="宋体" w:hAnsi="宋体" w:cs="宋体"/>
                <w:b/>
                <w:color w:val="auto"/>
                <w:spacing w:val="-2"/>
                <w:sz w:val="42"/>
                <w:highlight w:val="none"/>
                <w:lang w:eastAsia="zh-CN"/>
              </w:rPr>
              <w:t>总价</w:t>
            </w:r>
          </w:p>
        </w:tc>
      </w:tr>
      <w:tr>
        <w:tblPrEx>
          <w:tblCellMar>
            <w:top w:w="0" w:type="dxa"/>
            <w:left w:w="0" w:type="dxa"/>
            <w:bottom w:w="0" w:type="dxa"/>
            <w:right w:w="0" w:type="dxa"/>
          </w:tblCellMar>
        </w:tblPrEx>
        <w:trPr>
          <w:trHeight w:val="574" w:hRule="exact"/>
          <w:jc w:val="center"/>
        </w:trPr>
        <w:tc>
          <w:tcPr>
            <w:tcW w:w="10373" w:type="dxa"/>
            <w:gridSpan w:val="13"/>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1002" w:hRule="exact"/>
          <w:jc w:val="center"/>
        </w:trPr>
        <w:tc>
          <w:tcPr>
            <w:tcW w:w="903"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690" w:type="dxa"/>
            <w:tcBorders>
              <w:top w:val="nil"/>
              <w:left w:val="nil"/>
              <w:bottom w:val="nil"/>
              <w:right w:val="nil"/>
            </w:tcBorders>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4"/>
                <w:highlight w:val="none"/>
              </w:rPr>
            </w:pPr>
            <w:r>
              <w:rPr>
                <w:rFonts w:hint="eastAsia" w:ascii="宋体" w:hAnsi="宋体" w:cs="宋体"/>
                <w:color w:val="auto"/>
                <w:spacing w:val="-2"/>
                <w:sz w:val="24"/>
                <w:highlight w:val="none"/>
                <w:lang w:val="en-US" w:eastAsia="zh-CN"/>
              </w:rPr>
              <w:t>采  购</w:t>
            </w:r>
            <w:r>
              <w:rPr>
                <w:rFonts w:hint="default" w:ascii="宋体" w:hAnsi="宋体" w:eastAsia="宋体" w:cs="宋体"/>
                <w:color w:val="auto"/>
                <w:spacing w:val="-2"/>
                <w:sz w:val="24"/>
                <w:highlight w:val="none"/>
              </w:rPr>
              <w:t xml:space="preserve">  人：</w:t>
            </w:r>
          </w:p>
        </w:tc>
        <w:tc>
          <w:tcPr>
            <w:tcW w:w="115"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6663" w:type="dxa"/>
            <w:gridSpan w:val="9"/>
            <w:tcBorders>
              <w:top w:val="nil"/>
              <w:left w:val="nil"/>
              <w:bottom w:val="nil"/>
              <w:right w:val="nil"/>
            </w:tcBorders>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4"/>
                <w:highlight w:val="none"/>
              </w:rPr>
            </w:pPr>
          </w:p>
        </w:tc>
        <w:tc>
          <w:tcPr>
            <w:tcW w:w="1002"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230" w:hRule="exact"/>
          <w:jc w:val="center"/>
        </w:trPr>
        <w:tc>
          <w:tcPr>
            <w:tcW w:w="2708" w:type="dxa"/>
            <w:gridSpan w:val="3"/>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6663" w:type="dxa"/>
            <w:gridSpan w:val="9"/>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002"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1017" w:hRule="exact"/>
          <w:jc w:val="center"/>
        </w:trPr>
        <w:tc>
          <w:tcPr>
            <w:tcW w:w="903"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690" w:type="dxa"/>
            <w:tcBorders>
              <w:top w:val="nil"/>
              <w:left w:val="nil"/>
              <w:bottom w:val="nil"/>
              <w:right w:val="nil"/>
            </w:tcBorders>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4"/>
                <w:highlight w:val="none"/>
              </w:rPr>
            </w:pPr>
            <w:r>
              <w:rPr>
                <w:rFonts w:hint="default" w:ascii="宋体" w:hAnsi="宋体" w:eastAsia="宋体" w:cs="宋体"/>
                <w:color w:val="auto"/>
                <w:spacing w:val="-2"/>
                <w:sz w:val="24"/>
                <w:highlight w:val="none"/>
              </w:rPr>
              <w:t>工 程 名 称：</w:t>
            </w:r>
          </w:p>
        </w:tc>
        <w:tc>
          <w:tcPr>
            <w:tcW w:w="115"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6663" w:type="dxa"/>
            <w:gridSpan w:val="9"/>
            <w:tcBorders>
              <w:top w:val="nil"/>
              <w:left w:val="nil"/>
              <w:bottom w:val="nil"/>
              <w:right w:val="nil"/>
            </w:tcBorders>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4"/>
                <w:highlight w:val="none"/>
              </w:rPr>
            </w:pPr>
          </w:p>
        </w:tc>
        <w:tc>
          <w:tcPr>
            <w:tcW w:w="1002"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229" w:hRule="exact"/>
          <w:jc w:val="center"/>
        </w:trPr>
        <w:tc>
          <w:tcPr>
            <w:tcW w:w="2708" w:type="dxa"/>
            <w:gridSpan w:val="3"/>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6663" w:type="dxa"/>
            <w:gridSpan w:val="9"/>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002"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1044" w:hRule="exact"/>
          <w:jc w:val="center"/>
        </w:trPr>
        <w:tc>
          <w:tcPr>
            <w:tcW w:w="903"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2149" w:type="dxa"/>
            <w:gridSpan w:val="4"/>
            <w:tcBorders>
              <w:top w:val="nil"/>
              <w:left w:val="nil"/>
              <w:bottom w:val="nil"/>
              <w:right w:val="nil"/>
            </w:tcBorders>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4"/>
                <w:highlight w:val="none"/>
              </w:rPr>
            </w:pPr>
            <w:r>
              <w:rPr>
                <w:rFonts w:hint="eastAsia" w:ascii="宋体" w:hAnsi="宋体" w:cs="宋体"/>
                <w:color w:val="auto"/>
                <w:spacing w:val="-2"/>
                <w:sz w:val="24"/>
                <w:highlight w:val="none"/>
                <w:lang w:eastAsia="zh-CN"/>
              </w:rPr>
              <w:t>首轮磋商总价</w:t>
            </w:r>
            <w:r>
              <w:rPr>
                <w:rFonts w:hint="default" w:ascii="宋体" w:hAnsi="宋体" w:eastAsia="宋体" w:cs="宋体"/>
                <w:color w:val="auto"/>
                <w:spacing w:val="-2"/>
                <w:sz w:val="24"/>
                <w:highlight w:val="none"/>
              </w:rPr>
              <w:t>（小写）：</w:t>
            </w:r>
          </w:p>
        </w:tc>
        <w:tc>
          <w:tcPr>
            <w:tcW w:w="100"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6219" w:type="dxa"/>
            <w:gridSpan w:val="6"/>
            <w:tcBorders>
              <w:top w:val="nil"/>
              <w:left w:val="nil"/>
              <w:bottom w:val="nil"/>
              <w:right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4"/>
                <w:highlight w:val="none"/>
              </w:rPr>
            </w:pPr>
          </w:p>
        </w:tc>
        <w:tc>
          <w:tcPr>
            <w:tcW w:w="1002"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115" w:hRule="exact"/>
          <w:jc w:val="center"/>
        </w:trPr>
        <w:tc>
          <w:tcPr>
            <w:tcW w:w="3152" w:type="dxa"/>
            <w:gridSpan w:val="6"/>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6219" w:type="dxa"/>
            <w:gridSpan w:val="6"/>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002"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459" w:hRule="exact"/>
          <w:jc w:val="center"/>
        </w:trPr>
        <w:tc>
          <w:tcPr>
            <w:tcW w:w="903"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2149" w:type="dxa"/>
            <w:gridSpan w:val="4"/>
            <w:tcBorders>
              <w:top w:val="nil"/>
              <w:left w:val="nil"/>
              <w:bottom w:val="nil"/>
              <w:right w:val="nil"/>
            </w:tcBorders>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4"/>
                <w:highlight w:val="none"/>
              </w:rPr>
            </w:pPr>
            <w:r>
              <w:rPr>
                <w:rFonts w:hint="default" w:ascii="宋体" w:hAnsi="宋体" w:eastAsia="宋体" w:cs="宋体"/>
                <w:color w:val="auto"/>
                <w:spacing w:val="-2"/>
                <w:sz w:val="24"/>
                <w:highlight w:val="none"/>
              </w:rPr>
              <w:t xml:space="preserve">        （大写）：</w:t>
            </w:r>
          </w:p>
        </w:tc>
        <w:tc>
          <w:tcPr>
            <w:tcW w:w="100"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6219" w:type="dxa"/>
            <w:gridSpan w:val="6"/>
            <w:tcBorders>
              <w:top w:val="nil"/>
              <w:left w:val="nil"/>
              <w:bottom w:val="nil"/>
              <w:right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4"/>
                <w:highlight w:val="none"/>
              </w:rPr>
            </w:pPr>
          </w:p>
        </w:tc>
        <w:tc>
          <w:tcPr>
            <w:tcW w:w="1002"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214" w:hRule="exact"/>
          <w:jc w:val="center"/>
        </w:trPr>
        <w:tc>
          <w:tcPr>
            <w:tcW w:w="3152" w:type="dxa"/>
            <w:gridSpan w:val="6"/>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6219" w:type="dxa"/>
            <w:gridSpan w:val="6"/>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002"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1018" w:hRule="exact"/>
          <w:jc w:val="center"/>
        </w:trPr>
        <w:tc>
          <w:tcPr>
            <w:tcW w:w="903"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690" w:type="dxa"/>
            <w:tcBorders>
              <w:top w:val="nil"/>
              <w:left w:val="nil"/>
              <w:bottom w:val="nil"/>
              <w:right w:val="nil"/>
            </w:tcBorders>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4"/>
                <w:highlight w:val="none"/>
              </w:rPr>
            </w:pPr>
            <w:r>
              <w:rPr>
                <w:rFonts w:hint="eastAsia" w:ascii="宋体" w:hAnsi="宋体" w:cs="宋体"/>
                <w:color w:val="auto"/>
                <w:spacing w:val="-2"/>
                <w:sz w:val="24"/>
                <w:highlight w:val="none"/>
                <w:lang w:val="en-US" w:eastAsia="zh-CN"/>
              </w:rPr>
              <w:t>供应商</w:t>
            </w:r>
            <w:r>
              <w:rPr>
                <w:rFonts w:hint="default" w:ascii="宋体" w:hAnsi="宋体" w:eastAsia="宋体" w:cs="宋体"/>
                <w:color w:val="auto"/>
                <w:spacing w:val="-2"/>
                <w:sz w:val="24"/>
                <w:highlight w:val="none"/>
              </w:rPr>
              <w:t>：</w:t>
            </w:r>
          </w:p>
        </w:tc>
        <w:tc>
          <w:tcPr>
            <w:tcW w:w="115"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6663" w:type="dxa"/>
            <w:gridSpan w:val="9"/>
            <w:tcBorders>
              <w:top w:val="nil"/>
              <w:left w:val="nil"/>
              <w:bottom w:val="nil"/>
              <w:right w:val="nil"/>
            </w:tcBorders>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4"/>
                <w:highlight w:val="none"/>
              </w:rPr>
            </w:pPr>
          </w:p>
        </w:tc>
        <w:tc>
          <w:tcPr>
            <w:tcW w:w="1002"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458" w:hRule="exact"/>
          <w:jc w:val="center"/>
        </w:trPr>
        <w:tc>
          <w:tcPr>
            <w:tcW w:w="2708" w:type="dxa"/>
            <w:gridSpan w:val="3"/>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418" w:type="dxa"/>
            <w:gridSpan w:val="5"/>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3537" w:type="dxa"/>
            <w:gridSpan w:val="2"/>
            <w:tcBorders>
              <w:top w:val="nil"/>
              <w:left w:val="nil"/>
              <w:bottom w:val="nil"/>
              <w:right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0"/>
                <w:highlight w:val="none"/>
              </w:rPr>
            </w:pPr>
            <w:r>
              <w:rPr>
                <w:rFonts w:hint="default" w:ascii="宋体" w:hAnsi="宋体" w:eastAsia="宋体" w:cs="宋体"/>
                <w:color w:val="auto"/>
                <w:spacing w:val="-2"/>
                <w:sz w:val="20"/>
                <w:highlight w:val="none"/>
              </w:rPr>
              <w:t>（单位盖章）</w:t>
            </w:r>
          </w:p>
        </w:tc>
        <w:tc>
          <w:tcPr>
            <w:tcW w:w="1708" w:type="dxa"/>
            <w:gridSpan w:val="2"/>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002"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674" w:hRule="exact"/>
          <w:jc w:val="center"/>
        </w:trPr>
        <w:tc>
          <w:tcPr>
            <w:tcW w:w="10373" w:type="dxa"/>
            <w:gridSpan w:val="13"/>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1132" w:hRule="exact"/>
          <w:jc w:val="center"/>
        </w:trPr>
        <w:tc>
          <w:tcPr>
            <w:tcW w:w="903"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805" w:type="dxa"/>
            <w:gridSpan w:val="2"/>
            <w:tcBorders>
              <w:top w:val="nil"/>
              <w:left w:val="nil"/>
              <w:bottom w:val="nil"/>
              <w:right w:val="nil"/>
            </w:tcBorders>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4"/>
                <w:highlight w:val="none"/>
              </w:rPr>
            </w:pPr>
            <w:r>
              <w:rPr>
                <w:rFonts w:hint="default" w:ascii="宋体" w:hAnsi="宋体" w:eastAsia="宋体" w:cs="宋体"/>
                <w:color w:val="auto"/>
                <w:spacing w:val="-2"/>
                <w:sz w:val="24"/>
                <w:highlight w:val="none"/>
              </w:rPr>
              <w:t>法定代表人</w:t>
            </w:r>
          </w:p>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4"/>
                <w:highlight w:val="none"/>
              </w:rPr>
            </w:pPr>
            <w:r>
              <w:rPr>
                <w:rFonts w:hint="default" w:ascii="宋体" w:hAnsi="宋体" w:eastAsia="宋体" w:cs="宋体"/>
                <w:color w:val="auto"/>
                <w:spacing w:val="-2"/>
                <w:sz w:val="24"/>
                <w:highlight w:val="none"/>
              </w:rPr>
              <w:t>或其</w:t>
            </w:r>
            <w:r>
              <w:rPr>
                <w:rFonts w:hint="eastAsia" w:ascii="宋体" w:hAnsi="宋体" w:eastAsia="宋体" w:cs="宋体"/>
                <w:color w:val="auto"/>
                <w:spacing w:val="-2"/>
                <w:sz w:val="24"/>
                <w:highlight w:val="none"/>
                <w:lang w:val="en-US" w:eastAsia="zh-CN"/>
              </w:rPr>
              <w:t>委托代理</w:t>
            </w:r>
            <w:r>
              <w:rPr>
                <w:rFonts w:hint="default" w:ascii="宋体" w:hAnsi="宋体" w:eastAsia="宋体" w:cs="宋体"/>
                <w:color w:val="auto"/>
                <w:spacing w:val="-2"/>
                <w:sz w:val="24"/>
                <w:highlight w:val="none"/>
              </w:rPr>
              <w:t>人：</w:t>
            </w:r>
          </w:p>
        </w:tc>
        <w:tc>
          <w:tcPr>
            <w:tcW w:w="115"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6433" w:type="dxa"/>
            <w:gridSpan w:val="7"/>
            <w:tcBorders>
              <w:top w:val="nil"/>
              <w:left w:val="nil"/>
              <w:bottom w:val="nil"/>
              <w:right w:val="nil"/>
            </w:tcBorders>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4"/>
                <w:highlight w:val="none"/>
              </w:rPr>
            </w:pPr>
          </w:p>
        </w:tc>
        <w:tc>
          <w:tcPr>
            <w:tcW w:w="1117" w:type="dxa"/>
            <w:gridSpan w:val="2"/>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444" w:hRule="exact"/>
          <w:jc w:val="center"/>
        </w:trPr>
        <w:tc>
          <w:tcPr>
            <w:tcW w:w="2823" w:type="dxa"/>
            <w:gridSpan w:val="4"/>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303" w:type="dxa"/>
            <w:gridSpan w:val="4"/>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3537" w:type="dxa"/>
            <w:gridSpan w:val="2"/>
            <w:tcBorders>
              <w:top w:val="nil"/>
              <w:left w:val="nil"/>
              <w:bottom w:val="nil"/>
              <w:right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0"/>
                <w:highlight w:val="none"/>
              </w:rPr>
            </w:pPr>
            <w:r>
              <w:rPr>
                <w:rFonts w:hint="default" w:ascii="宋体" w:hAnsi="宋体" w:eastAsia="宋体" w:cs="宋体"/>
                <w:color w:val="auto"/>
                <w:spacing w:val="-2"/>
                <w:sz w:val="20"/>
                <w:highlight w:val="none"/>
              </w:rPr>
              <w:t>（签字或盖章）</w:t>
            </w:r>
          </w:p>
        </w:tc>
        <w:tc>
          <w:tcPr>
            <w:tcW w:w="1593"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117" w:type="dxa"/>
            <w:gridSpan w:val="2"/>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573" w:hRule="exact"/>
          <w:jc w:val="center"/>
        </w:trPr>
        <w:tc>
          <w:tcPr>
            <w:tcW w:w="10373" w:type="dxa"/>
            <w:gridSpan w:val="13"/>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673" w:hRule="exact"/>
          <w:jc w:val="center"/>
        </w:trPr>
        <w:tc>
          <w:tcPr>
            <w:tcW w:w="903"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805" w:type="dxa"/>
            <w:gridSpan w:val="2"/>
            <w:tcBorders>
              <w:top w:val="nil"/>
              <w:left w:val="nil"/>
              <w:bottom w:val="nil"/>
              <w:right w:val="nil"/>
            </w:tcBorders>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4"/>
                <w:highlight w:val="none"/>
              </w:rPr>
            </w:pPr>
            <w:r>
              <w:rPr>
                <w:rFonts w:hint="default" w:ascii="宋体" w:hAnsi="宋体" w:eastAsia="宋体" w:cs="宋体"/>
                <w:color w:val="auto"/>
                <w:spacing w:val="-2"/>
                <w:sz w:val="24"/>
                <w:highlight w:val="none"/>
              </w:rPr>
              <w:t>编  制  人：</w:t>
            </w:r>
          </w:p>
        </w:tc>
        <w:tc>
          <w:tcPr>
            <w:tcW w:w="6548" w:type="dxa"/>
            <w:gridSpan w:val="8"/>
            <w:tcBorders>
              <w:top w:val="nil"/>
              <w:left w:val="nil"/>
              <w:bottom w:val="nil"/>
              <w:right w:val="nil"/>
            </w:tcBorders>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4"/>
                <w:highlight w:val="none"/>
              </w:rPr>
            </w:pPr>
          </w:p>
        </w:tc>
        <w:tc>
          <w:tcPr>
            <w:tcW w:w="1117" w:type="dxa"/>
            <w:gridSpan w:val="2"/>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444" w:hRule="exact"/>
          <w:jc w:val="center"/>
        </w:trPr>
        <w:tc>
          <w:tcPr>
            <w:tcW w:w="2708" w:type="dxa"/>
            <w:gridSpan w:val="3"/>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418" w:type="dxa"/>
            <w:gridSpan w:val="5"/>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3537" w:type="dxa"/>
            <w:gridSpan w:val="2"/>
            <w:tcBorders>
              <w:top w:val="nil"/>
              <w:left w:val="nil"/>
              <w:bottom w:val="nil"/>
              <w:right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0"/>
                <w:highlight w:val="none"/>
              </w:rPr>
            </w:pPr>
            <w:r>
              <w:rPr>
                <w:rFonts w:hint="eastAsia" w:ascii="宋体" w:hAnsi="宋体" w:eastAsia="宋体" w:cs="宋体"/>
                <w:color w:val="auto"/>
                <w:spacing w:val="-2"/>
                <w:sz w:val="20"/>
                <w:highlight w:val="none"/>
                <w:lang w:val="en-US" w:eastAsia="zh-CN"/>
              </w:rPr>
              <w:t>（盖造价人员执业专用章或电子执业章）</w:t>
            </w:r>
          </w:p>
        </w:tc>
        <w:tc>
          <w:tcPr>
            <w:tcW w:w="1593" w:type="dxa"/>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117" w:type="dxa"/>
            <w:gridSpan w:val="2"/>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574" w:hRule="exact"/>
          <w:jc w:val="center"/>
        </w:trPr>
        <w:tc>
          <w:tcPr>
            <w:tcW w:w="10373" w:type="dxa"/>
            <w:gridSpan w:val="13"/>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673" w:hRule="exact"/>
          <w:jc w:val="center"/>
        </w:trPr>
        <w:tc>
          <w:tcPr>
            <w:tcW w:w="3052" w:type="dxa"/>
            <w:gridSpan w:val="5"/>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003" w:type="dxa"/>
            <w:gridSpan w:val="2"/>
            <w:tcBorders>
              <w:top w:val="nil"/>
              <w:left w:val="nil"/>
              <w:bottom w:val="nil"/>
              <w:right w:val="nil"/>
            </w:tcBorders>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4"/>
                <w:highlight w:val="none"/>
              </w:rPr>
            </w:pPr>
            <w:r>
              <w:rPr>
                <w:rFonts w:hint="default" w:ascii="宋体" w:hAnsi="宋体" w:eastAsia="宋体" w:cs="宋体"/>
                <w:color w:val="auto"/>
                <w:spacing w:val="-2"/>
                <w:sz w:val="24"/>
                <w:highlight w:val="none"/>
              </w:rPr>
              <w:t>时 间：</w:t>
            </w:r>
          </w:p>
        </w:tc>
        <w:tc>
          <w:tcPr>
            <w:tcW w:w="3052" w:type="dxa"/>
            <w:gridSpan w:val="2"/>
            <w:tcBorders>
              <w:top w:val="nil"/>
              <w:left w:val="nil"/>
              <w:bottom w:val="nil"/>
              <w:right w:val="nil"/>
            </w:tcBorders>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4"/>
                <w:highlight w:val="none"/>
              </w:rPr>
            </w:pPr>
            <w:r>
              <w:rPr>
                <w:rFonts w:hint="default" w:ascii="宋体" w:hAnsi="宋体" w:eastAsia="宋体" w:cs="宋体"/>
                <w:color w:val="auto"/>
                <w:spacing w:val="-2"/>
                <w:sz w:val="24"/>
                <w:highlight w:val="none"/>
              </w:rPr>
              <w:t>年   月   日</w:t>
            </w:r>
          </w:p>
        </w:tc>
        <w:tc>
          <w:tcPr>
            <w:tcW w:w="3266" w:type="dxa"/>
            <w:gridSpan w:val="4"/>
            <w:tcBorders>
              <w:top w:val="nil"/>
              <w:left w:val="nil"/>
              <w:bottom w:val="nil"/>
              <w:right w:val="nil"/>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bl>
    <w:p>
      <w:pPr>
        <w:pageBreakBefore w:val="0"/>
        <w:kinsoku/>
        <w:wordWrap/>
        <w:overflowPunct/>
        <w:topLinePunct w:val="0"/>
        <w:bidi w:val="0"/>
        <w:adjustRightInd w:val="0"/>
        <w:snapToGrid w:val="0"/>
        <w:spacing w:beforeAutospacing="0" w:afterAutospacing="0" w:line="240" w:lineRule="auto"/>
        <w:jc w:val="both"/>
        <w:rPr>
          <w:rFonts w:hint="eastAsia" w:ascii="宋体" w:hAnsi="宋体" w:eastAsia="宋体" w:cs="宋体"/>
          <w:color w:val="auto"/>
          <w:sz w:val="30"/>
          <w:highlight w:val="none"/>
        </w:rPr>
      </w:pPr>
    </w:p>
    <w:p>
      <w:pPr>
        <w:pageBreakBefore w:val="0"/>
        <w:kinsoku/>
        <w:wordWrap/>
        <w:overflowPunct/>
        <w:topLinePunct w:val="0"/>
        <w:bidi w:val="0"/>
        <w:spacing w:line="240" w:lineRule="auto"/>
        <w:rPr>
          <w:color w:val="auto"/>
          <w:highlight w:val="none"/>
        </w:rPr>
      </w:pPr>
    </w:p>
    <w:p>
      <w:pPr>
        <w:pageBreakBefore w:val="0"/>
        <w:kinsoku/>
        <w:wordWrap/>
        <w:overflowPunct/>
        <w:topLinePunct w:val="0"/>
        <w:bidi w:val="0"/>
        <w:spacing w:line="240" w:lineRule="auto"/>
        <w:rPr>
          <w:color w:val="auto"/>
          <w:highlight w:val="none"/>
        </w:rPr>
      </w:pPr>
    </w:p>
    <w:p>
      <w:pPr>
        <w:pageBreakBefore w:val="0"/>
        <w:kinsoku/>
        <w:wordWrap/>
        <w:overflowPunct/>
        <w:topLinePunct w:val="0"/>
        <w:bidi w:val="0"/>
        <w:spacing w:line="240" w:lineRule="auto"/>
        <w:rPr>
          <w:color w:val="auto"/>
          <w:highlight w:val="none"/>
        </w:rPr>
      </w:pPr>
    </w:p>
    <w:p>
      <w:pPr>
        <w:pageBreakBefore w:val="0"/>
        <w:kinsoku/>
        <w:wordWrap/>
        <w:overflowPunct/>
        <w:topLinePunct w:val="0"/>
        <w:bidi w:val="0"/>
        <w:adjustRightInd w:val="0"/>
        <w:snapToGrid w:val="0"/>
        <w:spacing w:beforeAutospacing="0" w:afterAutospacing="0" w:line="240" w:lineRule="auto"/>
        <w:jc w:val="center"/>
        <w:rPr>
          <w:rFonts w:hint="eastAsia" w:ascii="宋体" w:hAnsi="宋体" w:eastAsia="宋体" w:cs="宋体"/>
          <w:color w:val="auto"/>
          <w:sz w:val="32"/>
          <w:szCs w:val="32"/>
          <w:highlight w:val="none"/>
        </w:rPr>
      </w:pPr>
    </w:p>
    <w:tbl>
      <w:tblPr>
        <w:tblStyle w:val="63"/>
        <w:tblW w:w="0" w:type="auto"/>
        <w:tblInd w:w="0" w:type="dxa"/>
        <w:tblLayout w:type="fixed"/>
        <w:tblCellMar>
          <w:top w:w="0" w:type="dxa"/>
          <w:left w:w="0" w:type="dxa"/>
          <w:bottom w:w="0" w:type="dxa"/>
          <w:right w:w="0" w:type="dxa"/>
        </w:tblCellMar>
      </w:tblPr>
      <w:tblGrid>
        <w:gridCol w:w="6591"/>
        <w:gridCol w:w="2329"/>
      </w:tblGrid>
      <w:tr>
        <w:tblPrEx>
          <w:tblCellMar>
            <w:top w:w="0" w:type="dxa"/>
            <w:left w:w="0" w:type="dxa"/>
            <w:bottom w:w="0" w:type="dxa"/>
            <w:right w:w="0" w:type="dxa"/>
          </w:tblCellMar>
        </w:tblPrEx>
        <w:trPr>
          <w:trHeight w:val="1594" w:hRule="exact"/>
        </w:trPr>
        <w:tc>
          <w:tcPr>
            <w:tcW w:w="6591" w:type="dxa"/>
            <w:tcBorders>
              <w:bottom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color w:val="auto"/>
                <w:spacing w:val="-2"/>
                <w:sz w:val="42"/>
                <w:highlight w:val="none"/>
                <w:lang w:eastAsia="zh-CN"/>
              </w:rPr>
            </w:pPr>
            <w:r>
              <w:rPr>
                <w:rFonts w:hint="eastAsia" w:ascii="宋体" w:hAnsi="宋体" w:eastAsia="宋体" w:cs="宋体"/>
                <w:b/>
                <w:color w:val="auto"/>
                <w:spacing w:val="-2"/>
                <w:sz w:val="42"/>
                <w:highlight w:val="none"/>
                <w:lang w:val="en-US" w:eastAsia="zh-CN"/>
              </w:rPr>
              <w:t xml:space="preserve">            </w:t>
            </w:r>
            <w:r>
              <w:rPr>
                <w:rFonts w:hint="eastAsia" w:ascii="宋体" w:hAnsi="宋体" w:eastAsia="宋体" w:cs="宋体"/>
                <w:b/>
                <w:color w:val="auto"/>
                <w:spacing w:val="-2"/>
                <w:sz w:val="42"/>
                <w:highlight w:val="none"/>
                <w:lang w:eastAsia="zh-CN"/>
              </w:rPr>
              <w:t>总说明</w:t>
            </w:r>
          </w:p>
          <w:p>
            <w:pPr>
              <w:keepNext w:val="0"/>
              <w:keepLines w:val="0"/>
              <w:pageBreakBefore w:val="0"/>
              <w:suppressLineNumbers w:val="0"/>
              <w:kinsoku/>
              <w:wordWrap/>
              <w:overflowPunct/>
              <w:topLinePunct w:val="0"/>
              <w:bidi w:val="0"/>
              <w:spacing w:before="0" w:beforeAutospacing="0" w:after="0" w:afterAutospacing="0" w:line="240" w:lineRule="auto"/>
              <w:ind w:left="0" w:right="0"/>
              <w:jc w:val="both"/>
              <w:rPr>
                <w:rFonts w:hint="default" w:ascii="黑体" w:hAnsi="黑体" w:eastAsia="黑体" w:cs="黑体"/>
                <w:color w:val="auto"/>
                <w:spacing w:val="-2"/>
                <w:sz w:val="21"/>
                <w:highlight w:val="none"/>
              </w:rPr>
            </w:pPr>
            <w:r>
              <w:rPr>
                <w:rFonts w:hint="default" w:ascii="黑体" w:hAnsi="黑体" w:eastAsia="黑体" w:cs="黑体"/>
                <w:color w:val="auto"/>
                <w:spacing w:val="-2"/>
                <w:sz w:val="21"/>
                <w:highlight w:val="none"/>
              </w:rPr>
              <w:t>工程名称：</w:t>
            </w:r>
          </w:p>
        </w:tc>
        <w:tc>
          <w:tcPr>
            <w:tcW w:w="2329" w:type="dxa"/>
            <w:tcBorders>
              <w:bottom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黑体" w:hAnsi="黑体" w:eastAsia="黑体" w:cs="黑体"/>
                <w:color w:val="auto"/>
                <w:spacing w:val="-2"/>
                <w:sz w:val="21"/>
                <w:highlight w:val="none"/>
              </w:rPr>
            </w:pPr>
          </w:p>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黑体" w:hAnsi="黑体" w:eastAsia="黑体" w:cs="黑体"/>
                <w:color w:val="auto"/>
                <w:spacing w:val="-2"/>
                <w:sz w:val="21"/>
                <w:highlight w:val="none"/>
              </w:rPr>
            </w:pPr>
          </w:p>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黑体" w:hAnsi="黑体" w:eastAsia="黑体" w:cs="黑体"/>
                <w:color w:val="auto"/>
                <w:spacing w:val="-2"/>
                <w:sz w:val="21"/>
                <w:highlight w:val="none"/>
              </w:rPr>
            </w:pPr>
            <w:r>
              <w:rPr>
                <w:rFonts w:hint="default" w:ascii="黑体" w:hAnsi="黑体" w:eastAsia="黑体" w:cs="黑体"/>
                <w:color w:val="auto"/>
                <w:spacing w:val="-2"/>
                <w:sz w:val="21"/>
                <w:highlight w:val="none"/>
              </w:rPr>
              <w:t>第   页 共   页</w:t>
            </w:r>
          </w:p>
        </w:tc>
      </w:tr>
      <w:tr>
        <w:trPr>
          <w:trHeight w:val="374" w:hRule="exact"/>
        </w:trPr>
        <w:tc>
          <w:tcPr>
            <w:tcW w:w="8920" w:type="dxa"/>
            <w:gridSpan w:val="2"/>
            <w:tcBorders>
              <w:top w:val="single" w:color="000000" w:sz="10" w:space="0"/>
              <w:left w:val="single" w:color="000000" w:sz="10" w:space="0"/>
              <w:right w:val="single" w:color="000000" w:sz="10"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1209" w:hRule="exact"/>
        </w:trPr>
        <w:tc>
          <w:tcPr>
            <w:tcW w:w="8920" w:type="dxa"/>
            <w:gridSpan w:val="2"/>
            <w:tcBorders>
              <w:left w:val="single" w:color="000000" w:sz="10" w:space="0"/>
              <w:right w:val="single" w:color="000000" w:sz="10"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1208" w:hRule="exact"/>
        </w:trPr>
        <w:tc>
          <w:tcPr>
            <w:tcW w:w="8920" w:type="dxa"/>
            <w:gridSpan w:val="2"/>
            <w:tcBorders>
              <w:left w:val="single" w:color="000000" w:sz="10" w:space="0"/>
              <w:right w:val="single" w:color="000000" w:sz="10"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1209" w:hRule="exact"/>
        </w:trPr>
        <w:tc>
          <w:tcPr>
            <w:tcW w:w="8920" w:type="dxa"/>
            <w:gridSpan w:val="2"/>
            <w:tcBorders>
              <w:left w:val="single" w:color="000000" w:sz="10" w:space="0"/>
              <w:right w:val="single" w:color="000000" w:sz="10"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rPr>
          <w:trHeight w:val="1209" w:hRule="exact"/>
        </w:trPr>
        <w:tc>
          <w:tcPr>
            <w:tcW w:w="8920" w:type="dxa"/>
            <w:gridSpan w:val="2"/>
            <w:tcBorders>
              <w:left w:val="single" w:color="000000" w:sz="10" w:space="0"/>
              <w:right w:val="single" w:color="000000" w:sz="10"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1209" w:hRule="exact"/>
        </w:trPr>
        <w:tc>
          <w:tcPr>
            <w:tcW w:w="8920" w:type="dxa"/>
            <w:gridSpan w:val="2"/>
            <w:tcBorders>
              <w:left w:val="single" w:color="000000" w:sz="10" w:space="0"/>
              <w:right w:val="single" w:color="000000" w:sz="10"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rPr>
          <w:trHeight w:val="1209" w:hRule="exact"/>
        </w:trPr>
        <w:tc>
          <w:tcPr>
            <w:tcW w:w="8920" w:type="dxa"/>
            <w:gridSpan w:val="2"/>
            <w:tcBorders>
              <w:left w:val="single" w:color="000000" w:sz="10" w:space="0"/>
              <w:right w:val="single" w:color="000000" w:sz="10"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1208" w:hRule="exact"/>
        </w:trPr>
        <w:tc>
          <w:tcPr>
            <w:tcW w:w="8920" w:type="dxa"/>
            <w:gridSpan w:val="2"/>
            <w:tcBorders>
              <w:left w:val="single" w:color="000000" w:sz="10" w:space="0"/>
              <w:right w:val="single" w:color="000000" w:sz="10"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blPrEx>
          <w:tblCellMar>
            <w:top w:w="0" w:type="dxa"/>
            <w:left w:w="0" w:type="dxa"/>
            <w:bottom w:w="0" w:type="dxa"/>
            <w:right w:w="0" w:type="dxa"/>
          </w:tblCellMar>
        </w:tblPrEx>
        <w:trPr>
          <w:trHeight w:val="1209" w:hRule="exact"/>
        </w:trPr>
        <w:tc>
          <w:tcPr>
            <w:tcW w:w="8920" w:type="dxa"/>
            <w:gridSpan w:val="2"/>
            <w:tcBorders>
              <w:left w:val="single" w:color="000000" w:sz="10" w:space="0"/>
              <w:right w:val="single" w:color="000000" w:sz="10"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rPr>
          <w:trHeight w:val="821" w:hRule="exact"/>
        </w:trPr>
        <w:tc>
          <w:tcPr>
            <w:tcW w:w="8920" w:type="dxa"/>
            <w:gridSpan w:val="2"/>
            <w:tcBorders>
              <w:left w:val="single" w:color="000000" w:sz="10" w:space="0"/>
              <w:right w:val="single" w:color="000000" w:sz="10"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r>
        <w:trPr>
          <w:trHeight w:val="127" w:hRule="exact"/>
        </w:trPr>
        <w:tc>
          <w:tcPr>
            <w:tcW w:w="8920" w:type="dxa"/>
            <w:gridSpan w:val="2"/>
            <w:tcBorders>
              <w:left w:val="single" w:color="000000" w:sz="10" w:space="0"/>
              <w:bottom w:val="single" w:color="000000" w:sz="10" w:space="0"/>
              <w:right w:val="single" w:color="000000" w:sz="10"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r>
    </w:tbl>
    <w:p>
      <w:pPr>
        <w:pageBreakBefore w:val="0"/>
        <w:kinsoku/>
        <w:wordWrap/>
        <w:overflowPunct/>
        <w:topLinePunct w:val="0"/>
        <w:bidi w:val="0"/>
        <w:adjustRightInd w:val="0"/>
        <w:snapToGrid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adjustRightInd w:val="0"/>
        <w:snapToGrid w:val="0"/>
        <w:spacing w:beforeAutospacing="0" w:afterAutospacing="0" w:line="240" w:lineRule="auto"/>
        <w:jc w:val="both"/>
        <w:rPr>
          <w:rFonts w:hint="eastAsia" w:ascii="宋体" w:hAnsi="宋体" w:eastAsia="宋体" w:cs="宋体"/>
          <w:color w:val="auto"/>
          <w:sz w:val="32"/>
          <w:szCs w:val="32"/>
          <w:highlight w:val="none"/>
        </w:rPr>
      </w:pPr>
    </w:p>
    <w:tbl>
      <w:tblPr>
        <w:tblStyle w:val="63"/>
        <w:tblW w:w="0" w:type="auto"/>
        <w:tblInd w:w="0" w:type="dxa"/>
        <w:tblLayout w:type="fixed"/>
        <w:tblCellMar>
          <w:top w:w="0" w:type="dxa"/>
          <w:left w:w="0" w:type="dxa"/>
          <w:bottom w:w="0" w:type="dxa"/>
          <w:right w:w="0" w:type="dxa"/>
        </w:tblCellMar>
      </w:tblPr>
      <w:tblGrid>
        <w:gridCol w:w="874"/>
        <w:gridCol w:w="3023"/>
        <w:gridCol w:w="1860"/>
        <w:gridCol w:w="504"/>
        <w:gridCol w:w="982"/>
        <w:gridCol w:w="64"/>
        <w:gridCol w:w="1691"/>
        <w:gridCol w:w="30"/>
      </w:tblGrid>
      <w:tr>
        <w:tblPrEx>
          <w:tblCellMar>
            <w:top w:w="0" w:type="dxa"/>
            <w:left w:w="0" w:type="dxa"/>
            <w:bottom w:w="0" w:type="dxa"/>
            <w:right w:w="0" w:type="dxa"/>
          </w:tblCellMar>
        </w:tblPrEx>
        <w:trPr>
          <w:trHeight w:val="673" w:hRule="exact"/>
        </w:trPr>
        <w:tc>
          <w:tcPr>
            <w:tcW w:w="9028" w:type="dxa"/>
            <w:gridSpan w:val="8"/>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b/>
                <w:color w:val="auto"/>
                <w:spacing w:val="-2"/>
                <w:sz w:val="32"/>
                <w:highlight w:val="none"/>
              </w:rPr>
            </w:pPr>
            <w:r>
              <w:rPr>
                <w:rFonts w:hint="eastAsia" w:ascii="宋体" w:hAnsi="宋体" w:eastAsia="宋体" w:cs="宋体"/>
                <w:b/>
                <w:color w:val="auto"/>
                <w:spacing w:val="-2"/>
                <w:sz w:val="32"/>
                <w:highlight w:val="none"/>
                <w:lang w:eastAsia="zh-CN"/>
              </w:rPr>
              <w:t>（一）</w:t>
            </w:r>
            <w:r>
              <w:rPr>
                <w:rFonts w:hint="default" w:ascii="宋体" w:hAnsi="宋体" w:eastAsia="宋体" w:cs="宋体"/>
                <w:b/>
                <w:color w:val="auto"/>
                <w:spacing w:val="-2"/>
                <w:sz w:val="32"/>
                <w:highlight w:val="none"/>
              </w:rPr>
              <w:t xml:space="preserve"> 建设项目投标报价汇总表</w:t>
            </w:r>
          </w:p>
        </w:tc>
      </w:tr>
      <w:tr>
        <w:tblPrEx>
          <w:tblCellMar>
            <w:top w:w="0" w:type="dxa"/>
            <w:left w:w="0" w:type="dxa"/>
            <w:bottom w:w="0" w:type="dxa"/>
            <w:right w:w="0" w:type="dxa"/>
          </w:tblCellMar>
        </w:tblPrEx>
        <w:trPr>
          <w:trHeight w:val="499" w:hRule="exact"/>
        </w:trPr>
        <w:tc>
          <w:tcPr>
            <w:tcW w:w="6261" w:type="dxa"/>
            <w:gridSpan w:val="4"/>
            <w:tcBorders>
              <w:bottom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黑体" w:hAnsi="黑体" w:eastAsia="黑体" w:cs="黑体"/>
                <w:color w:val="auto"/>
                <w:spacing w:val="-2"/>
                <w:sz w:val="21"/>
                <w:highlight w:val="none"/>
              </w:rPr>
            </w:pPr>
            <w:r>
              <w:rPr>
                <w:rFonts w:hint="default" w:ascii="黑体" w:hAnsi="黑体" w:eastAsia="黑体" w:cs="黑体"/>
                <w:color w:val="auto"/>
                <w:spacing w:val="-2"/>
                <w:sz w:val="21"/>
                <w:highlight w:val="none"/>
              </w:rPr>
              <w:t>工程名称：</w:t>
            </w:r>
          </w:p>
        </w:tc>
        <w:tc>
          <w:tcPr>
            <w:tcW w:w="1046" w:type="dxa"/>
            <w:gridSpan w:val="2"/>
            <w:tcBorders>
              <w:bottom w:val="single" w:color="000000" w:sz="10"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721" w:type="dxa"/>
            <w:gridSpan w:val="2"/>
            <w:tcBorders>
              <w:bottom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黑体" w:hAnsi="黑体" w:eastAsia="黑体" w:cs="黑体"/>
                <w:color w:val="auto"/>
                <w:spacing w:val="-2"/>
                <w:sz w:val="21"/>
                <w:highlight w:val="none"/>
              </w:rPr>
            </w:pPr>
            <w:r>
              <w:rPr>
                <w:rFonts w:hint="default" w:ascii="黑体" w:hAnsi="黑体" w:eastAsia="黑体" w:cs="黑体"/>
                <w:color w:val="auto"/>
                <w:spacing w:val="-2"/>
                <w:sz w:val="21"/>
                <w:highlight w:val="none"/>
              </w:rPr>
              <w:t>第   页 共   页</w:t>
            </w:r>
          </w:p>
        </w:tc>
      </w:tr>
      <w:tr>
        <w:tblPrEx>
          <w:tblCellMar>
            <w:top w:w="0" w:type="dxa"/>
            <w:left w:w="0" w:type="dxa"/>
            <w:bottom w:w="0" w:type="dxa"/>
            <w:right w:w="0" w:type="dxa"/>
          </w:tblCellMar>
        </w:tblPrEx>
        <w:trPr>
          <w:trHeight w:val="385" w:hRule="exact"/>
        </w:trPr>
        <w:tc>
          <w:tcPr>
            <w:tcW w:w="874" w:type="dxa"/>
            <w:vMerge w:val="restart"/>
            <w:tcBorders>
              <w:top w:val="single" w:color="000000" w:sz="10" w:space="0"/>
              <w:left w:val="single" w:color="000000" w:sz="10" w:space="0"/>
              <w:bottom w:val="single" w:color="000000" w:sz="4" w:space="0"/>
              <w:right w:val="single" w:color="000000" w:sz="4" w:space="0"/>
            </w:tcBorders>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黑体" w:hAnsi="黑体" w:eastAsia="黑体" w:cs="黑体"/>
                <w:color w:val="auto"/>
                <w:spacing w:val="-2"/>
                <w:sz w:val="21"/>
                <w:highlight w:val="none"/>
              </w:rPr>
            </w:pPr>
            <w:r>
              <w:rPr>
                <w:rFonts w:hint="default" w:ascii="黑体" w:hAnsi="黑体" w:eastAsia="黑体" w:cs="黑体"/>
                <w:color w:val="auto"/>
                <w:spacing w:val="-2"/>
                <w:sz w:val="21"/>
                <w:highlight w:val="none"/>
              </w:rPr>
              <w:t>序号</w:t>
            </w:r>
          </w:p>
        </w:tc>
        <w:tc>
          <w:tcPr>
            <w:tcW w:w="3023" w:type="dxa"/>
            <w:vMerge w:val="restart"/>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黑体" w:hAnsi="黑体" w:eastAsia="黑体" w:cs="黑体"/>
                <w:color w:val="auto"/>
                <w:spacing w:val="-2"/>
                <w:sz w:val="21"/>
                <w:highlight w:val="none"/>
              </w:rPr>
            </w:pPr>
            <w:r>
              <w:rPr>
                <w:rFonts w:hint="default" w:ascii="黑体" w:hAnsi="黑体" w:eastAsia="黑体" w:cs="黑体"/>
                <w:color w:val="auto"/>
                <w:spacing w:val="-2"/>
                <w:sz w:val="21"/>
                <w:highlight w:val="none"/>
              </w:rPr>
              <w:t>单项工程名称</w:t>
            </w:r>
          </w:p>
        </w:tc>
        <w:tc>
          <w:tcPr>
            <w:tcW w:w="1860" w:type="dxa"/>
            <w:vMerge w:val="restart"/>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黑体" w:hAnsi="黑体" w:eastAsia="黑体" w:cs="黑体"/>
                <w:color w:val="auto"/>
                <w:spacing w:val="-2"/>
                <w:sz w:val="21"/>
                <w:highlight w:val="none"/>
              </w:rPr>
            </w:pPr>
            <w:r>
              <w:rPr>
                <w:rFonts w:hint="default" w:ascii="黑体" w:hAnsi="黑体" w:eastAsia="黑体" w:cs="黑体"/>
                <w:color w:val="auto"/>
                <w:spacing w:val="-2"/>
                <w:sz w:val="21"/>
                <w:highlight w:val="none"/>
              </w:rPr>
              <w:t>金额(元)</w:t>
            </w:r>
          </w:p>
        </w:tc>
        <w:tc>
          <w:tcPr>
            <w:tcW w:w="3271" w:type="dxa"/>
            <w:gridSpan w:val="5"/>
            <w:tcBorders>
              <w:top w:val="single" w:color="000000" w:sz="10" w:space="0"/>
              <w:left w:val="single" w:color="000000" w:sz="4" w:space="0"/>
              <w:bottom w:val="single" w:color="000000" w:sz="4" w:space="0"/>
              <w:right w:val="single" w:color="000000" w:sz="10" w:space="0"/>
            </w:tcBorders>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黑体" w:hAnsi="黑体" w:eastAsia="黑体" w:cs="黑体"/>
                <w:color w:val="auto"/>
                <w:spacing w:val="-2"/>
                <w:sz w:val="21"/>
                <w:highlight w:val="none"/>
              </w:rPr>
            </w:pPr>
            <w:r>
              <w:rPr>
                <w:rFonts w:hint="default" w:ascii="黑体" w:hAnsi="黑体" w:eastAsia="黑体" w:cs="黑体"/>
                <w:color w:val="auto"/>
                <w:spacing w:val="-2"/>
                <w:sz w:val="21"/>
                <w:highlight w:val="none"/>
              </w:rPr>
              <w:t>其中：（元）</w:t>
            </w:r>
          </w:p>
        </w:tc>
      </w:tr>
      <w:tr>
        <w:tblPrEx>
          <w:tblCellMar>
            <w:top w:w="0" w:type="dxa"/>
            <w:left w:w="0" w:type="dxa"/>
            <w:bottom w:w="0" w:type="dxa"/>
            <w:right w:w="0" w:type="dxa"/>
          </w:tblCellMar>
        </w:tblPrEx>
        <w:trPr>
          <w:trHeight w:val="489" w:hRule="exact"/>
        </w:trPr>
        <w:tc>
          <w:tcPr>
            <w:tcW w:w="874" w:type="dxa"/>
            <w:vMerge w:val="continue"/>
            <w:tcBorders>
              <w:top w:val="single" w:color="000000" w:sz="10" w:space="0"/>
              <w:left w:val="single" w:color="000000" w:sz="10" w:space="0"/>
              <w:bottom w:val="single" w:color="000000" w:sz="4" w:space="0"/>
              <w:right w:val="single" w:color="000000" w:sz="4" w:space="0"/>
            </w:tcBorders>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3023" w:type="dxa"/>
            <w:vMerge w:val="continue"/>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860" w:type="dxa"/>
            <w:vMerge w:val="continue"/>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color w:val="auto"/>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黑体" w:hAnsi="黑体" w:eastAsia="黑体" w:cs="黑体"/>
                <w:color w:val="auto"/>
                <w:spacing w:val="-2"/>
                <w:sz w:val="21"/>
                <w:highlight w:val="none"/>
              </w:rPr>
            </w:pPr>
            <w:r>
              <w:rPr>
                <w:rFonts w:hint="default" w:ascii="黑体" w:hAnsi="黑体" w:eastAsia="黑体" w:cs="黑体"/>
                <w:color w:val="auto"/>
                <w:spacing w:val="-2"/>
                <w:sz w:val="21"/>
                <w:highlight w:val="none"/>
              </w:rPr>
              <w:t>暂估价</w:t>
            </w:r>
          </w:p>
        </w:tc>
        <w:tc>
          <w:tcPr>
            <w:tcW w:w="1785" w:type="dxa"/>
            <w:gridSpan w:val="3"/>
            <w:tcBorders>
              <w:top w:val="single" w:color="000000" w:sz="4" w:space="0"/>
              <w:left w:val="single" w:color="000000" w:sz="4" w:space="0"/>
              <w:bottom w:val="single" w:color="000000" w:sz="4" w:space="0"/>
              <w:right w:val="single" w:color="000000" w:sz="10" w:space="0"/>
            </w:tcBorders>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黑体" w:hAnsi="黑体" w:eastAsia="黑体" w:cs="黑体"/>
                <w:color w:val="auto"/>
                <w:spacing w:val="-2"/>
                <w:sz w:val="21"/>
                <w:highlight w:val="none"/>
              </w:rPr>
            </w:pPr>
            <w:r>
              <w:rPr>
                <w:rFonts w:hint="default" w:ascii="黑体" w:hAnsi="黑体" w:eastAsia="黑体" w:cs="黑体"/>
                <w:color w:val="auto"/>
                <w:spacing w:val="-2"/>
                <w:sz w:val="21"/>
                <w:highlight w:val="none"/>
              </w:rPr>
              <w:t>不可竞争费</w:t>
            </w:r>
          </w:p>
        </w:tc>
      </w:tr>
      <w:tr>
        <w:tblPrEx>
          <w:tblCellMar>
            <w:top w:w="0" w:type="dxa"/>
            <w:left w:w="0" w:type="dxa"/>
            <w:bottom w:w="0" w:type="dxa"/>
            <w:right w:w="0" w:type="dxa"/>
          </w:tblCellMar>
        </w:tblPrEx>
        <w:trPr>
          <w:trHeight w:val="344"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r>
              <w:rPr>
                <w:rFonts w:hint="default" w:ascii="宋体" w:hAnsi="宋体" w:eastAsia="宋体" w:cs="宋体"/>
                <w:color w:val="auto"/>
                <w:spacing w:val="-2"/>
                <w:sz w:val="21"/>
                <w:highlight w:val="none"/>
              </w:rPr>
              <w:t xml:space="preserve"> </w:t>
            </w: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r>
              <w:rPr>
                <w:rFonts w:hint="default" w:ascii="宋体" w:hAnsi="宋体" w:eastAsia="宋体" w:cs="宋体"/>
                <w:color w:val="auto"/>
                <w:spacing w:val="-2"/>
                <w:sz w:val="21"/>
                <w:highlight w:val="none"/>
              </w:rPr>
              <w:t xml:space="preserve"> </w:t>
            </w:r>
          </w:p>
        </w:tc>
        <w:tc>
          <w:tcPr>
            <w:tcW w:w="1785" w:type="dxa"/>
            <w:gridSpan w:val="3"/>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r>
              <w:rPr>
                <w:rFonts w:hint="default" w:ascii="宋体" w:hAnsi="宋体" w:eastAsia="宋体" w:cs="宋体"/>
                <w:color w:val="auto"/>
                <w:spacing w:val="-2"/>
                <w:sz w:val="21"/>
                <w:highlight w:val="none"/>
              </w:rPr>
              <w:t xml:space="preserve"> </w:t>
            </w:r>
          </w:p>
        </w:tc>
      </w:tr>
      <w:tr>
        <w:tblPrEx>
          <w:tblCellMar>
            <w:top w:w="0" w:type="dxa"/>
            <w:left w:w="0" w:type="dxa"/>
            <w:bottom w:w="0" w:type="dxa"/>
            <w:right w:w="0" w:type="dxa"/>
          </w:tblCellMar>
        </w:tblPrEx>
        <w:trPr>
          <w:trHeight w:val="329"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85" w:type="dxa"/>
            <w:gridSpan w:val="3"/>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trHeight w:val="344"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85" w:type="dxa"/>
            <w:gridSpan w:val="3"/>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trHeight w:val="344"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85" w:type="dxa"/>
            <w:gridSpan w:val="3"/>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trHeight w:val="329"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85" w:type="dxa"/>
            <w:gridSpan w:val="3"/>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trHeight w:val="344"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85" w:type="dxa"/>
            <w:gridSpan w:val="3"/>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trHeight w:val="330"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85" w:type="dxa"/>
            <w:gridSpan w:val="3"/>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trHeight w:val="344"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85" w:type="dxa"/>
            <w:gridSpan w:val="3"/>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trHeight w:val="344"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85" w:type="dxa"/>
            <w:gridSpan w:val="3"/>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trHeight w:val="329"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85" w:type="dxa"/>
            <w:gridSpan w:val="3"/>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trHeight w:val="344"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85" w:type="dxa"/>
            <w:gridSpan w:val="3"/>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trHeight w:val="344"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85" w:type="dxa"/>
            <w:gridSpan w:val="3"/>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trHeight w:val="329"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85" w:type="dxa"/>
            <w:gridSpan w:val="3"/>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trHeight w:val="344"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85" w:type="dxa"/>
            <w:gridSpan w:val="3"/>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trHeight w:val="330"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85" w:type="dxa"/>
            <w:gridSpan w:val="3"/>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trHeight w:val="344"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85" w:type="dxa"/>
            <w:gridSpan w:val="3"/>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trHeight w:val="344"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85" w:type="dxa"/>
            <w:gridSpan w:val="3"/>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trHeight w:val="329"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85" w:type="dxa"/>
            <w:gridSpan w:val="3"/>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trHeight w:val="344"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85" w:type="dxa"/>
            <w:gridSpan w:val="3"/>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gridAfter w:val="1"/>
          <w:wAfter w:w="30" w:type="dxa"/>
          <w:trHeight w:val="344"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55" w:type="dxa"/>
            <w:gridSpan w:val="2"/>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gridAfter w:val="1"/>
          <w:wAfter w:w="30" w:type="dxa"/>
          <w:trHeight w:val="329"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55" w:type="dxa"/>
            <w:gridSpan w:val="2"/>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gridAfter w:val="1"/>
          <w:wAfter w:w="30" w:type="dxa"/>
          <w:trHeight w:val="344"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55" w:type="dxa"/>
            <w:gridSpan w:val="2"/>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gridAfter w:val="1"/>
          <w:wAfter w:w="30" w:type="dxa"/>
          <w:trHeight w:val="330"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55" w:type="dxa"/>
            <w:gridSpan w:val="2"/>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gridAfter w:val="1"/>
          <w:wAfter w:w="30" w:type="dxa"/>
          <w:trHeight w:val="344"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55" w:type="dxa"/>
            <w:gridSpan w:val="2"/>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gridAfter w:val="1"/>
          <w:wAfter w:w="30" w:type="dxa"/>
          <w:trHeight w:val="344"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55" w:type="dxa"/>
            <w:gridSpan w:val="2"/>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gridAfter w:val="1"/>
          <w:wAfter w:w="30" w:type="dxa"/>
          <w:trHeight w:val="329"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55" w:type="dxa"/>
            <w:gridSpan w:val="2"/>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gridAfter w:val="1"/>
          <w:wAfter w:w="30" w:type="dxa"/>
          <w:trHeight w:val="344"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55" w:type="dxa"/>
            <w:gridSpan w:val="2"/>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gridAfter w:val="1"/>
          <w:wAfter w:w="30" w:type="dxa"/>
          <w:trHeight w:val="344"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55" w:type="dxa"/>
            <w:gridSpan w:val="2"/>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gridAfter w:val="1"/>
          <w:wAfter w:w="30" w:type="dxa"/>
          <w:trHeight w:val="329"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55" w:type="dxa"/>
            <w:gridSpan w:val="2"/>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gridAfter w:val="1"/>
          <w:wAfter w:w="30" w:type="dxa"/>
          <w:trHeight w:val="344"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55" w:type="dxa"/>
            <w:gridSpan w:val="2"/>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r>
        <w:tblPrEx>
          <w:tblCellMar>
            <w:top w:w="0" w:type="dxa"/>
            <w:left w:w="0" w:type="dxa"/>
            <w:bottom w:w="0" w:type="dxa"/>
            <w:right w:w="0" w:type="dxa"/>
          </w:tblCellMar>
        </w:tblPrEx>
        <w:trPr>
          <w:gridAfter w:val="1"/>
          <w:wAfter w:w="30" w:type="dxa"/>
          <w:trHeight w:val="330" w:hRule="exact"/>
        </w:trPr>
        <w:tc>
          <w:tcPr>
            <w:tcW w:w="874" w:type="dxa"/>
            <w:tcBorders>
              <w:top w:val="single" w:color="000000" w:sz="4" w:space="0"/>
              <w:left w:val="single" w:color="000000" w:sz="10"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宋体" w:hAnsi="宋体" w:eastAsia="宋体" w:cs="宋体"/>
                <w:color w:val="auto"/>
                <w:spacing w:val="-2"/>
                <w:sz w:val="21"/>
                <w:highlight w:val="none"/>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宋体" w:hAnsi="宋体" w:eastAsia="宋体" w:cs="宋体"/>
                <w:color w:val="auto"/>
                <w:spacing w:val="-2"/>
                <w:sz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c>
          <w:tcPr>
            <w:tcW w:w="1755" w:type="dxa"/>
            <w:gridSpan w:val="2"/>
            <w:tcBorders>
              <w:top w:val="single" w:color="000000" w:sz="4" w:space="0"/>
              <w:left w:val="single" w:color="000000" w:sz="4" w:space="0"/>
              <w:bottom w:val="single" w:color="000000" w:sz="4" w:space="0"/>
              <w:right w:val="single" w:color="000000" w:sz="10"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default" w:ascii="宋体" w:hAnsi="宋体" w:eastAsia="宋体" w:cs="宋体"/>
                <w:color w:val="auto"/>
                <w:spacing w:val="-2"/>
                <w:sz w:val="21"/>
                <w:highlight w:val="none"/>
              </w:rPr>
            </w:pPr>
          </w:p>
        </w:tc>
      </w:tr>
    </w:tbl>
    <w:p>
      <w:pPr>
        <w:pageBreakBefore w:val="0"/>
        <w:kinsoku/>
        <w:wordWrap/>
        <w:overflowPunct/>
        <w:topLinePunct w:val="0"/>
        <w:bidi w:val="0"/>
        <w:adjustRightInd w:val="0"/>
        <w:snapToGrid w:val="0"/>
        <w:spacing w:beforeAutospacing="0" w:afterAutospacing="0" w:line="240" w:lineRule="auto"/>
        <w:jc w:val="both"/>
        <w:rPr>
          <w:rFonts w:ascii="宋体" w:hAnsi="宋体" w:eastAsia="宋体" w:cs="宋体"/>
          <w:color w:val="auto"/>
          <w:spacing w:val="-2"/>
          <w:sz w:val="18"/>
          <w:highlight w:val="none"/>
        </w:rPr>
      </w:pPr>
    </w:p>
    <w:p>
      <w:pPr>
        <w:pageBreakBefore w:val="0"/>
        <w:kinsoku/>
        <w:wordWrap/>
        <w:overflowPunct/>
        <w:topLinePunct w:val="0"/>
        <w:bidi w:val="0"/>
        <w:adjustRightInd w:val="0"/>
        <w:snapToGrid w:val="0"/>
        <w:spacing w:beforeAutospacing="0" w:afterAutospacing="0" w:line="240" w:lineRule="auto"/>
        <w:jc w:val="both"/>
        <w:rPr>
          <w:rFonts w:ascii="宋体" w:hAnsi="宋体" w:eastAsia="宋体" w:cs="宋体"/>
          <w:color w:val="auto"/>
          <w:spacing w:val="-2"/>
          <w:sz w:val="18"/>
          <w:highlight w:val="none"/>
        </w:rPr>
      </w:pPr>
    </w:p>
    <w:p>
      <w:pPr>
        <w:pageBreakBefore w:val="0"/>
        <w:kinsoku/>
        <w:wordWrap/>
        <w:overflowPunct/>
        <w:topLinePunct w:val="0"/>
        <w:bidi w:val="0"/>
        <w:adjustRightInd w:val="0"/>
        <w:snapToGrid w:val="0"/>
        <w:spacing w:beforeAutospacing="0" w:afterAutospacing="0" w:line="240" w:lineRule="auto"/>
        <w:jc w:val="both"/>
        <w:rPr>
          <w:rFonts w:ascii="宋体" w:hAnsi="宋体" w:eastAsia="宋体" w:cs="宋体"/>
          <w:color w:val="auto"/>
          <w:spacing w:val="-2"/>
          <w:sz w:val="18"/>
          <w:highlight w:val="none"/>
        </w:rPr>
      </w:pPr>
      <w:r>
        <w:rPr>
          <w:rFonts w:ascii="宋体" w:hAnsi="宋体" w:eastAsia="宋体" w:cs="宋体"/>
          <w:color w:val="auto"/>
          <w:spacing w:val="-2"/>
          <w:sz w:val="18"/>
          <w:highlight w:val="none"/>
        </w:rPr>
        <w:t>说明：本表适用于建设项目</w:t>
      </w:r>
      <w:r>
        <w:rPr>
          <w:rFonts w:hint="eastAsia" w:ascii="宋体" w:hAnsi="宋体" w:cs="宋体"/>
          <w:color w:val="auto"/>
          <w:spacing w:val="-2"/>
          <w:sz w:val="18"/>
          <w:highlight w:val="none"/>
          <w:lang w:eastAsia="zh-CN"/>
        </w:rPr>
        <w:t>磋商报价</w:t>
      </w:r>
      <w:r>
        <w:rPr>
          <w:rFonts w:ascii="宋体" w:hAnsi="宋体" w:eastAsia="宋体" w:cs="宋体"/>
          <w:color w:val="auto"/>
          <w:spacing w:val="-2"/>
          <w:sz w:val="18"/>
          <w:highlight w:val="none"/>
        </w:rPr>
        <w:t>的汇总。暂估价包括分部分项工程中的材料、设备暂估价和专业工程暂估价。</w:t>
      </w:r>
    </w:p>
    <w:p>
      <w:pPr>
        <w:pageBreakBefore w:val="0"/>
        <w:kinsoku/>
        <w:wordWrap/>
        <w:overflowPunct/>
        <w:topLinePunct w:val="0"/>
        <w:bidi w:val="0"/>
        <w:adjustRightInd w:val="0"/>
        <w:snapToGrid w:val="0"/>
        <w:spacing w:beforeAutospacing="0" w:afterAutospacing="0" w:line="240" w:lineRule="auto"/>
        <w:jc w:val="both"/>
        <w:rPr>
          <w:rFonts w:hint="eastAsia" w:ascii="宋体" w:hAnsi="宋体" w:eastAsia="宋体" w:cs="宋体"/>
          <w:color w:val="auto"/>
          <w:spacing w:val="-2"/>
          <w:sz w:val="18"/>
          <w:highlight w:val="none"/>
        </w:rPr>
      </w:pPr>
    </w:p>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18"/>
        <w:gridCol w:w="2538"/>
        <w:gridCol w:w="2419"/>
        <w:gridCol w:w="1181"/>
        <w:gridCol w:w="850"/>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8906" w:type="dxa"/>
            <w:gridSpan w:val="6"/>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color w:val="auto"/>
                <w:sz w:val="32"/>
                <w:szCs w:val="32"/>
                <w:highlight w:val="none"/>
              </w:rPr>
              <w:t>（二）</w:t>
            </w:r>
            <w:r>
              <w:rPr>
                <w:rFonts w:hint="eastAsia" w:ascii="宋体" w:hAnsi="宋体" w:eastAsia="宋体" w:cs="宋体"/>
                <w:b/>
                <w:i w:val="0"/>
                <w:color w:val="auto"/>
                <w:kern w:val="0"/>
                <w:sz w:val="32"/>
                <w:szCs w:val="32"/>
                <w:highlight w:val="none"/>
                <w:u w:val="none"/>
                <w:lang w:val="en-US" w:eastAsia="zh-CN" w:bidi="ar"/>
              </w:rPr>
              <w:t>单项工程投标报价汇总表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775" w:type="dxa"/>
            <w:gridSpan w:val="3"/>
            <w:tcBorders>
              <w:bottom w:val="single" w:color="000000" w:sz="12" w:space="0"/>
            </w:tcBorders>
            <w:noWrap w:val="0"/>
            <w:vAlign w:val="center"/>
          </w:tcPr>
          <w:p>
            <w:pPr>
              <w:keepNext w:val="0"/>
              <w:keepLines w:val="0"/>
              <w:pageBreakBefore w:val="0"/>
              <w:widowControl/>
              <w:suppressLineNumbers w:val="0"/>
              <w:tabs>
                <w:tab w:val="right" w:pos="5745"/>
              </w:tabs>
              <w:kinsoku/>
              <w:wordWrap/>
              <w:overflowPunct/>
              <w:topLinePunct w:val="0"/>
              <w:bidi w:val="0"/>
              <w:spacing w:before="0" w:beforeAutospacing="0" w:after="0" w:afterAutospacing="0" w:line="240" w:lineRule="auto"/>
              <w:ind w:left="0" w:right="0"/>
              <w:jc w:val="left"/>
              <w:textAlignment w:val="center"/>
              <w:rPr>
                <w:rFonts w:hint="default"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工程名称：</w:t>
            </w:r>
          </w:p>
        </w:tc>
        <w:tc>
          <w:tcPr>
            <w:tcW w:w="1181" w:type="dxa"/>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黑体" w:hAnsi="宋体" w:eastAsia="黑体" w:cs="黑体"/>
                <w:i w:val="0"/>
                <w:color w:val="auto"/>
                <w:sz w:val="21"/>
                <w:szCs w:val="21"/>
                <w:highlight w:val="none"/>
                <w:u w:val="none"/>
              </w:rPr>
            </w:pPr>
          </w:p>
        </w:tc>
        <w:tc>
          <w:tcPr>
            <w:tcW w:w="1950" w:type="dxa"/>
            <w:gridSpan w:val="2"/>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第  页 共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8" w:type="dxa"/>
            <w:vMerge w:val="restart"/>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序号</w:t>
            </w:r>
          </w:p>
        </w:tc>
        <w:tc>
          <w:tcPr>
            <w:tcW w:w="2538"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单位工程名称</w:t>
            </w:r>
          </w:p>
        </w:tc>
        <w:tc>
          <w:tcPr>
            <w:tcW w:w="3600" w:type="dxa"/>
            <w:gridSpan w:val="2"/>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金额(元)</w:t>
            </w:r>
          </w:p>
        </w:tc>
        <w:tc>
          <w:tcPr>
            <w:tcW w:w="1950" w:type="dxa"/>
            <w:gridSpan w:val="2"/>
            <w:tcBorders>
              <w:top w:val="single" w:color="000000" w:sz="12" w:space="0"/>
              <w:left w:val="single" w:color="000000" w:sz="4" w:space="0"/>
              <w:bottom w:val="single" w:color="000000" w:sz="4" w:space="0"/>
              <w:right w:val="single" w:color="000000" w:sz="12"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其中：（元）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18" w:type="dxa"/>
            <w:vMerge w:val="continue"/>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黑体" w:hAnsi="宋体" w:eastAsia="黑体" w:cs="黑体"/>
                <w:i w:val="0"/>
                <w:color w:val="auto"/>
                <w:sz w:val="21"/>
                <w:szCs w:val="21"/>
                <w:highlight w:val="none"/>
                <w:u w:val="none"/>
              </w:rPr>
            </w:pPr>
          </w:p>
        </w:tc>
        <w:tc>
          <w:tcPr>
            <w:tcW w:w="2538"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黑体" w:hAnsi="宋体" w:eastAsia="黑体" w:cs="黑体"/>
                <w:i w:val="0"/>
                <w:color w:val="auto"/>
                <w:sz w:val="21"/>
                <w:szCs w:val="21"/>
                <w:highlight w:val="none"/>
                <w:u w:val="none"/>
              </w:rPr>
            </w:pPr>
          </w:p>
        </w:tc>
        <w:tc>
          <w:tcPr>
            <w:tcW w:w="3600" w:type="dxa"/>
            <w:gridSpan w:val="2"/>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黑体" w:hAnsi="宋体" w:eastAsia="黑体" w:cs="黑体"/>
                <w:i w:val="0"/>
                <w:color w:val="auto"/>
                <w:sz w:val="21"/>
                <w:szCs w:val="21"/>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暂估价</w:t>
            </w:r>
          </w:p>
        </w:tc>
        <w:tc>
          <w:tcPr>
            <w:tcW w:w="1100"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不可竞争费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1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1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1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1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1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1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1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1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1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0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bl>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bookmarkStart w:id="366" w:name="_Toc17215709"/>
      <w:bookmarkStart w:id="367" w:name="_Toc44996371"/>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00"/>
        <w:gridCol w:w="3076"/>
        <w:gridCol w:w="1485"/>
        <w:gridCol w:w="265"/>
        <w:gridCol w:w="1273"/>
        <w:gridCol w:w="1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8856" w:type="dxa"/>
            <w:gridSpan w:val="6"/>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eastAsia="zh-CN"/>
              </w:rPr>
              <w:t>三</w:t>
            </w:r>
            <w:r>
              <w:rPr>
                <w:rFonts w:hint="eastAsia" w:ascii="宋体" w:hAnsi="宋体" w:eastAsia="宋体" w:cs="宋体"/>
                <w:color w:val="auto"/>
                <w:sz w:val="32"/>
                <w:szCs w:val="32"/>
                <w:highlight w:val="none"/>
              </w:rPr>
              <w:t>）</w:t>
            </w:r>
            <w:r>
              <w:rPr>
                <w:rFonts w:hint="eastAsia" w:ascii="宋体" w:hAnsi="宋体" w:eastAsia="宋体" w:cs="宋体"/>
                <w:b/>
                <w:i w:val="0"/>
                <w:color w:val="auto"/>
                <w:kern w:val="0"/>
                <w:sz w:val="32"/>
                <w:szCs w:val="32"/>
                <w:highlight w:val="none"/>
                <w:u w:val="none"/>
                <w:lang w:val="en-US" w:eastAsia="zh-CN" w:bidi="ar"/>
              </w:rPr>
              <w:t>单位工程投标报价汇总表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626" w:type="dxa"/>
            <w:gridSpan w:val="4"/>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default"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工程名称：</w:t>
            </w:r>
          </w:p>
        </w:tc>
        <w:tc>
          <w:tcPr>
            <w:tcW w:w="1273" w:type="dxa"/>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黑体" w:hAnsi="宋体" w:eastAsia="黑体" w:cs="黑体"/>
                <w:i w:val="0"/>
                <w:color w:val="auto"/>
                <w:sz w:val="21"/>
                <w:szCs w:val="21"/>
                <w:highlight w:val="none"/>
                <w:u w:val="none"/>
              </w:rPr>
            </w:pPr>
          </w:p>
        </w:tc>
        <w:tc>
          <w:tcPr>
            <w:tcW w:w="1957" w:type="dxa"/>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第  页 共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800" w:type="dxa"/>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序号</w:t>
            </w:r>
          </w:p>
        </w:tc>
        <w:tc>
          <w:tcPr>
            <w:tcW w:w="3076"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汇总内容</w:t>
            </w:r>
          </w:p>
        </w:tc>
        <w:tc>
          <w:tcPr>
            <w:tcW w:w="1485"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金额(元)</w:t>
            </w:r>
          </w:p>
        </w:tc>
        <w:tc>
          <w:tcPr>
            <w:tcW w:w="3495" w:type="dxa"/>
            <w:gridSpan w:val="3"/>
            <w:tcBorders>
              <w:top w:val="single" w:color="000000" w:sz="12" w:space="0"/>
              <w:left w:val="single" w:color="000000" w:sz="4" w:space="0"/>
              <w:bottom w:val="single" w:color="000000" w:sz="4" w:space="0"/>
              <w:right w:val="single" w:color="000000" w:sz="12"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其中：材料、设备暂估价（元）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0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3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分部分项工程费</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3495" w:type="dxa"/>
            <w:gridSpan w:val="3"/>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0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3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3495" w:type="dxa"/>
            <w:gridSpan w:val="3"/>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0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3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3495" w:type="dxa"/>
            <w:gridSpan w:val="3"/>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0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3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措施项目费</w:t>
            </w:r>
          </w:p>
        </w:tc>
        <w:tc>
          <w:tcPr>
            <w:tcW w:w="1485" w:type="dxa"/>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3495" w:type="dxa"/>
            <w:gridSpan w:val="3"/>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0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Arial" w:hAnsi="Arial" w:cs="Arial"/>
                <w:i w:val="0"/>
                <w:color w:val="auto"/>
                <w:sz w:val="20"/>
                <w:szCs w:val="20"/>
                <w:highlight w:val="none"/>
                <w:u w:val="none"/>
              </w:rPr>
            </w:pPr>
          </w:p>
        </w:tc>
        <w:tc>
          <w:tcPr>
            <w:tcW w:w="307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Arial" w:hAnsi="Arial" w:cs="Arial"/>
                <w:i w:val="0"/>
                <w:color w:val="auto"/>
                <w:sz w:val="20"/>
                <w:szCs w:val="20"/>
                <w:highlight w:val="none"/>
                <w:u w:val="none"/>
              </w:rPr>
            </w:pPr>
          </w:p>
        </w:tc>
        <w:tc>
          <w:tcPr>
            <w:tcW w:w="1485" w:type="dxa"/>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3495" w:type="dxa"/>
            <w:gridSpan w:val="3"/>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0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Arial" w:hAnsi="Arial" w:cs="Arial"/>
                <w:i w:val="0"/>
                <w:color w:val="auto"/>
                <w:sz w:val="20"/>
                <w:szCs w:val="20"/>
                <w:highlight w:val="none"/>
                <w:u w:val="none"/>
              </w:rPr>
            </w:pPr>
          </w:p>
        </w:tc>
        <w:tc>
          <w:tcPr>
            <w:tcW w:w="307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Arial" w:hAnsi="Arial" w:cs="Arial"/>
                <w:i w:val="0"/>
                <w:color w:val="auto"/>
                <w:sz w:val="20"/>
                <w:szCs w:val="20"/>
                <w:highlight w:val="none"/>
                <w:u w:val="none"/>
              </w:rPr>
            </w:pPr>
          </w:p>
        </w:tc>
        <w:tc>
          <w:tcPr>
            <w:tcW w:w="1485" w:type="dxa"/>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3495" w:type="dxa"/>
            <w:gridSpan w:val="3"/>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3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不可竞争费</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3495" w:type="dxa"/>
            <w:gridSpan w:val="3"/>
            <w:tcBorders>
              <w:top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3.1</w:t>
            </w:r>
          </w:p>
        </w:tc>
        <w:tc>
          <w:tcPr>
            <w:tcW w:w="3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安全文明施工费</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3495" w:type="dxa"/>
            <w:gridSpan w:val="3"/>
            <w:tcBorders>
              <w:top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3.2</w:t>
            </w:r>
          </w:p>
        </w:tc>
        <w:tc>
          <w:tcPr>
            <w:tcW w:w="3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default" w:ascii="宋体" w:hAnsi="宋体" w:eastAsia="宋体" w:cs="宋体"/>
                <w:i w:val="0"/>
                <w:color w:val="auto"/>
                <w:sz w:val="21"/>
                <w:szCs w:val="21"/>
                <w:highlight w:val="none"/>
                <w:u w:val="none"/>
                <w:lang w:val="en-US"/>
              </w:rPr>
            </w:pPr>
            <w:r>
              <w:rPr>
                <w:rFonts w:hint="eastAsia" w:ascii="宋体" w:hAnsi="宋体" w:cs="宋体"/>
                <w:i w:val="0"/>
                <w:color w:val="auto"/>
                <w:kern w:val="0"/>
                <w:sz w:val="21"/>
                <w:szCs w:val="21"/>
                <w:highlight w:val="none"/>
                <w:u w:val="none"/>
                <w:lang w:val="en-US" w:eastAsia="zh-CN" w:bidi="ar"/>
              </w:rPr>
              <w:t>环境保护税</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3495" w:type="dxa"/>
            <w:gridSpan w:val="3"/>
            <w:tcBorders>
              <w:top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3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3495" w:type="dxa"/>
            <w:gridSpan w:val="3"/>
            <w:tcBorders>
              <w:top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3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3495" w:type="dxa"/>
            <w:gridSpan w:val="3"/>
            <w:tcBorders>
              <w:top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3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其他项目</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3495" w:type="dxa"/>
            <w:gridSpan w:val="3"/>
            <w:tcBorders>
              <w:top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4.1</w:t>
            </w:r>
          </w:p>
        </w:tc>
        <w:tc>
          <w:tcPr>
            <w:tcW w:w="3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暂列金额</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3495" w:type="dxa"/>
            <w:gridSpan w:val="3"/>
            <w:tcBorders>
              <w:top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4.2</w:t>
            </w:r>
          </w:p>
        </w:tc>
        <w:tc>
          <w:tcPr>
            <w:tcW w:w="3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专业工程暂估价</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3495" w:type="dxa"/>
            <w:gridSpan w:val="3"/>
            <w:tcBorders>
              <w:top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4.3</w:t>
            </w:r>
          </w:p>
        </w:tc>
        <w:tc>
          <w:tcPr>
            <w:tcW w:w="3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计日工</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3495" w:type="dxa"/>
            <w:gridSpan w:val="3"/>
            <w:tcBorders>
              <w:top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4.4</w:t>
            </w:r>
          </w:p>
        </w:tc>
        <w:tc>
          <w:tcPr>
            <w:tcW w:w="3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总承包服务费</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3495" w:type="dxa"/>
            <w:gridSpan w:val="3"/>
            <w:tcBorders>
              <w:top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3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税金</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3495" w:type="dxa"/>
            <w:gridSpan w:val="3"/>
            <w:tcBorders>
              <w:top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3876" w:type="dxa"/>
            <w:gridSpan w:val="2"/>
            <w:tcBorders>
              <w:top w:val="single" w:color="000000" w:sz="4" w:space="0"/>
              <w:left w:val="single" w:color="000000" w:sz="12" w:space="0"/>
              <w:bottom w:val="single" w:color="000000" w:sz="12"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工程造价=1+2+3+4+5</w:t>
            </w:r>
          </w:p>
        </w:tc>
        <w:tc>
          <w:tcPr>
            <w:tcW w:w="1485"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3495" w:type="dxa"/>
            <w:gridSpan w:val="3"/>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bl>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72"/>
        <w:gridCol w:w="984"/>
        <w:gridCol w:w="1005"/>
        <w:gridCol w:w="930"/>
        <w:gridCol w:w="1005"/>
        <w:gridCol w:w="885"/>
        <w:gridCol w:w="615"/>
        <w:gridCol w:w="361"/>
        <w:gridCol w:w="374"/>
        <w:gridCol w:w="560"/>
        <w:gridCol w:w="100"/>
        <w:gridCol w:w="855"/>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8951" w:type="dxa"/>
            <w:gridSpan w:val="13"/>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i w:val="0"/>
                <w:color w:val="auto"/>
                <w:sz w:val="32"/>
                <w:szCs w:val="32"/>
                <w:highlight w:val="none"/>
                <w:u w:val="none"/>
              </w:rPr>
            </w:pP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eastAsia="zh-CN"/>
              </w:rPr>
              <w:t>四</w:t>
            </w:r>
            <w:r>
              <w:rPr>
                <w:rFonts w:hint="eastAsia" w:ascii="宋体" w:hAnsi="宋体" w:eastAsia="宋体" w:cs="宋体"/>
                <w:color w:val="auto"/>
                <w:sz w:val="32"/>
                <w:szCs w:val="32"/>
                <w:highlight w:val="none"/>
              </w:rPr>
              <w:t>）</w:t>
            </w:r>
            <w:r>
              <w:rPr>
                <w:rFonts w:hint="eastAsia" w:ascii="宋体" w:hAnsi="宋体" w:eastAsia="宋体" w:cs="宋体"/>
                <w:b/>
                <w:i w:val="0"/>
                <w:color w:val="auto"/>
                <w:kern w:val="0"/>
                <w:sz w:val="32"/>
                <w:szCs w:val="32"/>
                <w:highlight w:val="none"/>
                <w:u w:val="none"/>
                <w:lang w:val="en-US" w:eastAsia="zh-CN" w:bidi="ar"/>
              </w:rPr>
              <w:t xml:space="preserve"> 分部分项工程量清单计价表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357" w:type="dxa"/>
            <w:gridSpan w:val="8"/>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default"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工程名称：</w:t>
            </w:r>
          </w:p>
        </w:tc>
        <w:tc>
          <w:tcPr>
            <w:tcW w:w="934" w:type="dxa"/>
            <w:gridSpan w:val="2"/>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黑体" w:hAnsi="宋体" w:eastAsia="黑体" w:cs="黑体"/>
                <w:i w:val="0"/>
                <w:color w:val="auto"/>
                <w:sz w:val="21"/>
                <w:szCs w:val="21"/>
                <w:highlight w:val="none"/>
                <w:u w:val="none"/>
              </w:rPr>
            </w:pPr>
          </w:p>
        </w:tc>
        <w:tc>
          <w:tcPr>
            <w:tcW w:w="1660" w:type="dxa"/>
            <w:gridSpan w:val="3"/>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第  页 共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572" w:type="dxa"/>
            <w:vMerge w:val="restart"/>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序号</w:t>
            </w:r>
          </w:p>
        </w:tc>
        <w:tc>
          <w:tcPr>
            <w:tcW w:w="984"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项目编码</w:t>
            </w:r>
          </w:p>
        </w:tc>
        <w:tc>
          <w:tcPr>
            <w:tcW w:w="1005"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项目名称</w:t>
            </w:r>
          </w:p>
        </w:tc>
        <w:tc>
          <w:tcPr>
            <w:tcW w:w="930"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项目特征描述</w:t>
            </w:r>
          </w:p>
        </w:tc>
        <w:tc>
          <w:tcPr>
            <w:tcW w:w="1005"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kern w:val="0"/>
                <w:sz w:val="21"/>
                <w:szCs w:val="21"/>
                <w:highlight w:val="none"/>
                <w:u w:val="none"/>
                <w:lang w:val="en-US" w:eastAsia="zh-CN" w:bidi="ar"/>
              </w:rPr>
            </w:pPr>
            <w:r>
              <w:rPr>
                <w:rFonts w:hint="eastAsia" w:ascii="黑体" w:hAnsi="宋体" w:eastAsia="黑体" w:cs="黑体"/>
                <w:i w:val="0"/>
                <w:color w:val="auto"/>
                <w:kern w:val="0"/>
                <w:sz w:val="21"/>
                <w:szCs w:val="21"/>
                <w:highlight w:val="none"/>
                <w:u w:val="none"/>
                <w:lang w:val="en-US" w:eastAsia="zh-CN" w:bidi="ar"/>
              </w:rPr>
              <w:t>计量</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单位</w:t>
            </w:r>
          </w:p>
        </w:tc>
        <w:tc>
          <w:tcPr>
            <w:tcW w:w="885"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工程量</w:t>
            </w:r>
          </w:p>
        </w:tc>
        <w:tc>
          <w:tcPr>
            <w:tcW w:w="3570" w:type="dxa"/>
            <w:gridSpan w:val="7"/>
            <w:tcBorders>
              <w:top w:val="single" w:color="000000" w:sz="12" w:space="0"/>
              <w:left w:val="single" w:color="000000" w:sz="4" w:space="0"/>
              <w:bottom w:val="single" w:color="000000" w:sz="4" w:space="0"/>
              <w:right w:val="single" w:color="000000" w:sz="12"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572" w:type="dxa"/>
            <w:vMerge w:val="continue"/>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黑体" w:hAnsi="宋体" w:eastAsia="黑体" w:cs="黑体"/>
                <w:i w:val="0"/>
                <w:color w:val="auto"/>
                <w:sz w:val="21"/>
                <w:szCs w:val="21"/>
                <w:highlight w:val="none"/>
                <w:u w:val="none"/>
              </w:rPr>
            </w:pPr>
          </w:p>
        </w:tc>
        <w:tc>
          <w:tcPr>
            <w:tcW w:w="984"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黑体" w:hAnsi="宋体" w:eastAsia="黑体" w:cs="黑体"/>
                <w:i w:val="0"/>
                <w:color w:val="auto"/>
                <w:sz w:val="21"/>
                <w:szCs w:val="21"/>
                <w:highlight w:val="none"/>
                <w:u w:val="none"/>
              </w:rPr>
            </w:pPr>
          </w:p>
        </w:tc>
        <w:tc>
          <w:tcPr>
            <w:tcW w:w="1005"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黑体" w:hAnsi="宋体" w:eastAsia="黑体" w:cs="黑体"/>
                <w:i w:val="0"/>
                <w:color w:val="auto"/>
                <w:sz w:val="21"/>
                <w:szCs w:val="21"/>
                <w:highlight w:val="none"/>
                <w:u w:val="none"/>
              </w:rPr>
            </w:pPr>
          </w:p>
        </w:tc>
        <w:tc>
          <w:tcPr>
            <w:tcW w:w="930"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黑体" w:hAnsi="宋体" w:eastAsia="黑体" w:cs="黑体"/>
                <w:i w:val="0"/>
                <w:color w:val="auto"/>
                <w:sz w:val="21"/>
                <w:szCs w:val="21"/>
                <w:highlight w:val="none"/>
                <w:u w:val="none"/>
              </w:rPr>
            </w:pPr>
          </w:p>
        </w:tc>
        <w:tc>
          <w:tcPr>
            <w:tcW w:w="1005"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黑体" w:hAnsi="宋体" w:eastAsia="黑体" w:cs="黑体"/>
                <w:i w:val="0"/>
                <w:color w:val="auto"/>
                <w:sz w:val="21"/>
                <w:szCs w:val="21"/>
                <w:highlight w:val="none"/>
                <w:u w:val="none"/>
              </w:rPr>
            </w:pPr>
          </w:p>
        </w:tc>
        <w:tc>
          <w:tcPr>
            <w:tcW w:w="885"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黑体" w:hAnsi="宋体" w:eastAsia="黑体" w:cs="黑体"/>
                <w:i w:val="0"/>
                <w:color w:val="auto"/>
                <w:sz w:val="21"/>
                <w:szCs w:val="21"/>
                <w:highlight w:val="none"/>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综合单价</w:t>
            </w:r>
          </w:p>
        </w:tc>
        <w:tc>
          <w:tcPr>
            <w:tcW w:w="735"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合价</w:t>
            </w:r>
          </w:p>
        </w:tc>
        <w:tc>
          <w:tcPr>
            <w:tcW w:w="2220" w:type="dxa"/>
            <w:gridSpan w:val="4"/>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72" w:type="dxa"/>
            <w:vMerge w:val="continue"/>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黑体" w:hAnsi="宋体" w:eastAsia="黑体" w:cs="黑体"/>
                <w:i w:val="0"/>
                <w:color w:val="auto"/>
                <w:sz w:val="21"/>
                <w:szCs w:val="21"/>
                <w:highlight w:val="none"/>
                <w:u w:val="none"/>
              </w:rPr>
            </w:pPr>
          </w:p>
        </w:tc>
        <w:tc>
          <w:tcPr>
            <w:tcW w:w="984"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黑体" w:hAnsi="宋体" w:eastAsia="黑体" w:cs="黑体"/>
                <w:i w:val="0"/>
                <w:color w:val="auto"/>
                <w:sz w:val="21"/>
                <w:szCs w:val="21"/>
                <w:highlight w:val="none"/>
                <w:u w:val="none"/>
              </w:rPr>
            </w:pPr>
          </w:p>
        </w:tc>
        <w:tc>
          <w:tcPr>
            <w:tcW w:w="1005"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黑体" w:hAnsi="宋体" w:eastAsia="黑体" w:cs="黑体"/>
                <w:i w:val="0"/>
                <w:color w:val="auto"/>
                <w:sz w:val="21"/>
                <w:szCs w:val="21"/>
                <w:highlight w:val="none"/>
                <w:u w:val="none"/>
              </w:rPr>
            </w:pPr>
          </w:p>
        </w:tc>
        <w:tc>
          <w:tcPr>
            <w:tcW w:w="930"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黑体" w:hAnsi="宋体" w:eastAsia="黑体" w:cs="黑体"/>
                <w:i w:val="0"/>
                <w:color w:val="auto"/>
                <w:sz w:val="21"/>
                <w:szCs w:val="21"/>
                <w:highlight w:val="none"/>
                <w:u w:val="none"/>
              </w:rPr>
            </w:pPr>
          </w:p>
        </w:tc>
        <w:tc>
          <w:tcPr>
            <w:tcW w:w="1005"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黑体" w:hAnsi="宋体" w:eastAsia="黑体" w:cs="黑体"/>
                <w:i w:val="0"/>
                <w:color w:val="auto"/>
                <w:sz w:val="21"/>
                <w:szCs w:val="21"/>
                <w:highlight w:val="none"/>
                <w:u w:val="none"/>
              </w:rPr>
            </w:pPr>
          </w:p>
        </w:tc>
        <w:tc>
          <w:tcPr>
            <w:tcW w:w="885"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黑体" w:hAnsi="宋体" w:eastAsia="黑体" w:cs="黑体"/>
                <w:i w:val="0"/>
                <w:color w:val="auto"/>
                <w:sz w:val="21"/>
                <w:szCs w:val="21"/>
                <w:highlight w:val="none"/>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黑体" w:hAnsi="宋体" w:eastAsia="黑体" w:cs="黑体"/>
                <w:i w:val="0"/>
                <w:color w:val="auto"/>
                <w:sz w:val="21"/>
                <w:szCs w:val="21"/>
                <w:highlight w:val="none"/>
                <w:u w:val="none"/>
              </w:rPr>
            </w:pPr>
          </w:p>
        </w:tc>
        <w:tc>
          <w:tcPr>
            <w:tcW w:w="73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黑体" w:hAnsi="宋体" w:eastAsia="黑体" w:cs="黑体"/>
                <w:i w:val="0"/>
                <w:color w:val="auto"/>
                <w:sz w:val="21"/>
                <w:szCs w:val="21"/>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kern w:val="0"/>
                <w:sz w:val="21"/>
                <w:szCs w:val="21"/>
                <w:highlight w:val="none"/>
                <w:u w:val="none"/>
                <w:lang w:val="en-US" w:eastAsia="zh-CN" w:bidi="ar"/>
              </w:rPr>
            </w:pPr>
            <w:r>
              <w:rPr>
                <w:rFonts w:hint="eastAsia" w:ascii="黑体" w:hAnsi="宋体" w:eastAsia="黑体" w:cs="黑体"/>
                <w:i w:val="0"/>
                <w:color w:val="auto"/>
                <w:kern w:val="0"/>
                <w:sz w:val="21"/>
                <w:szCs w:val="21"/>
                <w:highlight w:val="none"/>
                <w:u w:val="none"/>
                <w:lang w:val="en-US" w:eastAsia="zh-CN" w:bidi="ar"/>
              </w:rPr>
              <w:t>定额</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人工费</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kern w:val="0"/>
                <w:sz w:val="21"/>
                <w:szCs w:val="21"/>
                <w:highlight w:val="none"/>
                <w:u w:val="none"/>
                <w:lang w:val="en-US" w:eastAsia="zh-CN" w:bidi="ar"/>
              </w:rPr>
            </w:pPr>
            <w:r>
              <w:rPr>
                <w:rFonts w:hint="eastAsia" w:ascii="黑体" w:hAnsi="宋体" w:eastAsia="黑体" w:cs="黑体"/>
                <w:i w:val="0"/>
                <w:color w:val="auto"/>
                <w:kern w:val="0"/>
                <w:sz w:val="21"/>
                <w:szCs w:val="21"/>
                <w:highlight w:val="none"/>
                <w:u w:val="none"/>
                <w:lang w:val="en-US" w:eastAsia="zh-CN" w:bidi="ar"/>
              </w:rPr>
              <w:t>定额</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机械费</w:t>
            </w:r>
          </w:p>
        </w:tc>
        <w:tc>
          <w:tcPr>
            <w:tcW w:w="705"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7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7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7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7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57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7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7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7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7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7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7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7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7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bl>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24"/>
          <w:highlight w:val="none"/>
        </w:rPr>
      </w:pPr>
    </w:p>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73"/>
        <w:gridCol w:w="348"/>
        <w:gridCol w:w="552"/>
        <w:gridCol w:w="608"/>
        <w:gridCol w:w="144"/>
        <w:gridCol w:w="465"/>
        <w:gridCol w:w="566"/>
        <w:gridCol w:w="205"/>
        <w:gridCol w:w="377"/>
        <w:gridCol w:w="268"/>
        <w:gridCol w:w="70"/>
        <w:gridCol w:w="672"/>
        <w:gridCol w:w="653"/>
        <w:gridCol w:w="540"/>
        <w:gridCol w:w="135"/>
        <w:gridCol w:w="270"/>
        <w:gridCol w:w="435"/>
        <w:gridCol w:w="420"/>
        <w:gridCol w:w="735"/>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8" w:hRule="atLeast"/>
        </w:trPr>
        <w:tc>
          <w:tcPr>
            <w:tcW w:w="8871" w:type="dxa"/>
            <w:gridSpan w:val="20"/>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b/>
                <w:i w:val="0"/>
                <w:color w:val="auto"/>
                <w:sz w:val="31"/>
                <w:szCs w:val="31"/>
                <w:highlight w:val="none"/>
                <w:u w:val="none"/>
              </w:rPr>
            </w:pPr>
            <w:r>
              <w:rPr>
                <w:rFonts w:hint="eastAsia" w:ascii="宋体" w:hAnsi="宋体" w:eastAsia="宋体" w:cs="宋体"/>
                <w:b/>
                <w:i w:val="0"/>
                <w:color w:val="auto"/>
                <w:kern w:val="0"/>
                <w:sz w:val="31"/>
                <w:szCs w:val="31"/>
                <w:highlight w:val="none"/>
                <w:u w:val="none"/>
                <w:lang w:val="en-US" w:eastAsia="zh-CN" w:bidi="ar"/>
              </w:rPr>
              <w:t>分部分项工程量清单综合单价分析表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8" w:hRule="atLeast"/>
        </w:trPr>
        <w:tc>
          <w:tcPr>
            <w:tcW w:w="3056" w:type="dxa"/>
            <w:gridSpan w:val="7"/>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default"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工程名称：</w:t>
            </w:r>
          </w:p>
        </w:tc>
        <w:tc>
          <w:tcPr>
            <w:tcW w:w="920" w:type="dxa"/>
            <w:gridSpan w:val="4"/>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黑体" w:hAnsi="宋体" w:eastAsia="黑体" w:cs="黑体"/>
                <w:i w:val="0"/>
                <w:color w:val="auto"/>
                <w:sz w:val="21"/>
                <w:szCs w:val="21"/>
                <w:highlight w:val="none"/>
                <w:u w:val="none"/>
              </w:rPr>
            </w:pPr>
          </w:p>
        </w:tc>
        <w:tc>
          <w:tcPr>
            <w:tcW w:w="4895" w:type="dxa"/>
            <w:gridSpan w:val="9"/>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第  页 共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721" w:type="dxa"/>
            <w:gridSpan w:val="2"/>
            <w:tcBorders>
              <w:top w:val="single" w:color="000000" w:sz="12"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项目编码</w:t>
            </w:r>
          </w:p>
        </w:tc>
        <w:tc>
          <w:tcPr>
            <w:tcW w:w="552"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c>
          <w:tcPr>
            <w:tcW w:w="752" w:type="dxa"/>
            <w:gridSpan w:val="2"/>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项目名称</w:t>
            </w:r>
          </w:p>
        </w:tc>
        <w:tc>
          <w:tcPr>
            <w:tcW w:w="1613" w:type="dxa"/>
            <w:gridSpan w:val="4"/>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c>
          <w:tcPr>
            <w:tcW w:w="1010" w:type="dxa"/>
            <w:gridSpan w:val="3"/>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计量单位</w:t>
            </w:r>
          </w:p>
        </w:tc>
        <w:tc>
          <w:tcPr>
            <w:tcW w:w="1193" w:type="dxa"/>
            <w:gridSpan w:val="2"/>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c>
          <w:tcPr>
            <w:tcW w:w="1260" w:type="dxa"/>
            <w:gridSpan w:val="4"/>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工程量</w:t>
            </w:r>
          </w:p>
        </w:tc>
        <w:tc>
          <w:tcPr>
            <w:tcW w:w="1770" w:type="dxa"/>
            <w:gridSpan w:val="2"/>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8871" w:type="dxa"/>
            <w:gridSpan w:val="20"/>
            <w:tcBorders>
              <w:top w:val="single" w:color="000000" w:sz="4" w:space="0"/>
              <w:left w:val="single" w:color="000000" w:sz="12"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清单综合单价组成明细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3" w:type="dxa"/>
            <w:vMerge w:val="restart"/>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定额</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编码</w:t>
            </w:r>
          </w:p>
        </w:tc>
        <w:tc>
          <w:tcPr>
            <w:tcW w:w="90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定额项目名称</w:t>
            </w:r>
          </w:p>
        </w:tc>
        <w:tc>
          <w:tcPr>
            <w:tcW w:w="6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定额</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单位</w:t>
            </w:r>
          </w:p>
        </w:tc>
        <w:tc>
          <w:tcPr>
            <w:tcW w:w="60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数量</w:t>
            </w:r>
          </w:p>
        </w:tc>
        <w:tc>
          <w:tcPr>
            <w:tcW w:w="2811" w:type="dxa"/>
            <w:gridSpan w:val="7"/>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单价</w:t>
            </w:r>
          </w:p>
        </w:tc>
        <w:tc>
          <w:tcPr>
            <w:tcW w:w="3570" w:type="dxa"/>
            <w:gridSpan w:val="7"/>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2" w:hRule="atLeast"/>
        </w:trPr>
        <w:tc>
          <w:tcPr>
            <w:tcW w:w="373" w:type="dxa"/>
            <w:vMerge w:val="continue"/>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c>
          <w:tcPr>
            <w:tcW w:w="6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c>
          <w:tcPr>
            <w:tcW w:w="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人工费</w:t>
            </w:r>
          </w:p>
        </w:tc>
        <w:tc>
          <w:tcPr>
            <w:tcW w:w="6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材料费</w:t>
            </w:r>
          </w:p>
        </w:tc>
        <w:tc>
          <w:tcPr>
            <w:tcW w:w="74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机械费</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综合费</w:t>
            </w:r>
          </w:p>
        </w:tc>
        <w:tc>
          <w:tcPr>
            <w:tcW w:w="9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人工费</w:t>
            </w:r>
          </w:p>
        </w:tc>
        <w:tc>
          <w:tcPr>
            <w:tcW w:w="8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材料费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机械费</w:t>
            </w:r>
          </w:p>
        </w:tc>
        <w:tc>
          <w:tcPr>
            <w:tcW w:w="103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综合费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373"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18"/>
                <w:szCs w:val="18"/>
                <w:highlight w:val="none"/>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c>
          <w:tcPr>
            <w:tcW w:w="6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6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74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9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8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103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373"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18"/>
                <w:szCs w:val="18"/>
                <w:highlight w:val="none"/>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c>
          <w:tcPr>
            <w:tcW w:w="6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6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74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9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8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103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373"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18"/>
                <w:szCs w:val="18"/>
                <w:highlight w:val="none"/>
                <w:u w:val="none"/>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c>
          <w:tcPr>
            <w:tcW w:w="6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6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74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9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8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103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73"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人工单价</w:t>
            </w:r>
          </w:p>
        </w:tc>
        <w:tc>
          <w:tcPr>
            <w:tcW w:w="3375"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小计</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9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8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1770" w:type="dxa"/>
            <w:gridSpan w:val="2"/>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273" w:type="dxa"/>
            <w:gridSpan w:val="3"/>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（）元/工日</w:t>
            </w:r>
          </w:p>
        </w:tc>
        <w:tc>
          <w:tcPr>
            <w:tcW w:w="3375"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未计价材料费</w:t>
            </w:r>
          </w:p>
        </w:tc>
        <w:tc>
          <w:tcPr>
            <w:tcW w:w="4223" w:type="dxa"/>
            <w:gridSpan w:val="8"/>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648" w:type="dxa"/>
            <w:gridSpan w:val="12"/>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清单项目综合单价</w:t>
            </w:r>
          </w:p>
        </w:tc>
        <w:tc>
          <w:tcPr>
            <w:tcW w:w="4223" w:type="dxa"/>
            <w:gridSpan w:val="8"/>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2" w:hRule="atLeast"/>
        </w:trPr>
        <w:tc>
          <w:tcPr>
            <w:tcW w:w="373" w:type="dxa"/>
            <w:vMerge w:val="restart"/>
            <w:tcBorders>
              <w:top w:val="single" w:color="000000" w:sz="4" w:space="0"/>
              <w:left w:val="single" w:color="000000" w:sz="12" w:space="0"/>
              <w:bottom w:val="single" w:color="000000" w:sz="12"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材</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料</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费</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明</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细</w:t>
            </w:r>
          </w:p>
        </w:tc>
        <w:tc>
          <w:tcPr>
            <w:tcW w:w="211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主要材料名称、规格、型号</w:t>
            </w:r>
          </w:p>
        </w:tc>
        <w:tc>
          <w:tcPr>
            <w:tcW w:w="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单位</w:t>
            </w:r>
          </w:p>
        </w:tc>
        <w:tc>
          <w:tcPr>
            <w:tcW w:w="138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数量</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单价</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（元）</w:t>
            </w:r>
          </w:p>
        </w:tc>
        <w:tc>
          <w:tcPr>
            <w:tcW w:w="6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合价</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（元）</w:t>
            </w:r>
          </w:p>
        </w:tc>
        <w:tc>
          <w:tcPr>
            <w:tcW w:w="112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暂估</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单价</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（元）</w:t>
            </w:r>
          </w:p>
        </w:tc>
        <w:tc>
          <w:tcPr>
            <w:tcW w:w="1770" w:type="dxa"/>
            <w:gridSpan w:val="2"/>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暂估</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合价</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373" w:type="dxa"/>
            <w:vMerge w:val="continue"/>
            <w:tcBorders>
              <w:top w:val="single" w:color="000000" w:sz="4" w:space="0"/>
              <w:left w:val="single" w:color="000000" w:sz="12"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c>
          <w:tcPr>
            <w:tcW w:w="211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18"/>
                <w:szCs w:val="18"/>
                <w:highlight w:val="none"/>
                <w:u w:val="none"/>
              </w:rPr>
            </w:pPr>
          </w:p>
        </w:tc>
        <w:tc>
          <w:tcPr>
            <w:tcW w:w="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c>
          <w:tcPr>
            <w:tcW w:w="138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6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112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1770" w:type="dxa"/>
            <w:gridSpan w:val="2"/>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1" w:hRule="atLeast"/>
        </w:trPr>
        <w:tc>
          <w:tcPr>
            <w:tcW w:w="373" w:type="dxa"/>
            <w:vMerge w:val="continue"/>
            <w:tcBorders>
              <w:top w:val="single" w:color="000000" w:sz="4" w:space="0"/>
              <w:left w:val="single" w:color="000000" w:sz="12"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c>
          <w:tcPr>
            <w:tcW w:w="211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18"/>
                <w:szCs w:val="18"/>
                <w:highlight w:val="none"/>
                <w:u w:val="none"/>
              </w:rPr>
            </w:pPr>
          </w:p>
        </w:tc>
        <w:tc>
          <w:tcPr>
            <w:tcW w:w="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c>
          <w:tcPr>
            <w:tcW w:w="138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6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112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1770" w:type="dxa"/>
            <w:gridSpan w:val="2"/>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373" w:type="dxa"/>
            <w:vMerge w:val="continue"/>
            <w:tcBorders>
              <w:top w:val="single" w:color="000000" w:sz="4" w:space="0"/>
              <w:left w:val="single" w:color="000000" w:sz="12"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c>
          <w:tcPr>
            <w:tcW w:w="211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18"/>
                <w:szCs w:val="18"/>
                <w:highlight w:val="none"/>
                <w:u w:val="none"/>
              </w:rPr>
            </w:pPr>
          </w:p>
        </w:tc>
        <w:tc>
          <w:tcPr>
            <w:tcW w:w="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c>
          <w:tcPr>
            <w:tcW w:w="138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6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112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1770" w:type="dxa"/>
            <w:gridSpan w:val="2"/>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373" w:type="dxa"/>
            <w:vMerge w:val="continue"/>
            <w:tcBorders>
              <w:top w:val="single" w:color="000000" w:sz="4" w:space="0"/>
              <w:left w:val="single" w:color="000000" w:sz="12"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c>
          <w:tcPr>
            <w:tcW w:w="427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其他材料费</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w:t>
            </w:r>
          </w:p>
        </w:tc>
        <w:tc>
          <w:tcPr>
            <w:tcW w:w="6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w:t>
            </w:r>
          </w:p>
        </w:tc>
        <w:tc>
          <w:tcPr>
            <w:tcW w:w="2190" w:type="dxa"/>
            <w:gridSpan w:val="3"/>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1" w:hRule="atLeast"/>
        </w:trPr>
        <w:tc>
          <w:tcPr>
            <w:tcW w:w="373" w:type="dxa"/>
            <w:vMerge w:val="continue"/>
            <w:tcBorders>
              <w:top w:val="single" w:color="000000" w:sz="4" w:space="0"/>
              <w:left w:val="single" w:color="000000" w:sz="12"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18"/>
                <w:szCs w:val="18"/>
                <w:highlight w:val="none"/>
                <w:u w:val="none"/>
              </w:rPr>
            </w:pPr>
          </w:p>
        </w:tc>
        <w:tc>
          <w:tcPr>
            <w:tcW w:w="4275" w:type="dxa"/>
            <w:gridSpan w:val="11"/>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材料费小计</w:t>
            </w:r>
          </w:p>
        </w:tc>
        <w:tc>
          <w:tcPr>
            <w:tcW w:w="653"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w:t>
            </w:r>
          </w:p>
        </w:tc>
        <w:tc>
          <w:tcPr>
            <w:tcW w:w="675" w:type="dxa"/>
            <w:gridSpan w:val="2"/>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c>
          <w:tcPr>
            <w:tcW w:w="705" w:type="dxa"/>
            <w:gridSpan w:val="2"/>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w:t>
            </w:r>
          </w:p>
        </w:tc>
        <w:tc>
          <w:tcPr>
            <w:tcW w:w="2190" w:type="dxa"/>
            <w:gridSpan w:val="3"/>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18"/>
                <w:szCs w:val="18"/>
                <w:highlight w:val="none"/>
                <w:u w:val="none"/>
              </w:rPr>
            </w:pPr>
          </w:p>
        </w:tc>
      </w:tr>
    </w:tbl>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2"/>
          <w:szCs w:val="32"/>
          <w:highlight w:val="none"/>
        </w:rPr>
      </w:pPr>
    </w:p>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40"/>
        <w:gridCol w:w="1679"/>
        <w:gridCol w:w="2159"/>
        <w:gridCol w:w="601"/>
        <w:gridCol w:w="860"/>
        <w:gridCol w:w="862"/>
        <w:gridCol w:w="710"/>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8936" w:type="dxa"/>
            <w:gridSpan w:val="8"/>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i w:val="0"/>
                <w:color w:val="auto"/>
                <w:sz w:val="32"/>
                <w:szCs w:val="32"/>
                <w:highlight w:val="none"/>
                <w:u w:val="none"/>
              </w:rPr>
            </w:pP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eastAsia="zh-CN"/>
              </w:rPr>
              <w:t>五</w:t>
            </w:r>
            <w:r>
              <w:rPr>
                <w:rFonts w:hint="eastAsia" w:ascii="宋体" w:hAnsi="宋体" w:eastAsia="宋体" w:cs="宋体"/>
                <w:color w:val="auto"/>
                <w:sz w:val="32"/>
                <w:szCs w:val="32"/>
                <w:highlight w:val="none"/>
              </w:rPr>
              <w:t>）</w:t>
            </w:r>
            <w:r>
              <w:rPr>
                <w:rFonts w:hint="eastAsia" w:ascii="宋体" w:hAnsi="宋体" w:eastAsia="宋体" w:cs="宋体"/>
                <w:b/>
                <w:i w:val="0"/>
                <w:color w:val="auto"/>
                <w:kern w:val="0"/>
                <w:sz w:val="32"/>
                <w:szCs w:val="32"/>
                <w:highlight w:val="none"/>
                <w:u w:val="none"/>
                <w:lang w:val="en-US" w:eastAsia="zh-CN" w:bidi="ar"/>
              </w:rPr>
              <w:t>措施项目清单计价表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379" w:type="dxa"/>
            <w:gridSpan w:val="4"/>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default"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工程名称：</w:t>
            </w:r>
          </w:p>
        </w:tc>
        <w:tc>
          <w:tcPr>
            <w:tcW w:w="1722" w:type="dxa"/>
            <w:gridSpan w:val="2"/>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黑体" w:hAnsi="宋体" w:eastAsia="黑体" w:cs="黑体"/>
                <w:i w:val="0"/>
                <w:color w:val="auto"/>
                <w:sz w:val="21"/>
                <w:szCs w:val="21"/>
                <w:highlight w:val="none"/>
                <w:u w:val="none"/>
              </w:rPr>
            </w:pPr>
          </w:p>
        </w:tc>
        <w:tc>
          <w:tcPr>
            <w:tcW w:w="1835" w:type="dxa"/>
            <w:gridSpan w:val="2"/>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第  页 共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940" w:type="dxa"/>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序号</w:t>
            </w:r>
          </w:p>
        </w:tc>
        <w:tc>
          <w:tcPr>
            <w:tcW w:w="1679"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项目编码</w:t>
            </w:r>
          </w:p>
        </w:tc>
        <w:tc>
          <w:tcPr>
            <w:tcW w:w="2159"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项目名称</w:t>
            </w:r>
          </w:p>
        </w:tc>
        <w:tc>
          <w:tcPr>
            <w:tcW w:w="1461" w:type="dxa"/>
            <w:gridSpan w:val="2"/>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计算基础</w:t>
            </w:r>
          </w:p>
        </w:tc>
        <w:tc>
          <w:tcPr>
            <w:tcW w:w="1572" w:type="dxa"/>
            <w:gridSpan w:val="2"/>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费率（%）</w:t>
            </w:r>
          </w:p>
        </w:tc>
        <w:tc>
          <w:tcPr>
            <w:tcW w:w="1125" w:type="dxa"/>
            <w:tcBorders>
              <w:top w:val="single" w:color="000000" w:sz="12" w:space="0"/>
              <w:left w:val="single" w:color="000000" w:sz="4" w:space="0"/>
              <w:bottom w:val="single" w:color="000000" w:sz="4" w:space="0"/>
              <w:right w:val="single" w:color="000000" w:sz="12"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strike/>
                <w:dstrike w:val="0"/>
                <w:color w:val="auto"/>
                <w:sz w:val="21"/>
                <w:szCs w:val="21"/>
                <w:highlight w:val="none"/>
                <w:u w:val="none"/>
              </w:rPr>
            </w:pP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5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strike/>
                <w:dstrike w:val="0"/>
                <w:color w:val="auto"/>
                <w:sz w:val="21"/>
                <w:szCs w:val="21"/>
                <w:highlight w:val="none"/>
                <w:u w:val="none"/>
              </w:rPr>
            </w:pP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5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strike/>
                <w:dstrike w:val="0"/>
                <w:color w:val="auto"/>
                <w:sz w:val="21"/>
                <w:szCs w:val="21"/>
                <w:highlight w:val="none"/>
                <w:u w:val="none"/>
              </w:rPr>
            </w:pP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5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strike/>
                <w:dstrike w:val="0"/>
                <w:color w:val="auto"/>
                <w:sz w:val="21"/>
                <w:szCs w:val="21"/>
                <w:highlight w:val="none"/>
                <w:u w:val="none"/>
              </w:rPr>
            </w:pP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5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strike/>
                <w:dstrike w:val="0"/>
                <w:color w:val="auto"/>
                <w:sz w:val="21"/>
                <w:szCs w:val="21"/>
                <w:highlight w:val="none"/>
                <w:u w:val="none"/>
              </w:rPr>
            </w:pP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5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strike/>
                <w:dstrike w:val="0"/>
                <w:color w:val="auto"/>
                <w:sz w:val="21"/>
                <w:szCs w:val="21"/>
                <w:highlight w:val="none"/>
                <w:u w:val="none"/>
              </w:rPr>
            </w:pP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5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strike/>
                <w:dstrike w:val="0"/>
                <w:color w:val="auto"/>
                <w:sz w:val="21"/>
                <w:szCs w:val="21"/>
                <w:highlight w:val="none"/>
                <w:u w:val="none"/>
              </w:rPr>
            </w:pP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5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strike/>
                <w:dstrike w:val="0"/>
                <w:color w:val="auto"/>
                <w:sz w:val="21"/>
                <w:szCs w:val="21"/>
                <w:highlight w:val="none"/>
                <w:u w:val="none"/>
              </w:rPr>
            </w:pP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5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5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5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5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572"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auto"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7811" w:type="dxa"/>
            <w:gridSpan w:val="7"/>
            <w:tcBorders>
              <w:top w:val="single" w:color="000000" w:sz="4" w:space="0"/>
              <w:left w:val="single" w:color="000000" w:sz="12" w:space="0"/>
              <w:bottom w:val="single" w:color="000000"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lang w:eastAsia="zh-CN"/>
              </w:rPr>
            </w:pPr>
            <w:r>
              <w:rPr>
                <w:rFonts w:hint="eastAsia" w:ascii="宋体" w:hAnsi="宋体" w:eastAsia="宋体" w:cs="宋体"/>
                <w:i w:val="0"/>
                <w:color w:val="auto"/>
                <w:sz w:val="21"/>
                <w:szCs w:val="21"/>
                <w:highlight w:val="none"/>
                <w:u w:val="none"/>
                <w:lang w:eastAsia="zh-CN"/>
              </w:rPr>
              <w:t>合计</w:t>
            </w:r>
          </w:p>
        </w:tc>
        <w:tc>
          <w:tcPr>
            <w:tcW w:w="1125" w:type="dxa"/>
            <w:tcBorders>
              <w:top w:val="single" w:color="000000" w:sz="4" w:space="0"/>
              <w:left w:val="single" w:color="auto"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bl>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2"/>
          <w:szCs w:val="32"/>
          <w:highlight w:val="none"/>
        </w:rPr>
      </w:pPr>
    </w:p>
    <w:p>
      <w:pPr>
        <w:pageBreakBefore w:val="0"/>
        <w:kinsoku/>
        <w:wordWrap/>
        <w:overflowPunct/>
        <w:topLinePunct w:val="0"/>
        <w:bidi w:val="0"/>
        <w:adjustRightInd w:val="0"/>
        <w:snapToGrid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adjustRightInd w:val="0"/>
        <w:snapToGrid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adjustRightInd w:val="0"/>
        <w:snapToGrid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adjustRightInd w:val="0"/>
        <w:snapToGrid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adjustRightInd w:val="0"/>
        <w:snapToGrid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adjustRightInd w:val="0"/>
        <w:snapToGrid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adjustRightInd w:val="0"/>
        <w:snapToGrid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adjustRightInd w:val="0"/>
        <w:snapToGrid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adjustRightInd w:val="0"/>
        <w:snapToGrid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adjustRightInd w:val="0"/>
        <w:snapToGrid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adjustRightInd w:val="0"/>
        <w:snapToGrid w:val="0"/>
        <w:spacing w:beforeAutospacing="0" w:afterAutospacing="0" w:line="240" w:lineRule="auto"/>
        <w:jc w:val="both"/>
        <w:rPr>
          <w:rFonts w:hint="eastAsia" w:ascii="宋体" w:hAnsi="宋体" w:eastAsia="宋体" w:cs="宋体"/>
          <w:color w:val="auto"/>
          <w:sz w:val="32"/>
          <w:szCs w:val="32"/>
          <w:highlight w:val="none"/>
        </w:rPr>
      </w:pPr>
    </w:p>
    <w:p>
      <w:pPr>
        <w:pStyle w:val="2"/>
        <w:rPr>
          <w:rFonts w:hint="eastAsia"/>
        </w:rPr>
      </w:pPr>
    </w:p>
    <w:p>
      <w:pPr>
        <w:pageBreakBefore w:val="0"/>
        <w:kinsoku/>
        <w:wordWrap/>
        <w:overflowPunct/>
        <w:topLinePunct w:val="0"/>
        <w:bidi w:val="0"/>
        <w:adjustRightInd w:val="0"/>
        <w:snapToGrid w:val="0"/>
        <w:spacing w:beforeAutospacing="0" w:afterAutospacing="0" w:line="240" w:lineRule="auto"/>
        <w:jc w:val="both"/>
        <w:rPr>
          <w:rFonts w:hint="eastAsia" w:ascii="宋体" w:hAnsi="宋体" w:eastAsia="宋体" w:cs="宋体"/>
          <w:color w:val="auto"/>
          <w:sz w:val="32"/>
          <w:szCs w:val="32"/>
          <w:highlight w:val="none"/>
        </w:rPr>
      </w:pPr>
    </w:p>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40"/>
        <w:gridCol w:w="1679"/>
        <w:gridCol w:w="2159"/>
        <w:gridCol w:w="601"/>
        <w:gridCol w:w="860"/>
        <w:gridCol w:w="862"/>
        <w:gridCol w:w="465"/>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8871" w:type="dxa"/>
            <w:gridSpan w:val="8"/>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eastAsia="zh-CN"/>
              </w:rPr>
              <w:t>六</w:t>
            </w:r>
            <w:r>
              <w:rPr>
                <w:rFonts w:hint="eastAsia" w:ascii="宋体" w:hAnsi="宋体" w:eastAsia="宋体" w:cs="宋体"/>
                <w:color w:val="auto"/>
                <w:sz w:val="32"/>
                <w:szCs w:val="32"/>
                <w:highlight w:val="none"/>
              </w:rPr>
              <w:t>）</w:t>
            </w:r>
            <w:r>
              <w:rPr>
                <w:rFonts w:hint="eastAsia" w:ascii="宋体" w:hAnsi="宋体" w:eastAsia="宋体" w:cs="宋体"/>
                <w:b/>
                <w:i w:val="0"/>
                <w:color w:val="auto"/>
                <w:kern w:val="0"/>
                <w:sz w:val="32"/>
                <w:szCs w:val="32"/>
                <w:highlight w:val="none"/>
                <w:u w:val="none"/>
                <w:lang w:val="en-US" w:eastAsia="zh-CN" w:bidi="ar"/>
              </w:rPr>
              <w:t xml:space="preserve"> 不可竞争项目清单与计价表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379" w:type="dxa"/>
            <w:gridSpan w:val="4"/>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default"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工程名称：</w:t>
            </w:r>
          </w:p>
        </w:tc>
        <w:tc>
          <w:tcPr>
            <w:tcW w:w="1722" w:type="dxa"/>
            <w:gridSpan w:val="2"/>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黑体" w:hAnsi="宋体" w:eastAsia="黑体" w:cs="黑体"/>
                <w:i w:val="0"/>
                <w:color w:val="auto"/>
                <w:sz w:val="21"/>
                <w:szCs w:val="21"/>
                <w:highlight w:val="none"/>
                <w:u w:val="none"/>
              </w:rPr>
            </w:pPr>
          </w:p>
        </w:tc>
        <w:tc>
          <w:tcPr>
            <w:tcW w:w="1770" w:type="dxa"/>
            <w:gridSpan w:val="2"/>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第  页 共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940" w:type="dxa"/>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序号</w:t>
            </w:r>
          </w:p>
        </w:tc>
        <w:tc>
          <w:tcPr>
            <w:tcW w:w="1679"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项目编码</w:t>
            </w:r>
          </w:p>
        </w:tc>
        <w:tc>
          <w:tcPr>
            <w:tcW w:w="2159"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项目名称</w:t>
            </w:r>
          </w:p>
        </w:tc>
        <w:tc>
          <w:tcPr>
            <w:tcW w:w="1461" w:type="dxa"/>
            <w:gridSpan w:val="2"/>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计算基础</w:t>
            </w:r>
          </w:p>
        </w:tc>
        <w:tc>
          <w:tcPr>
            <w:tcW w:w="1327" w:type="dxa"/>
            <w:gridSpan w:val="2"/>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费率（%）</w:t>
            </w:r>
          </w:p>
        </w:tc>
        <w:tc>
          <w:tcPr>
            <w:tcW w:w="1305" w:type="dxa"/>
            <w:tcBorders>
              <w:top w:val="single" w:color="000000" w:sz="12" w:space="0"/>
              <w:left w:val="single" w:color="000000" w:sz="4" w:space="0"/>
              <w:bottom w:val="single" w:color="000000" w:sz="4" w:space="0"/>
              <w:right w:val="single" w:color="000000" w:sz="12"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环境保护费</w:t>
            </w: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文明施工费</w:t>
            </w: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安全施工费</w:t>
            </w: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临时设施费</w:t>
            </w: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default" w:ascii="宋体" w:hAnsi="宋体" w:eastAsia="宋体" w:cs="宋体"/>
                <w:i w:val="0"/>
                <w:color w:val="auto"/>
                <w:sz w:val="21"/>
                <w:szCs w:val="21"/>
                <w:highlight w:val="none"/>
                <w:u w:val="none"/>
                <w:lang w:val="en-US"/>
              </w:rPr>
            </w:pPr>
            <w:r>
              <w:rPr>
                <w:rFonts w:hint="eastAsia" w:ascii="宋体" w:hAnsi="宋体" w:cs="宋体"/>
                <w:i w:val="0"/>
                <w:color w:val="auto"/>
                <w:kern w:val="0"/>
                <w:sz w:val="21"/>
                <w:szCs w:val="21"/>
                <w:highlight w:val="none"/>
                <w:u w:val="none"/>
                <w:lang w:val="en-US" w:eastAsia="zh-CN" w:bidi="ar"/>
              </w:rPr>
              <w:t>环境保护税</w:t>
            </w: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bCs w:val="0"/>
                <w:i w:val="0"/>
                <w:color w:val="auto"/>
                <w:sz w:val="21"/>
                <w:szCs w:val="21"/>
                <w:highlight w:val="none"/>
                <w:u w:val="none"/>
              </w:rPr>
            </w:pP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b w:val="0"/>
                <w:bCs w:val="0"/>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b w:val="0"/>
                <w:bCs w:val="0"/>
                <w:i w:val="0"/>
                <w:color w:val="auto"/>
                <w:sz w:val="21"/>
                <w:szCs w:val="21"/>
                <w:highlight w:val="none"/>
                <w:u w:val="none"/>
              </w:rPr>
            </w:pP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b w:val="0"/>
                <w:bCs w:val="0"/>
                <w:i w:val="0"/>
                <w:color w:val="auto"/>
                <w:sz w:val="21"/>
                <w:szCs w:val="21"/>
                <w:highlight w:val="none"/>
                <w:u w:val="none"/>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b w:val="0"/>
                <w:bCs w:val="0"/>
                <w:i w:val="0"/>
                <w:color w:val="auto"/>
                <w:sz w:val="21"/>
                <w:szCs w:val="21"/>
                <w:highlight w:val="none"/>
                <w:u w:val="none"/>
              </w:rPr>
            </w:pPr>
          </w:p>
        </w:tc>
        <w:tc>
          <w:tcPr>
            <w:tcW w:w="13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b w:val="0"/>
                <w:bCs w:val="0"/>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bCs w:val="0"/>
                <w:i w:val="0"/>
                <w:color w:val="auto"/>
                <w:sz w:val="21"/>
                <w:szCs w:val="21"/>
                <w:highlight w:val="none"/>
                <w:u w:val="none"/>
              </w:rPr>
            </w:pP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b w:val="0"/>
                <w:bCs w:val="0"/>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b w:val="0"/>
                <w:bCs w:val="0"/>
                <w:i w:val="0"/>
                <w:color w:val="auto"/>
                <w:sz w:val="21"/>
                <w:szCs w:val="21"/>
                <w:highlight w:val="none"/>
                <w:u w:val="none"/>
              </w:rPr>
            </w:pP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b w:val="0"/>
                <w:bCs w:val="0"/>
                <w:i w:val="0"/>
                <w:color w:val="auto"/>
                <w:sz w:val="21"/>
                <w:szCs w:val="21"/>
                <w:highlight w:val="none"/>
                <w:u w:val="none"/>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b w:val="0"/>
                <w:bCs w:val="0"/>
                <w:i w:val="0"/>
                <w:color w:val="auto"/>
                <w:sz w:val="21"/>
                <w:szCs w:val="21"/>
                <w:highlight w:val="none"/>
                <w:u w:val="none"/>
              </w:rPr>
            </w:pPr>
          </w:p>
        </w:tc>
        <w:tc>
          <w:tcPr>
            <w:tcW w:w="13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b w:val="0"/>
                <w:bCs w:val="0"/>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40"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b w:val="0"/>
                <w:bCs w:val="0"/>
                <w:i w:val="0"/>
                <w:color w:val="auto"/>
                <w:sz w:val="21"/>
                <w:szCs w:val="21"/>
                <w:highlight w:val="none"/>
                <w:u w:val="none"/>
              </w:rPr>
            </w:pPr>
          </w:p>
        </w:tc>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b w:val="0"/>
                <w:bCs w:val="0"/>
                <w:i w:val="0"/>
                <w:color w:val="auto"/>
                <w:sz w:val="21"/>
                <w:szCs w:val="21"/>
                <w:highlight w:val="none"/>
                <w:u w:val="none"/>
              </w:rPr>
            </w:pP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b w:val="0"/>
                <w:bCs w:val="0"/>
                <w:i w:val="0"/>
                <w:color w:val="auto"/>
                <w:sz w:val="21"/>
                <w:szCs w:val="21"/>
                <w:highlight w:val="none"/>
                <w:u w:val="none"/>
              </w:rPr>
            </w:pPr>
          </w:p>
        </w:tc>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b w:val="0"/>
                <w:bCs w:val="0"/>
                <w:i w:val="0"/>
                <w:color w:val="auto"/>
                <w:sz w:val="21"/>
                <w:szCs w:val="21"/>
                <w:highlight w:val="none"/>
                <w:u w:val="none"/>
              </w:rPr>
            </w:pPr>
          </w:p>
        </w:tc>
        <w:tc>
          <w:tcPr>
            <w:tcW w:w="13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b w:val="0"/>
                <w:bCs w:val="0"/>
                <w:i w:val="0"/>
                <w:color w:val="auto"/>
                <w:sz w:val="21"/>
                <w:szCs w:val="21"/>
                <w:highlight w:val="none"/>
                <w:u w:val="none"/>
              </w:rPr>
            </w:pPr>
          </w:p>
        </w:tc>
        <w:tc>
          <w:tcPr>
            <w:tcW w:w="130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b w:val="0"/>
                <w:bCs w:val="0"/>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7566" w:type="dxa"/>
            <w:gridSpan w:val="7"/>
            <w:tcBorders>
              <w:left w:val="single" w:color="000000" w:sz="12" w:space="0"/>
              <w:bottom w:val="single" w:color="000000" w:sz="12"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合   计</w:t>
            </w:r>
          </w:p>
        </w:tc>
        <w:tc>
          <w:tcPr>
            <w:tcW w:w="1305" w:type="dxa"/>
            <w:tcBorders>
              <w:left w:val="single" w:color="000000" w:sz="4" w:space="0"/>
              <w:bottom w:val="single" w:color="000000" w:sz="12"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b w:val="0"/>
                <w:bCs w:val="0"/>
                <w:i w:val="0"/>
                <w:color w:val="auto"/>
                <w:sz w:val="21"/>
                <w:szCs w:val="21"/>
                <w:highlight w:val="none"/>
                <w:u w:val="none"/>
              </w:rPr>
            </w:pPr>
          </w:p>
        </w:tc>
      </w:tr>
    </w:tbl>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85"/>
        <w:gridCol w:w="915"/>
        <w:gridCol w:w="2945"/>
        <w:gridCol w:w="2336"/>
        <w:gridCol w:w="1087"/>
        <w:gridCol w:w="1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8951" w:type="dxa"/>
            <w:gridSpan w:val="6"/>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eastAsia="zh-CN"/>
              </w:rPr>
              <w:t>七</w:t>
            </w:r>
            <w:r>
              <w:rPr>
                <w:rFonts w:hint="eastAsia" w:ascii="宋体" w:hAnsi="宋体" w:eastAsia="宋体" w:cs="宋体"/>
                <w:color w:val="auto"/>
                <w:sz w:val="32"/>
                <w:szCs w:val="32"/>
                <w:highlight w:val="none"/>
              </w:rPr>
              <w:t>）</w:t>
            </w:r>
            <w:r>
              <w:rPr>
                <w:rFonts w:hint="eastAsia" w:ascii="宋体" w:hAnsi="宋体" w:eastAsia="宋体" w:cs="宋体"/>
                <w:b/>
                <w:i w:val="0"/>
                <w:color w:val="auto"/>
                <w:kern w:val="0"/>
                <w:sz w:val="32"/>
                <w:szCs w:val="32"/>
                <w:highlight w:val="none"/>
                <w:u w:val="none"/>
                <w:lang w:val="en-US" w:eastAsia="zh-CN" w:bidi="ar"/>
              </w:rPr>
              <w:t xml:space="preserve"> 其他项目清单与计价汇总表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4245" w:type="dxa"/>
            <w:gridSpan w:val="3"/>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default"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工程名称：</w:t>
            </w:r>
          </w:p>
        </w:tc>
        <w:tc>
          <w:tcPr>
            <w:tcW w:w="3423" w:type="dxa"/>
            <w:gridSpan w:val="2"/>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黑体" w:hAnsi="宋体" w:eastAsia="黑体" w:cs="黑体"/>
                <w:i w:val="0"/>
                <w:color w:val="auto"/>
                <w:sz w:val="21"/>
                <w:szCs w:val="21"/>
                <w:highlight w:val="none"/>
                <w:u w:val="none"/>
              </w:rPr>
            </w:pPr>
          </w:p>
        </w:tc>
        <w:tc>
          <w:tcPr>
            <w:tcW w:w="1283" w:type="dxa"/>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both"/>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第 页 共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300" w:type="dxa"/>
            <w:gridSpan w:val="2"/>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序号</w:t>
            </w:r>
          </w:p>
        </w:tc>
        <w:tc>
          <w:tcPr>
            <w:tcW w:w="5281" w:type="dxa"/>
            <w:gridSpan w:val="2"/>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项目名称</w:t>
            </w:r>
          </w:p>
        </w:tc>
        <w:tc>
          <w:tcPr>
            <w:tcW w:w="2370" w:type="dxa"/>
            <w:gridSpan w:val="2"/>
            <w:tcBorders>
              <w:top w:val="single" w:color="000000" w:sz="12" w:space="0"/>
              <w:left w:val="single" w:color="000000" w:sz="4" w:space="0"/>
              <w:bottom w:val="single" w:color="000000" w:sz="4" w:space="0"/>
              <w:right w:val="single" w:color="000000" w:sz="12"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300" w:type="dxa"/>
            <w:gridSpan w:val="2"/>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52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暂列金额</w:t>
            </w:r>
          </w:p>
        </w:tc>
        <w:tc>
          <w:tcPr>
            <w:tcW w:w="2370" w:type="dxa"/>
            <w:gridSpan w:val="2"/>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300" w:type="dxa"/>
            <w:gridSpan w:val="2"/>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52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专业工程暂估价</w:t>
            </w:r>
          </w:p>
        </w:tc>
        <w:tc>
          <w:tcPr>
            <w:tcW w:w="2370" w:type="dxa"/>
            <w:gridSpan w:val="2"/>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300" w:type="dxa"/>
            <w:gridSpan w:val="2"/>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52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计日工</w:t>
            </w:r>
          </w:p>
        </w:tc>
        <w:tc>
          <w:tcPr>
            <w:tcW w:w="2370" w:type="dxa"/>
            <w:gridSpan w:val="2"/>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300" w:type="dxa"/>
            <w:gridSpan w:val="2"/>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52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总承包服务费</w:t>
            </w:r>
          </w:p>
        </w:tc>
        <w:tc>
          <w:tcPr>
            <w:tcW w:w="2370" w:type="dxa"/>
            <w:gridSpan w:val="2"/>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300" w:type="dxa"/>
            <w:gridSpan w:val="2"/>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52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370" w:type="dxa"/>
            <w:gridSpan w:val="2"/>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300" w:type="dxa"/>
            <w:gridSpan w:val="2"/>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52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370" w:type="dxa"/>
            <w:gridSpan w:val="2"/>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300" w:type="dxa"/>
            <w:gridSpan w:val="2"/>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52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37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385" w:type="dxa"/>
            <w:tcBorders>
              <w:top w:val="single" w:color="auto" w:sz="4" w:space="0"/>
              <w:left w:val="single" w:color="auto" w:sz="4"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Arial" w:hAnsi="Arial" w:cs="Arial"/>
                <w:i w:val="0"/>
                <w:color w:val="auto"/>
                <w:sz w:val="20"/>
                <w:szCs w:val="20"/>
                <w:highlight w:val="none"/>
                <w:u w:val="none"/>
              </w:rPr>
            </w:pPr>
          </w:p>
        </w:tc>
        <w:tc>
          <w:tcPr>
            <w:tcW w:w="915" w:type="dxa"/>
            <w:tcBorders>
              <w:top w:val="single" w:color="auto" w:sz="4"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Arial" w:hAnsi="Arial" w:cs="Arial"/>
                <w:i w:val="0"/>
                <w:color w:val="auto"/>
                <w:sz w:val="20"/>
                <w:szCs w:val="20"/>
                <w:highlight w:val="none"/>
                <w:u w:val="none"/>
              </w:rPr>
            </w:pPr>
          </w:p>
        </w:tc>
        <w:tc>
          <w:tcPr>
            <w:tcW w:w="2945" w:type="dxa"/>
            <w:tcBorders>
              <w:top w:val="single" w:color="000000" w:sz="4"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Arial" w:hAnsi="Arial" w:cs="Arial"/>
                <w:i w:val="0"/>
                <w:color w:val="auto"/>
                <w:sz w:val="20"/>
                <w:szCs w:val="20"/>
                <w:highlight w:val="none"/>
                <w:u w:val="none"/>
              </w:rPr>
            </w:pPr>
          </w:p>
        </w:tc>
        <w:tc>
          <w:tcPr>
            <w:tcW w:w="2336" w:type="dxa"/>
            <w:tcBorders>
              <w:top w:val="single" w:color="000000" w:sz="4" w:space="0"/>
              <w:right w:val="single" w:color="auto" w:sz="4"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Arial" w:hAnsi="Arial" w:cs="Arial"/>
                <w:i w:val="0"/>
                <w:color w:val="auto"/>
                <w:sz w:val="20"/>
                <w:szCs w:val="20"/>
                <w:highlight w:val="none"/>
                <w:u w:val="none"/>
              </w:rPr>
            </w:pPr>
          </w:p>
        </w:tc>
        <w:tc>
          <w:tcPr>
            <w:tcW w:w="1087" w:type="dxa"/>
            <w:tcBorders>
              <w:top w:val="single" w:color="000000" w:sz="4" w:space="0"/>
              <w:left w:val="single" w:color="auto" w:sz="4"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Arial" w:hAnsi="Arial" w:cs="Arial"/>
                <w:i w:val="0"/>
                <w:color w:val="auto"/>
                <w:sz w:val="20"/>
                <w:szCs w:val="20"/>
                <w:highlight w:val="none"/>
                <w:u w:val="none"/>
              </w:rPr>
            </w:pPr>
          </w:p>
        </w:tc>
        <w:tc>
          <w:tcPr>
            <w:tcW w:w="1283" w:type="dxa"/>
            <w:tcBorders>
              <w:top w:val="single" w:color="000000" w:sz="4" w:space="0"/>
              <w:right w:val="single" w:color="auto" w:sz="4"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Arial" w:hAnsi="Arial" w:cs="Arial"/>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581" w:type="dxa"/>
            <w:gridSpan w:val="4"/>
            <w:tcBorders>
              <w:left w:val="single" w:color="000000" w:sz="12" w:space="0"/>
              <w:bottom w:val="single" w:color="000000" w:sz="12"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  计</w:t>
            </w:r>
          </w:p>
        </w:tc>
        <w:tc>
          <w:tcPr>
            <w:tcW w:w="2370" w:type="dxa"/>
            <w:gridSpan w:val="2"/>
            <w:tcBorders>
              <w:left w:val="single" w:color="000000" w:sz="4" w:space="0"/>
              <w:bottom w:val="single" w:color="000000" w:sz="12"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bl>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74"/>
        <w:gridCol w:w="3435"/>
        <w:gridCol w:w="1470"/>
        <w:gridCol w:w="974"/>
        <w:gridCol w:w="488"/>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8886" w:type="dxa"/>
            <w:gridSpan w:val="6"/>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eastAsia="zh-CN"/>
              </w:rPr>
              <w:t>八</w:t>
            </w:r>
            <w:r>
              <w:rPr>
                <w:rFonts w:hint="eastAsia" w:ascii="宋体" w:hAnsi="宋体" w:eastAsia="宋体" w:cs="宋体"/>
                <w:color w:val="auto"/>
                <w:sz w:val="32"/>
                <w:szCs w:val="32"/>
                <w:highlight w:val="none"/>
              </w:rPr>
              <w:t>）</w:t>
            </w:r>
            <w:r>
              <w:rPr>
                <w:rFonts w:hint="eastAsia" w:ascii="宋体" w:hAnsi="宋体" w:eastAsia="宋体" w:cs="宋体"/>
                <w:b/>
                <w:i w:val="0"/>
                <w:color w:val="auto"/>
                <w:kern w:val="0"/>
                <w:sz w:val="32"/>
                <w:szCs w:val="32"/>
                <w:highlight w:val="none"/>
                <w:u w:val="none"/>
                <w:lang w:val="en-US" w:eastAsia="zh-CN" w:bidi="ar"/>
              </w:rPr>
              <w:t xml:space="preserve"> 暂列金额明细表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879" w:type="dxa"/>
            <w:gridSpan w:val="3"/>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default"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工程名称：</w:t>
            </w:r>
          </w:p>
        </w:tc>
        <w:tc>
          <w:tcPr>
            <w:tcW w:w="974" w:type="dxa"/>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黑体" w:hAnsi="宋体" w:eastAsia="黑体" w:cs="黑体"/>
                <w:i w:val="0"/>
                <w:color w:val="auto"/>
                <w:sz w:val="21"/>
                <w:szCs w:val="21"/>
                <w:highlight w:val="none"/>
                <w:u w:val="none"/>
              </w:rPr>
            </w:pPr>
          </w:p>
        </w:tc>
        <w:tc>
          <w:tcPr>
            <w:tcW w:w="2033" w:type="dxa"/>
            <w:gridSpan w:val="2"/>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第  页 共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974" w:type="dxa"/>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序号</w:t>
            </w:r>
          </w:p>
        </w:tc>
        <w:tc>
          <w:tcPr>
            <w:tcW w:w="3435"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项目名称</w:t>
            </w:r>
          </w:p>
        </w:tc>
        <w:tc>
          <w:tcPr>
            <w:tcW w:w="1470"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计量单位</w:t>
            </w:r>
          </w:p>
        </w:tc>
        <w:tc>
          <w:tcPr>
            <w:tcW w:w="1462" w:type="dxa"/>
            <w:gridSpan w:val="2"/>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暂定金额(元)</w:t>
            </w:r>
          </w:p>
        </w:tc>
        <w:tc>
          <w:tcPr>
            <w:tcW w:w="1545" w:type="dxa"/>
            <w:tcBorders>
              <w:top w:val="single" w:color="000000" w:sz="12" w:space="0"/>
              <w:left w:val="single" w:color="000000" w:sz="4" w:space="0"/>
              <w:bottom w:val="single" w:color="000000" w:sz="4" w:space="0"/>
              <w:right w:val="single" w:color="000000" w:sz="12"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3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4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5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3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4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5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3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4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5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3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4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5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3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4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5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3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4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5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3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4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5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3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4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5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3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4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5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5879" w:type="dxa"/>
            <w:gridSpan w:val="3"/>
            <w:tcBorders>
              <w:top w:val="single" w:color="000000" w:sz="4" w:space="0"/>
              <w:left w:val="single" w:color="000000" w:sz="12" w:space="0"/>
              <w:bottom w:val="single" w:color="000000" w:sz="12"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  计</w:t>
            </w:r>
          </w:p>
        </w:tc>
        <w:tc>
          <w:tcPr>
            <w:tcW w:w="1462" w:type="dxa"/>
            <w:gridSpan w:val="2"/>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545" w:type="dxa"/>
            <w:tcBorders>
              <w:top w:val="single" w:color="000000" w:sz="4" w:space="0"/>
              <w:left w:val="single" w:color="000000" w:sz="4" w:space="0"/>
              <w:bottom w:val="single" w:color="000000" w:sz="12" w:space="0"/>
              <w:right w:val="single" w:color="000000" w:sz="12"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bookmarkEnd w:id="366"/>
      <w:bookmarkEnd w:id="367"/>
    </w:tbl>
    <w:p>
      <w:pPr>
        <w:pageBreakBefore w:val="0"/>
        <w:kinsoku/>
        <w:wordWrap/>
        <w:overflowPunct/>
        <w:topLinePunct w:val="0"/>
        <w:bidi w:val="0"/>
        <w:spacing w:beforeAutospacing="0" w:afterAutospacing="0" w:line="240" w:lineRule="auto"/>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rPr>
          <w:rFonts w:hint="eastAsia" w:ascii="宋体" w:hAnsi="宋体" w:eastAsia="宋体" w:cs="宋体"/>
          <w:color w:val="auto"/>
          <w:sz w:val="32"/>
          <w:szCs w:val="32"/>
          <w:highlight w:val="none"/>
        </w:rPr>
      </w:pPr>
    </w:p>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28"/>
        <w:gridCol w:w="68"/>
        <w:gridCol w:w="2345"/>
        <w:gridCol w:w="130"/>
        <w:gridCol w:w="1149"/>
        <w:gridCol w:w="995"/>
        <w:gridCol w:w="216"/>
        <w:gridCol w:w="38"/>
        <w:gridCol w:w="941"/>
        <w:gridCol w:w="356"/>
        <w:gridCol w:w="775"/>
        <w:gridCol w:w="945"/>
        <w:gridCol w:w="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8921" w:type="dxa"/>
            <w:gridSpan w:val="13"/>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eastAsia="zh-CN"/>
              </w:rPr>
              <w:t>九</w:t>
            </w:r>
            <w:r>
              <w:rPr>
                <w:rFonts w:hint="eastAsia" w:ascii="宋体" w:hAnsi="宋体" w:eastAsia="宋体" w:cs="宋体"/>
                <w:color w:val="auto"/>
                <w:sz w:val="32"/>
                <w:szCs w:val="32"/>
                <w:highlight w:val="none"/>
              </w:rPr>
              <w:t>）</w:t>
            </w:r>
            <w:r>
              <w:rPr>
                <w:rFonts w:hint="eastAsia" w:ascii="宋体" w:hAnsi="宋体" w:eastAsia="宋体" w:cs="宋体"/>
                <w:b/>
                <w:i w:val="0"/>
                <w:color w:val="auto"/>
                <w:kern w:val="0"/>
                <w:sz w:val="32"/>
                <w:szCs w:val="32"/>
                <w:highlight w:val="none"/>
                <w:u w:val="none"/>
                <w:lang w:val="en-US" w:eastAsia="zh-CN" w:bidi="ar"/>
              </w:rPr>
              <w:t xml:space="preserve"> 专业工程暂估价计价表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4620" w:type="dxa"/>
            <w:gridSpan w:val="5"/>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default"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工程名称：</w:t>
            </w:r>
          </w:p>
        </w:tc>
        <w:tc>
          <w:tcPr>
            <w:tcW w:w="2546" w:type="dxa"/>
            <w:gridSpan w:val="5"/>
            <w:tcBorders>
              <w:bottom w:val="single" w:color="000000" w:sz="12" w:space="0"/>
            </w:tcBorders>
            <w:noWrap w:val="0"/>
            <w:vAlign w:val="center"/>
          </w:tcPr>
          <w:p>
            <w:pPr>
              <w:keepNext w:val="0"/>
              <w:keepLines w:val="0"/>
              <w:pageBreakBefore w:val="0"/>
              <w:widowControl/>
              <w:suppressLineNumbers w:val="0"/>
              <w:tabs>
                <w:tab w:val="right" w:pos="3718"/>
              </w:tabs>
              <w:kinsoku/>
              <w:wordWrap/>
              <w:overflowPunct/>
              <w:topLinePunct w:val="0"/>
              <w:bidi w:val="0"/>
              <w:spacing w:before="0" w:beforeAutospacing="0" w:after="0" w:afterAutospacing="0" w:line="240" w:lineRule="auto"/>
              <w:ind w:left="0" w:right="0"/>
              <w:jc w:val="left"/>
              <w:textAlignment w:val="center"/>
              <w:rPr>
                <w:rFonts w:hint="eastAsia" w:ascii="黑体" w:hAnsi="宋体" w:eastAsia="黑体" w:cs="黑体"/>
                <w:i w:val="0"/>
                <w:color w:val="auto"/>
                <w:sz w:val="21"/>
                <w:szCs w:val="21"/>
                <w:highlight w:val="none"/>
                <w:u w:val="none"/>
              </w:rPr>
            </w:pPr>
          </w:p>
        </w:tc>
        <w:tc>
          <w:tcPr>
            <w:tcW w:w="1755" w:type="dxa"/>
            <w:gridSpan w:val="3"/>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both"/>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第  页 共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928" w:type="dxa"/>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序号</w:t>
            </w:r>
          </w:p>
        </w:tc>
        <w:tc>
          <w:tcPr>
            <w:tcW w:w="2413" w:type="dxa"/>
            <w:gridSpan w:val="2"/>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工程名称</w:t>
            </w:r>
          </w:p>
        </w:tc>
        <w:tc>
          <w:tcPr>
            <w:tcW w:w="2490" w:type="dxa"/>
            <w:gridSpan w:val="4"/>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工程内容</w:t>
            </w:r>
          </w:p>
        </w:tc>
        <w:tc>
          <w:tcPr>
            <w:tcW w:w="1335" w:type="dxa"/>
            <w:gridSpan w:val="3"/>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金额(元)</w:t>
            </w:r>
          </w:p>
        </w:tc>
        <w:tc>
          <w:tcPr>
            <w:tcW w:w="1755" w:type="dxa"/>
            <w:gridSpan w:val="3"/>
            <w:tcBorders>
              <w:top w:val="single" w:color="000000" w:sz="12" w:space="0"/>
              <w:left w:val="single" w:color="000000" w:sz="4" w:space="0"/>
              <w:bottom w:val="single" w:color="000000" w:sz="4" w:space="0"/>
              <w:right w:val="single" w:color="000000" w:sz="12"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2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49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755" w:type="dxa"/>
            <w:gridSpan w:val="3"/>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2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49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755" w:type="dxa"/>
            <w:gridSpan w:val="3"/>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2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49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755" w:type="dxa"/>
            <w:gridSpan w:val="3"/>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2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49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755" w:type="dxa"/>
            <w:gridSpan w:val="3"/>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2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49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755" w:type="dxa"/>
            <w:gridSpan w:val="3"/>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2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49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755" w:type="dxa"/>
            <w:gridSpan w:val="3"/>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2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49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755" w:type="dxa"/>
            <w:gridSpan w:val="3"/>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2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49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755" w:type="dxa"/>
            <w:gridSpan w:val="3"/>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2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49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755" w:type="dxa"/>
            <w:gridSpan w:val="3"/>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2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49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755" w:type="dxa"/>
            <w:gridSpan w:val="3"/>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2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49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755" w:type="dxa"/>
            <w:gridSpan w:val="3"/>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2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49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755" w:type="dxa"/>
            <w:gridSpan w:val="3"/>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2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49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755" w:type="dxa"/>
            <w:gridSpan w:val="3"/>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2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49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755" w:type="dxa"/>
            <w:gridSpan w:val="3"/>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28"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49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755" w:type="dxa"/>
            <w:gridSpan w:val="3"/>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5831" w:type="dxa"/>
            <w:gridSpan w:val="7"/>
            <w:tcBorders>
              <w:top w:val="single" w:color="000000" w:sz="4" w:space="0"/>
              <w:left w:val="single" w:color="000000" w:sz="12" w:space="0"/>
              <w:bottom w:val="single" w:color="000000" w:sz="12"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  计</w:t>
            </w:r>
          </w:p>
        </w:tc>
        <w:tc>
          <w:tcPr>
            <w:tcW w:w="1335" w:type="dxa"/>
            <w:gridSpan w:val="3"/>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755" w:type="dxa"/>
            <w:gridSpan w:val="3"/>
            <w:tcBorders>
              <w:top w:val="single" w:color="000000" w:sz="4" w:space="0"/>
              <w:left w:val="single" w:color="000000" w:sz="4" w:space="0"/>
              <w:bottom w:val="single" w:color="000000" w:sz="12" w:space="0"/>
              <w:right w:val="single" w:color="000000" w:sz="12"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690" w:hRule="atLeast"/>
        </w:trPr>
        <w:tc>
          <w:tcPr>
            <w:tcW w:w="8886" w:type="dxa"/>
            <w:gridSpan w:val="12"/>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color w:val="auto"/>
                <w:sz w:val="32"/>
                <w:szCs w:val="32"/>
                <w:highlight w:val="none"/>
                <w:lang w:eastAsia="zh-CN"/>
              </w:rPr>
            </w:pPr>
            <w:bookmarkStart w:id="368" w:name="_Toc171581556"/>
            <w:bookmarkStart w:id="369" w:name="_Toc171741999"/>
            <w:bookmarkStart w:id="370" w:name="_Toc17215710"/>
            <w:bookmarkStart w:id="371" w:name="_Toc44996372"/>
            <w:bookmarkStart w:id="372" w:name="_Toc171581376"/>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color w:val="auto"/>
                <w:sz w:val="32"/>
                <w:szCs w:val="32"/>
                <w:highlight w:val="none"/>
                <w:lang w:eastAsia="zh-CN"/>
              </w:rPr>
            </w:pP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color w:val="auto"/>
                <w:sz w:val="32"/>
                <w:szCs w:val="32"/>
                <w:highlight w:val="none"/>
                <w:lang w:eastAsia="zh-CN"/>
              </w:rPr>
            </w:pP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color w:val="auto"/>
                <w:sz w:val="32"/>
                <w:szCs w:val="32"/>
                <w:highlight w:val="none"/>
                <w:lang w:eastAsia="zh-CN"/>
              </w:rPr>
            </w:pP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color w:val="auto"/>
                <w:sz w:val="32"/>
                <w:szCs w:val="32"/>
                <w:highlight w:val="none"/>
                <w:lang w:eastAsia="zh-CN"/>
              </w:rPr>
            </w:pP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both"/>
              <w:textAlignment w:val="center"/>
              <w:rPr>
                <w:rFonts w:hint="eastAsia" w:ascii="宋体" w:hAnsi="宋体" w:eastAsia="宋体" w:cs="宋体"/>
                <w:color w:val="auto"/>
                <w:sz w:val="32"/>
                <w:szCs w:val="32"/>
                <w:highlight w:val="none"/>
                <w:lang w:eastAsia="zh-CN"/>
              </w:rPr>
            </w:pPr>
          </w:p>
          <w:p>
            <w:pPr>
              <w:pStyle w:val="2"/>
              <w:rPr>
                <w:rFonts w:hint="eastAsia" w:ascii="宋体" w:hAnsi="宋体" w:eastAsia="宋体" w:cs="宋体"/>
                <w:color w:val="auto"/>
                <w:sz w:val="32"/>
                <w:szCs w:val="32"/>
                <w:highlight w:val="none"/>
                <w:lang w:eastAsia="zh-CN"/>
              </w:rPr>
            </w:pPr>
          </w:p>
          <w:p>
            <w:pPr>
              <w:pStyle w:val="2"/>
              <w:rPr>
                <w:rFonts w:hint="eastAsia" w:ascii="宋体" w:hAnsi="宋体" w:eastAsia="宋体" w:cs="宋体"/>
                <w:color w:val="auto"/>
                <w:sz w:val="32"/>
                <w:szCs w:val="32"/>
                <w:highlight w:val="none"/>
                <w:lang w:eastAsia="zh-CN"/>
              </w:rPr>
            </w:pP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color w:val="auto"/>
                <w:sz w:val="32"/>
                <w:szCs w:val="32"/>
                <w:highlight w:val="none"/>
                <w:lang w:eastAsia="zh-CN"/>
              </w:rPr>
              <w:t>（十）</w:t>
            </w:r>
            <w:r>
              <w:rPr>
                <w:rFonts w:hint="eastAsia" w:ascii="宋体" w:hAnsi="宋体" w:eastAsia="宋体" w:cs="宋体"/>
                <w:b/>
                <w:i w:val="0"/>
                <w:color w:val="auto"/>
                <w:kern w:val="0"/>
                <w:sz w:val="32"/>
                <w:szCs w:val="32"/>
                <w:highlight w:val="none"/>
                <w:u w:val="none"/>
                <w:lang w:val="en-US" w:eastAsia="zh-CN" w:bidi="ar"/>
              </w:rPr>
              <w:t xml:space="preserve"> 计日工表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345" w:hRule="atLeast"/>
        </w:trPr>
        <w:tc>
          <w:tcPr>
            <w:tcW w:w="5869" w:type="dxa"/>
            <w:gridSpan w:val="8"/>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default"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工程名称：</w:t>
            </w:r>
          </w:p>
        </w:tc>
        <w:tc>
          <w:tcPr>
            <w:tcW w:w="941" w:type="dxa"/>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黑体" w:hAnsi="宋体" w:eastAsia="黑体" w:cs="黑体"/>
                <w:i w:val="0"/>
                <w:color w:val="auto"/>
                <w:sz w:val="21"/>
                <w:szCs w:val="21"/>
                <w:highlight w:val="none"/>
                <w:u w:val="none"/>
              </w:rPr>
            </w:pPr>
          </w:p>
        </w:tc>
        <w:tc>
          <w:tcPr>
            <w:tcW w:w="2076" w:type="dxa"/>
            <w:gridSpan w:val="3"/>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第  页 共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690" w:hRule="atLeast"/>
        </w:trPr>
        <w:tc>
          <w:tcPr>
            <w:tcW w:w="996" w:type="dxa"/>
            <w:gridSpan w:val="2"/>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编码</w:t>
            </w:r>
          </w:p>
        </w:tc>
        <w:tc>
          <w:tcPr>
            <w:tcW w:w="2475" w:type="dxa"/>
            <w:gridSpan w:val="2"/>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项目名称</w:t>
            </w:r>
          </w:p>
        </w:tc>
        <w:tc>
          <w:tcPr>
            <w:tcW w:w="2144" w:type="dxa"/>
            <w:gridSpan w:val="2"/>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单位</w:t>
            </w:r>
          </w:p>
        </w:tc>
        <w:tc>
          <w:tcPr>
            <w:tcW w:w="1195" w:type="dxa"/>
            <w:gridSpan w:val="3"/>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数量</w:t>
            </w:r>
          </w:p>
        </w:tc>
        <w:tc>
          <w:tcPr>
            <w:tcW w:w="1131" w:type="dxa"/>
            <w:gridSpan w:val="2"/>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综合单价</w:t>
            </w:r>
          </w:p>
        </w:tc>
        <w:tc>
          <w:tcPr>
            <w:tcW w:w="945" w:type="dxa"/>
            <w:tcBorders>
              <w:top w:val="single" w:color="000000" w:sz="12" w:space="0"/>
              <w:left w:val="single" w:color="000000" w:sz="4" w:space="0"/>
              <w:bottom w:val="single" w:color="000000" w:sz="4" w:space="0"/>
              <w:right w:val="single" w:color="000000" w:sz="12"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345" w:hRule="atLeast"/>
        </w:trPr>
        <w:tc>
          <w:tcPr>
            <w:tcW w:w="996" w:type="dxa"/>
            <w:gridSpan w:val="2"/>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一</w:t>
            </w:r>
          </w:p>
        </w:tc>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人工</w:t>
            </w:r>
          </w:p>
        </w:tc>
        <w:tc>
          <w:tcPr>
            <w:tcW w:w="21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345" w:hRule="atLeast"/>
        </w:trPr>
        <w:tc>
          <w:tcPr>
            <w:tcW w:w="996" w:type="dxa"/>
            <w:gridSpan w:val="2"/>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475"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144"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31"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345" w:hRule="atLeast"/>
        </w:trPr>
        <w:tc>
          <w:tcPr>
            <w:tcW w:w="99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475"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144"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31"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345" w:hRule="atLeast"/>
        </w:trPr>
        <w:tc>
          <w:tcPr>
            <w:tcW w:w="99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475"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144"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31"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345" w:hRule="atLeast"/>
        </w:trPr>
        <w:tc>
          <w:tcPr>
            <w:tcW w:w="99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475"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144"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31"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330" w:hRule="atLeast"/>
        </w:trPr>
        <w:tc>
          <w:tcPr>
            <w:tcW w:w="7941" w:type="dxa"/>
            <w:gridSpan w:val="11"/>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人工费小计</w:t>
            </w:r>
          </w:p>
        </w:tc>
        <w:tc>
          <w:tcPr>
            <w:tcW w:w="9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345" w:hRule="atLeast"/>
        </w:trPr>
        <w:tc>
          <w:tcPr>
            <w:tcW w:w="99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二</w:t>
            </w:r>
          </w:p>
        </w:tc>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材料</w:t>
            </w:r>
          </w:p>
        </w:tc>
        <w:tc>
          <w:tcPr>
            <w:tcW w:w="21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345" w:hRule="atLeast"/>
        </w:trPr>
        <w:tc>
          <w:tcPr>
            <w:tcW w:w="99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475"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144"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31"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345" w:hRule="atLeast"/>
        </w:trPr>
        <w:tc>
          <w:tcPr>
            <w:tcW w:w="99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475"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144"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31"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345" w:hRule="atLeast"/>
        </w:trPr>
        <w:tc>
          <w:tcPr>
            <w:tcW w:w="99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475"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144"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31"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345" w:hRule="atLeast"/>
        </w:trPr>
        <w:tc>
          <w:tcPr>
            <w:tcW w:w="99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475"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144"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31"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315" w:hRule="atLeast"/>
        </w:trPr>
        <w:tc>
          <w:tcPr>
            <w:tcW w:w="99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2475"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144"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31"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35" w:type="dxa"/>
          <w:trHeight w:val="345" w:hRule="atLeast"/>
        </w:trPr>
        <w:tc>
          <w:tcPr>
            <w:tcW w:w="99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2475"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144"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31"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345" w:hRule="atLeast"/>
        </w:trPr>
        <w:tc>
          <w:tcPr>
            <w:tcW w:w="7941" w:type="dxa"/>
            <w:gridSpan w:val="11"/>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材料费小计</w:t>
            </w:r>
          </w:p>
        </w:tc>
        <w:tc>
          <w:tcPr>
            <w:tcW w:w="9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330" w:hRule="atLeast"/>
        </w:trPr>
        <w:tc>
          <w:tcPr>
            <w:tcW w:w="99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三</w:t>
            </w:r>
          </w:p>
        </w:tc>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施工机械</w:t>
            </w:r>
          </w:p>
        </w:tc>
        <w:tc>
          <w:tcPr>
            <w:tcW w:w="21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330" w:hRule="atLeast"/>
        </w:trPr>
        <w:tc>
          <w:tcPr>
            <w:tcW w:w="99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475"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144"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31"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330" w:hRule="atLeast"/>
        </w:trPr>
        <w:tc>
          <w:tcPr>
            <w:tcW w:w="99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475"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144"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31"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330" w:hRule="atLeast"/>
        </w:trPr>
        <w:tc>
          <w:tcPr>
            <w:tcW w:w="99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475"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144"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31"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330" w:hRule="atLeast"/>
        </w:trPr>
        <w:tc>
          <w:tcPr>
            <w:tcW w:w="99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475"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144"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31"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345" w:hRule="atLeast"/>
        </w:trPr>
        <w:tc>
          <w:tcPr>
            <w:tcW w:w="7941" w:type="dxa"/>
            <w:gridSpan w:val="11"/>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施工机械费小计</w:t>
            </w:r>
          </w:p>
        </w:tc>
        <w:tc>
          <w:tcPr>
            <w:tcW w:w="945" w:type="dxa"/>
            <w:tcBorders>
              <w:top w:val="single" w:color="000000" w:sz="4" w:space="0"/>
              <w:left w:val="single" w:color="000000" w:sz="4" w:space="0"/>
              <w:bottom w:val="single" w:color="auto"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5" w:type="dxa"/>
          <w:trHeight w:val="450" w:hRule="atLeast"/>
        </w:trPr>
        <w:tc>
          <w:tcPr>
            <w:tcW w:w="7941" w:type="dxa"/>
            <w:gridSpan w:val="11"/>
            <w:tcBorders>
              <w:left w:val="single" w:color="auto" w:sz="4" w:space="0"/>
              <w:bottom w:val="single" w:color="000000" w:sz="12"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合     计</w:t>
            </w:r>
          </w:p>
        </w:tc>
        <w:tc>
          <w:tcPr>
            <w:tcW w:w="945" w:type="dxa"/>
            <w:tcBorders>
              <w:left w:val="single" w:color="000000" w:sz="4" w:space="0"/>
              <w:bottom w:val="single" w:color="000000" w:sz="12"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bl>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lang w:eastAsia="zh-CN"/>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lang w:eastAsia="zh-CN"/>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lang w:eastAsia="zh-CN"/>
        </w:rPr>
      </w:pPr>
    </w:p>
    <w:p>
      <w:pPr>
        <w:pStyle w:val="2"/>
        <w:rPr>
          <w:rFonts w:hint="eastAsia" w:ascii="宋体" w:hAnsi="宋体" w:eastAsia="宋体" w:cs="宋体"/>
          <w:color w:val="auto"/>
          <w:sz w:val="32"/>
          <w:szCs w:val="32"/>
          <w:highlight w:val="none"/>
          <w:lang w:eastAsia="zh-CN"/>
        </w:rPr>
      </w:pPr>
    </w:p>
    <w:p>
      <w:pPr>
        <w:pStyle w:val="2"/>
        <w:rPr>
          <w:rFonts w:hint="eastAsia" w:ascii="宋体" w:hAnsi="宋体" w:eastAsia="宋体" w:cs="宋体"/>
          <w:color w:val="auto"/>
          <w:sz w:val="32"/>
          <w:szCs w:val="32"/>
          <w:highlight w:val="none"/>
          <w:lang w:eastAsia="zh-CN"/>
        </w:rPr>
      </w:pPr>
    </w:p>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96"/>
        <w:gridCol w:w="2247"/>
        <w:gridCol w:w="1458"/>
        <w:gridCol w:w="1245"/>
        <w:gridCol w:w="1080"/>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8906" w:type="dxa"/>
            <w:gridSpan w:val="6"/>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color w:val="auto"/>
                <w:sz w:val="32"/>
                <w:szCs w:val="32"/>
                <w:highlight w:val="none"/>
                <w:lang w:eastAsia="zh-CN"/>
              </w:rPr>
              <w:t>（十一）</w:t>
            </w:r>
            <w:r>
              <w:rPr>
                <w:rFonts w:hint="eastAsia" w:ascii="宋体" w:hAnsi="宋体" w:eastAsia="宋体" w:cs="宋体"/>
                <w:b/>
                <w:i w:val="0"/>
                <w:color w:val="auto"/>
                <w:kern w:val="0"/>
                <w:sz w:val="32"/>
                <w:szCs w:val="32"/>
                <w:highlight w:val="none"/>
                <w:u w:val="none"/>
                <w:lang w:val="en-US" w:eastAsia="zh-CN" w:bidi="ar"/>
              </w:rPr>
              <w:t xml:space="preserve"> 总承包服务费计价表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846" w:type="dxa"/>
            <w:gridSpan w:val="4"/>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default"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工程名称：</w:t>
            </w:r>
          </w:p>
        </w:tc>
        <w:tc>
          <w:tcPr>
            <w:tcW w:w="1080" w:type="dxa"/>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黑体" w:hAnsi="宋体" w:eastAsia="黑体" w:cs="黑体"/>
                <w:i w:val="0"/>
                <w:color w:val="auto"/>
                <w:sz w:val="21"/>
                <w:szCs w:val="21"/>
                <w:highlight w:val="none"/>
                <w:u w:val="none"/>
              </w:rPr>
            </w:pPr>
          </w:p>
        </w:tc>
        <w:tc>
          <w:tcPr>
            <w:tcW w:w="1980" w:type="dxa"/>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第  页 共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896" w:type="dxa"/>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序号</w:t>
            </w:r>
          </w:p>
        </w:tc>
        <w:tc>
          <w:tcPr>
            <w:tcW w:w="2247"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工程名称</w:t>
            </w:r>
          </w:p>
        </w:tc>
        <w:tc>
          <w:tcPr>
            <w:tcW w:w="1458"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项目价值(元)</w:t>
            </w:r>
          </w:p>
        </w:tc>
        <w:tc>
          <w:tcPr>
            <w:tcW w:w="1245"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服务内容</w:t>
            </w:r>
          </w:p>
        </w:tc>
        <w:tc>
          <w:tcPr>
            <w:tcW w:w="1080"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费率(％)</w:t>
            </w:r>
          </w:p>
        </w:tc>
        <w:tc>
          <w:tcPr>
            <w:tcW w:w="1980" w:type="dxa"/>
            <w:tcBorders>
              <w:top w:val="single" w:color="000000" w:sz="12" w:space="0"/>
              <w:left w:val="single" w:color="000000" w:sz="4" w:space="0"/>
              <w:bottom w:val="single" w:color="000000" w:sz="4" w:space="0"/>
              <w:right w:val="single" w:color="000000" w:sz="12"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96"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发包人发包专业工程</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98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96"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发包人供应材料</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98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96"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98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96"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98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96"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98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96"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98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96"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98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96"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98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96"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98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896" w:type="dxa"/>
            <w:tcBorders>
              <w:top w:val="single" w:color="000000" w:sz="4" w:space="0"/>
              <w:left w:val="single" w:color="000000" w:sz="12" w:space="0"/>
              <w:bottom w:val="single" w:color="000000" w:sz="12" w:space="0"/>
              <w:right w:val="single" w:color="000000" w:sz="4"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224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  计</w:t>
            </w:r>
          </w:p>
        </w:tc>
        <w:tc>
          <w:tcPr>
            <w:tcW w:w="1458" w:type="dxa"/>
            <w:tcBorders>
              <w:top w:val="single" w:color="000000" w:sz="4" w:space="0"/>
              <w:left w:val="single" w:color="000000" w:sz="4" w:space="0"/>
              <w:bottom w:val="single" w:color="000000" w:sz="12" w:space="0"/>
              <w:right w:val="single" w:color="000000" w:sz="4"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245" w:type="dxa"/>
            <w:tcBorders>
              <w:top w:val="single" w:color="000000" w:sz="4" w:space="0"/>
              <w:left w:val="single" w:color="000000" w:sz="4" w:space="0"/>
              <w:bottom w:val="single" w:color="000000" w:sz="12" w:space="0"/>
              <w:right w:val="single" w:color="000000" w:sz="4"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080" w:type="dxa"/>
            <w:tcBorders>
              <w:top w:val="single" w:color="000000" w:sz="4" w:space="0"/>
              <w:left w:val="single" w:color="000000" w:sz="4" w:space="0"/>
              <w:bottom w:val="single" w:color="000000" w:sz="12" w:space="0"/>
              <w:right w:val="single" w:color="000000" w:sz="4" w:space="0"/>
            </w:tcBorders>
            <w:noWrap w:val="0"/>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980"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bl>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center"/>
        <w:rPr>
          <w:rFonts w:hint="eastAsia" w:ascii="宋体" w:hAnsi="宋体" w:eastAsia="宋体" w:cs="宋体"/>
          <w:color w:val="auto"/>
          <w:sz w:val="32"/>
          <w:szCs w:val="32"/>
          <w:highlight w:val="none"/>
        </w:rPr>
      </w:pPr>
    </w:p>
    <w:p>
      <w:pPr>
        <w:pageBreakBefore w:val="0"/>
        <w:kinsoku/>
        <w:wordWrap/>
        <w:overflowPunct/>
        <w:topLinePunct w:val="0"/>
        <w:bidi w:val="0"/>
        <w:spacing w:beforeAutospacing="0" w:afterAutospacing="0" w:line="240" w:lineRule="auto"/>
        <w:jc w:val="both"/>
        <w:rPr>
          <w:rFonts w:hint="eastAsia" w:ascii="宋体" w:hAnsi="宋体" w:eastAsia="宋体" w:cs="宋体"/>
          <w:color w:val="auto"/>
          <w:sz w:val="32"/>
          <w:szCs w:val="32"/>
          <w:highlight w:val="none"/>
        </w:rPr>
      </w:pPr>
    </w:p>
    <w:p>
      <w:pPr>
        <w:pStyle w:val="2"/>
        <w:rPr>
          <w:rFonts w:hint="eastAsia"/>
        </w:rPr>
      </w:pPr>
    </w:p>
    <w:bookmarkEnd w:id="368"/>
    <w:bookmarkEnd w:id="369"/>
    <w:bookmarkEnd w:id="370"/>
    <w:bookmarkEnd w:id="371"/>
    <w:bookmarkEnd w:id="372"/>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89"/>
        <w:gridCol w:w="1320"/>
        <w:gridCol w:w="141"/>
        <w:gridCol w:w="3281"/>
        <w:gridCol w:w="938"/>
        <w:gridCol w:w="1302"/>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8901" w:type="dxa"/>
            <w:gridSpan w:val="7"/>
            <w:noWrap w:val="0"/>
            <w:vAlign w:val="center"/>
          </w:tcPr>
          <w:p>
            <w:pPr>
              <w:keepNext w:val="0"/>
              <w:keepLines w:val="0"/>
              <w:pageBreakBefore w:val="0"/>
              <w:suppressLineNumbers w:val="0"/>
              <w:tabs>
                <w:tab w:val="left" w:pos="0"/>
              </w:tabs>
              <w:kinsoku/>
              <w:wordWrap/>
              <w:overflowPunct/>
              <w:topLinePunct w:val="0"/>
              <w:bidi w:val="0"/>
              <w:spacing w:before="0" w:beforeAutospacing="0" w:after="0" w:afterAutospacing="0" w:line="240" w:lineRule="auto"/>
              <w:ind w:left="0" w:right="0"/>
              <w:jc w:val="center"/>
              <w:rPr>
                <w:rFonts w:hint="eastAsia" w:ascii="宋体" w:hAnsi="宋体" w:eastAsia="宋体" w:cs="宋体"/>
                <w:b/>
                <w:i w:val="0"/>
                <w:color w:val="auto"/>
                <w:sz w:val="32"/>
                <w:szCs w:val="32"/>
                <w:highlight w:val="none"/>
                <w:u w:val="none"/>
              </w:rPr>
            </w:pPr>
            <w:r>
              <w:rPr>
                <w:rFonts w:hint="eastAsia" w:ascii="宋体" w:hAnsi="宋体" w:eastAsia="宋体" w:cs="宋体"/>
                <w:color w:val="auto"/>
                <w:sz w:val="32"/>
                <w:szCs w:val="32"/>
                <w:highlight w:val="none"/>
              </w:rPr>
              <w:t>(十</w:t>
            </w:r>
            <w:r>
              <w:rPr>
                <w:rFonts w:hint="eastAsia" w:ascii="宋体" w:hAnsi="宋体" w:eastAsia="宋体" w:cs="宋体"/>
                <w:color w:val="auto"/>
                <w:sz w:val="32"/>
                <w:szCs w:val="32"/>
                <w:highlight w:val="none"/>
                <w:lang w:eastAsia="zh-CN"/>
              </w:rPr>
              <w:t>二</w:t>
            </w:r>
            <w:r>
              <w:rPr>
                <w:rFonts w:hint="eastAsia" w:ascii="宋体" w:hAnsi="宋体" w:eastAsia="宋体" w:cs="宋体"/>
                <w:color w:val="auto"/>
                <w:sz w:val="32"/>
                <w:szCs w:val="32"/>
                <w:highlight w:val="none"/>
              </w:rPr>
              <w:t>)</w:t>
            </w:r>
            <w:r>
              <w:rPr>
                <w:rFonts w:hint="eastAsia" w:ascii="宋体" w:hAnsi="宋体" w:eastAsia="宋体" w:cs="宋体"/>
                <w:b/>
                <w:i w:val="0"/>
                <w:color w:val="auto"/>
                <w:kern w:val="0"/>
                <w:sz w:val="32"/>
                <w:szCs w:val="32"/>
                <w:highlight w:val="none"/>
                <w:u w:val="none"/>
                <w:lang w:val="en-US" w:eastAsia="zh-CN" w:bidi="ar"/>
              </w:rPr>
              <w:t xml:space="preserve"> 税金计价表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2150" w:type="dxa"/>
            <w:gridSpan w:val="3"/>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default"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工程名称：</w:t>
            </w:r>
          </w:p>
        </w:tc>
        <w:tc>
          <w:tcPr>
            <w:tcW w:w="3281" w:type="dxa"/>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黑体" w:hAnsi="宋体" w:eastAsia="黑体" w:cs="黑体"/>
                <w:i w:val="0"/>
                <w:color w:val="auto"/>
                <w:sz w:val="21"/>
                <w:szCs w:val="21"/>
                <w:highlight w:val="none"/>
                <w:u w:val="none"/>
              </w:rPr>
            </w:pPr>
          </w:p>
        </w:tc>
        <w:tc>
          <w:tcPr>
            <w:tcW w:w="3470" w:type="dxa"/>
            <w:gridSpan w:val="3"/>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第  页 共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689" w:type="dxa"/>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序号</w:t>
            </w:r>
          </w:p>
        </w:tc>
        <w:tc>
          <w:tcPr>
            <w:tcW w:w="1320"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项目名称</w:t>
            </w:r>
          </w:p>
        </w:tc>
        <w:tc>
          <w:tcPr>
            <w:tcW w:w="3422" w:type="dxa"/>
            <w:gridSpan w:val="2"/>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计算基础</w:t>
            </w:r>
          </w:p>
        </w:tc>
        <w:tc>
          <w:tcPr>
            <w:tcW w:w="938"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计算基数</w:t>
            </w:r>
          </w:p>
        </w:tc>
        <w:tc>
          <w:tcPr>
            <w:tcW w:w="1302"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费率(％)</w:t>
            </w:r>
          </w:p>
        </w:tc>
        <w:tc>
          <w:tcPr>
            <w:tcW w:w="1230" w:type="dxa"/>
            <w:tcBorders>
              <w:top w:val="single" w:color="000000" w:sz="12" w:space="0"/>
              <w:left w:val="single" w:color="000000" w:sz="4" w:space="0"/>
              <w:bottom w:val="single" w:color="000000" w:sz="4" w:space="0"/>
              <w:right w:val="single" w:color="000000" w:sz="12"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89"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增值税</w:t>
            </w:r>
          </w:p>
        </w:tc>
        <w:tc>
          <w:tcPr>
            <w:tcW w:w="34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分部分项工程费+措施项目费+不可竞争费+其他项目费</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3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89"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4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3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89"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4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3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89"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4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3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89"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4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3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89"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4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3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89"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4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3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89"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4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3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89"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4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3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89"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4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3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89"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4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3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89"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4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3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89"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34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3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7671" w:type="dxa"/>
            <w:gridSpan w:val="6"/>
            <w:tcBorders>
              <w:top w:val="single" w:color="000000" w:sz="4" w:space="0"/>
              <w:left w:val="single" w:color="000000" w:sz="12" w:space="0"/>
              <w:bottom w:val="single" w:color="000000" w:sz="12"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  计</w:t>
            </w:r>
          </w:p>
        </w:tc>
        <w:tc>
          <w:tcPr>
            <w:tcW w:w="1230"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bl>
    <w:p>
      <w:pPr>
        <w:pageBreakBefore w:val="0"/>
        <w:tabs>
          <w:tab w:val="left" w:pos="0"/>
        </w:tabs>
        <w:kinsoku/>
        <w:wordWrap/>
        <w:overflowPunct/>
        <w:topLinePunct w:val="0"/>
        <w:bidi w:val="0"/>
        <w:spacing w:beforeAutospacing="0" w:afterAutospacing="0" w:line="240" w:lineRule="auto"/>
        <w:jc w:val="center"/>
        <w:rPr>
          <w:rFonts w:hint="eastAsia" w:ascii="宋体" w:hAnsi="宋体" w:eastAsia="宋体" w:cs="宋体"/>
          <w:color w:val="auto"/>
          <w:kern w:val="0"/>
          <w:sz w:val="32"/>
          <w:szCs w:val="32"/>
          <w:highlight w:val="none"/>
          <w:lang w:eastAsia="zh-CN"/>
        </w:rPr>
      </w:pPr>
    </w:p>
    <w:p>
      <w:pPr>
        <w:pageBreakBefore w:val="0"/>
        <w:tabs>
          <w:tab w:val="left" w:pos="0"/>
        </w:tabs>
        <w:kinsoku/>
        <w:wordWrap/>
        <w:overflowPunct/>
        <w:topLinePunct w:val="0"/>
        <w:bidi w:val="0"/>
        <w:spacing w:beforeAutospacing="0" w:afterAutospacing="0" w:line="240" w:lineRule="auto"/>
        <w:jc w:val="center"/>
        <w:rPr>
          <w:rFonts w:hint="eastAsia" w:ascii="宋体" w:hAnsi="宋体" w:eastAsia="宋体" w:cs="宋体"/>
          <w:color w:val="auto"/>
          <w:kern w:val="0"/>
          <w:sz w:val="32"/>
          <w:szCs w:val="32"/>
          <w:highlight w:val="none"/>
          <w:lang w:eastAsia="zh-CN"/>
        </w:rPr>
      </w:pPr>
    </w:p>
    <w:p>
      <w:pPr>
        <w:pageBreakBefore w:val="0"/>
        <w:tabs>
          <w:tab w:val="left" w:pos="0"/>
        </w:tabs>
        <w:kinsoku/>
        <w:wordWrap/>
        <w:overflowPunct/>
        <w:topLinePunct w:val="0"/>
        <w:bidi w:val="0"/>
        <w:spacing w:beforeAutospacing="0" w:afterAutospacing="0" w:line="240" w:lineRule="auto"/>
        <w:jc w:val="center"/>
        <w:rPr>
          <w:rFonts w:hint="eastAsia" w:ascii="宋体" w:hAnsi="宋体" w:eastAsia="宋体" w:cs="宋体"/>
          <w:color w:val="auto"/>
          <w:kern w:val="0"/>
          <w:sz w:val="32"/>
          <w:szCs w:val="32"/>
          <w:highlight w:val="none"/>
          <w:lang w:eastAsia="zh-CN"/>
        </w:rPr>
      </w:pPr>
    </w:p>
    <w:p>
      <w:pPr>
        <w:pageBreakBefore w:val="0"/>
        <w:tabs>
          <w:tab w:val="left" w:pos="0"/>
        </w:tabs>
        <w:kinsoku/>
        <w:wordWrap/>
        <w:overflowPunct/>
        <w:topLinePunct w:val="0"/>
        <w:bidi w:val="0"/>
        <w:spacing w:beforeAutospacing="0" w:afterAutospacing="0" w:line="240" w:lineRule="auto"/>
        <w:jc w:val="center"/>
        <w:rPr>
          <w:rFonts w:hint="eastAsia" w:ascii="宋体" w:hAnsi="宋体" w:eastAsia="宋体" w:cs="宋体"/>
          <w:color w:val="auto"/>
          <w:kern w:val="0"/>
          <w:sz w:val="32"/>
          <w:szCs w:val="32"/>
          <w:highlight w:val="none"/>
          <w:lang w:eastAsia="zh-CN"/>
        </w:rPr>
      </w:pPr>
    </w:p>
    <w:p>
      <w:pPr>
        <w:pageBreakBefore w:val="0"/>
        <w:tabs>
          <w:tab w:val="left" w:pos="0"/>
        </w:tabs>
        <w:kinsoku/>
        <w:wordWrap/>
        <w:overflowPunct/>
        <w:topLinePunct w:val="0"/>
        <w:bidi w:val="0"/>
        <w:spacing w:beforeAutospacing="0" w:afterAutospacing="0" w:line="240" w:lineRule="auto"/>
        <w:jc w:val="center"/>
        <w:rPr>
          <w:rFonts w:hint="eastAsia" w:ascii="宋体" w:hAnsi="宋体" w:eastAsia="宋体" w:cs="宋体"/>
          <w:color w:val="auto"/>
          <w:kern w:val="0"/>
          <w:sz w:val="32"/>
          <w:szCs w:val="32"/>
          <w:highlight w:val="none"/>
          <w:lang w:eastAsia="zh-CN"/>
        </w:rPr>
      </w:pPr>
    </w:p>
    <w:p>
      <w:pPr>
        <w:pageBreakBefore w:val="0"/>
        <w:tabs>
          <w:tab w:val="left" w:pos="0"/>
        </w:tabs>
        <w:kinsoku/>
        <w:wordWrap/>
        <w:overflowPunct/>
        <w:topLinePunct w:val="0"/>
        <w:bidi w:val="0"/>
        <w:spacing w:beforeAutospacing="0" w:afterAutospacing="0" w:line="240" w:lineRule="auto"/>
        <w:jc w:val="center"/>
        <w:rPr>
          <w:rFonts w:hint="eastAsia" w:ascii="宋体" w:hAnsi="宋体" w:eastAsia="宋体" w:cs="宋体"/>
          <w:color w:val="auto"/>
          <w:kern w:val="0"/>
          <w:sz w:val="32"/>
          <w:szCs w:val="32"/>
          <w:highlight w:val="none"/>
          <w:lang w:eastAsia="zh-CN"/>
        </w:rPr>
      </w:pPr>
    </w:p>
    <w:p>
      <w:pPr>
        <w:pageBreakBefore w:val="0"/>
        <w:tabs>
          <w:tab w:val="left" w:pos="0"/>
        </w:tabs>
        <w:kinsoku/>
        <w:wordWrap/>
        <w:overflowPunct/>
        <w:topLinePunct w:val="0"/>
        <w:bidi w:val="0"/>
        <w:spacing w:beforeAutospacing="0" w:afterAutospacing="0" w:line="240" w:lineRule="auto"/>
        <w:jc w:val="both"/>
        <w:rPr>
          <w:rFonts w:hint="eastAsia" w:ascii="宋体" w:hAnsi="宋体" w:eastAsia="宋体" w:cs="宋体"/>
          <w:color w:val="auto"/>
          <w:kern w:val="0"/>
          <w:sz w:val="32"/>
          <w:szCs w:val="32"/>
          <w:highlight w:val="none"/>
          <w:lang w:eastAsia="zh-CN"/>
        </w:rPr>
      </w:pPr>
    </w:p>
    <w:p>
      <w:pPr>
        <w:pageBreakBefore w:val="0"/>
        <w:tabs>
          <w:tab w:val="left" w:pos="0"/>
        </w:tabs>
        <w:kinsoku/>
        <w:wordWrap/>
        <w:overflowPunct/>
        <w:topLinePunct w:val="0"/>
        <w:bidi w:val="0"/>
        <w:spacing w:beforeAutospacing="0" w:afterAutospacing="0" w:line="240" w:lineRule="auto"/>
        <w:jc w:val="center"/>
        <w:rPr>
          <w:rFonts w:hint="eastAsia" w:ascii="宋体" w:hAnsi="宋体" w:eastAsia="宋体" w:cs="宋体"/>
          <w:color w:val="auto"/>
          <w:kern w:val="0"/>
          <w:sz w:val="32"/>
          <w:szCs w:val="32"/>
          <w:highlight w:val="none"/>
          <w:lang w:eastAsia="zh-CN"/>
        </w:rPr>
      </w:pPr>
    </w:p>
    <w:p>
      <w:pPr>
        <w:pStyle w:val="2"/>
        <w:rPr>
          <w:rFonts w:hint="eastAsia"/>
          <w:lang w:eastAsia="zh-CN"/>
        </w:rPr>
      </w:pPr>
    </w:p>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55"/>
        <w:gridCol w:w="4152"/>
        <w:gridCol w:w="1155"/>
        <w:gridCol w:w="1003"/>
        <w:gridCol w:w="121"/>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8846" w:type="dxa"/>
            <w:gridSpan w:val="6"/>
            <w:noWrap w:val="0"/>
            <w:vAlign w:val="center"/>
          </w:tcPr>
          <w:p>
            <w:pPr>
              <w:pStyle w:val="6"/>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b/>
                <w:i w:val="0"/>
                <w:color w:val="auto"/>
                <w:sz w:val="32"/>
                <w:szCs w:val="32"/>
                <w:highlight w:val="none"/>
                <w:u w:val="none"/>
              </w:rPr>
            </w:pPr>
            <w:r>
              <w:rPr>
                <w:rFonts w:hint="eastAsia" w:ascii="宋体" w:hAnsi="宋体" w:eastAsia="宋体" w:cs="宋体"/>
                <w:color w:val="auto"/>
                <w:kern w:val="0"/>
                <w:sz w:val="32"/>
                <w:szCs w:val="32"/>
                <w:highlight w:val="none"/>
                <w:lang w:eastAsia="zh-CN"/>
              </w:rPr>
              <w:t>（十三）</w:t>
            </w:r>
            <w:r>
              <w:rPr>
                <w:rFonts w:hint="eastAsia" w:ascii="宋体" w:hAnsi="宋体" w:eastAsia="宋体" w:cs="宋体"/>
                <w:b/>
                <w:i w:val="0"/>
                <w:color w:val="auto"/>
                <w:kern w:val="0"/>
                <w:sz w:val="32"/>
                <w:szCs w:val="32"/>
                <w:highlight w:val="none"/>
                <w:u w:val="none"/>
                <w:lang w:val="en-US" w:eastAsia="zh-CN" w:bidi="ar"/>
              </w:rPr>
              <w:t xml:space="preserve"> 材料（工程设备）暂估单价一览表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462" w:type="dxa"/>
            <w:gridSpan w:val="3"/>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default"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工程名称：</w:t>
            </w:r>
          </w:p>
        </w:tc>
        <w:tc>
          <w:tcPr>
            <w:tcW w:w="1003" w:type="dxa"/>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黑体" w:hAnsi="宋体" w:eastAsia="黑体" w:cs="黑体"/>
                <w:i w:val="0"/>
                <w:color w:val="auto"/>
                <w:sz w:val="21"/>
                <w:szCs w:val="21"/>
                <w:highlight w:val="none"/>
                <w:u w:val="none"/>
              </w:rPr>
            </w:pPr>
          </w:p>
        </w:tc>
        <w:tc>
          <w:tcPr>
            <w:tcW w:w="1381" w:type="dxa"/>
            <w:gridSpan w:val="2"/>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第 页 共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155" w:type="dxa"/>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序号</w:t>
            </w:r>
          </w:p>
        </w:tc>
        <w:tc>
          <w:tcPr>
            <w:tcW w:w="4152"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材料(工程设备)名称、规格、型号</w:t>
            </w:r>
          </w:p>
        </w:tc>
        <w:tc>
          <w:tcPr>
            <w:tcW w:w="1155"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计量单位</w:t>
            </w:r>
          </w:p>
        </w:tc>
        <w:tc>
          <w:tcPr>
            <w:tcW w:w="1124" w:type="dxa"/>
            <w:gridSpan w:val="2"/>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数量</w:t>
            </w:r>
          </w:p>
        </w:tc>
        <w:tc>
          <w:tcPr>
            <w:tcW w:w="1260" w:type="dxa"/>
            <w:tcBorders>
              <w:top w:val="single" w:color="000000" w:sz="12" w:space="0"/>
              <w:left w:val="single" w:color="000000" w:sz="4" w:space="0"/>
              <w:bottom w:val="single" w:color="000000" w:sz="4" w:space="0"/>
              <w:right w:val="single" w:color="000000" w:sz="12"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15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4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2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15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4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2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15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4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2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15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4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2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15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4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2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15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4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2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15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4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2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15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4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2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15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4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2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15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4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2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6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15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4152"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1155"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124" w:type="dxa"/>
            <w:gridSpan w:val="2"/>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260"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r>
    </w:tbl>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rPr>
      </w:pPr>
    </w:p>
    <w:p>
      <w:pPr>
        <w:pStyle w:val="6"/>
        <w:pageBreakBefore w:val="0"/>
        <w:kinsoku/>
        <w:wordWrap/>
        <w:overflowPunct/>
        <w:topLinePunct w:val="0"/>
        <w:bidi w:val="0"/>
        <w:spacing w:beforeAutospacing="0" w:afterAutospacing="0" w:line="240" w:lineRule="auto"/>
        <w:ind w:firstLine="0" w:firstLineChars="0"/>
        <w:jc w:val="both"/>
        <w:rPr>
          <w:rFonts w:hint="eastAsia" w:ascii="宋体" w:hAnsi="宋体" w:eastAsia="宋体" w:cs="宋体"/>
          <w:smallCaps/>
          <w:color w:val="auto"/>
          <w:sz w:val="32"/>
          <w:szCs w:val="32"/>
          <w:highlight w:val="none"/>
        </w:rPr>
      </w:pPr>
    </w:p>
    <w:p>
      <w:pPr>
        <w:pStyle w:val="6"/>
        <w:pageBreakBefore w:val="0"/>
        <w:kinsoku/>
        <w:wordWrap/>
        <w:overflowPunct/>
        <w:topLinePunct w:val="0"/>
        <w:bidi w:val="0"/>
        <w:spacing w:beforeAutospacing="0" w:afterAutospacing="0" w:line="240" w:lineRule="auto"/>
        <w:ind w:firstLine="0" w:firstLineChars="0"/>
        <w:jc w:val="both"/>
        <w:rPr>
          <w:rFonts w:hint="eastAsia" w:ascii="宋体" w:hAnsi="宋体" w:eastAsia="宋体" w:cs="宋体"/>
          <w:smallCaps/>
          <w:color w:val="auto"/>
          <w:sz w:val="32"/>
          <w:szCs w:val="32"/>
          <w:highlight w:val="none"/>
        </w:rPr>
      </w:pPr>
    </w:p>
    <w:p>
      <w:pPr>
        <w:pStyle w:val="6"/>
        <w:pageBreakBefore w:val="0"/>
        <w:kinsoku/>
        <w:wordWrap/>
        <w:overflowPunct/>
        <w:topLinePunct w:val="0"/>
        <w:bidi w:val="0"/>
        <w:spacing w:beforeAutospacing="0" w:afterAutospacing="0" w:line="240" w:lineRule="auto"/>
        <w:ind w:firstLine="0" w:firstLineChars="0"/>
        <w:jc w:val="both"/>
        <w:rPr>
          <w:rFonts w:hint="eastAsia" w:ascii="宋体" w:hAnsi="宋体" w:eastAsia="宋体" w:cs="宋体"/>
          <w:smallCaps/>
          <w:color w:val="auto"/>
          <w:sz w:val="32"/>
          <w:szCs w:val="32"/>
          <w:highlight w:val="none"/>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rPr>
      </w:pPr>
    </w:p>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31"/>
        <w:gridCol w:w="2562"/>
        <w:gridCol w:w="731"/>
        <w:gridCol w:w="687"/>
        <w:gridCol w:w="980"/>
        <w:gridCol w:w="1335"/>
        <w:gridCol w:w="1035"/>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8916" w:type="dxa"/>
            <w:gridSpan w:val="8"/>
            <w:noWrap w:val="0"/>
            <w:vAlign w:val="center"/>
          </w:tcPr>
          <w:p>
            <w:pPr>
              <w:pStyle w:val="6"/>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b/>
                <w:i w:val="0"/>
                <w:color w:val="auto"/>
                <w:sz w:val="32"/>
                <w:szCs w:val="32"/>
                <w:highlight w:val="none"/>
                <w:u w:val="none"/>
              </w:rPr>
            </w:pPr>
            <w:r>
              <w:rPr>
                <w:rFonts w:hint="eastAsia" w:ascii="宋体" w:hAnsi="宋体" w:eastAsia="宋体" w:cs="宋体"/>
                <w:smallCaps/>
                <w:color w:val="auto"/>
                <w:sz w:val="32"/>
                <w:szCs w:val="32"/>
                <w:highlight w:val="none"/>
              </w:rPr>
              <w:t>(十</w:t>
            </w:r>
            <w:r>
              <w:rPr>
                <w:rFonts w:hint="eastAsia" w:ascii="宋体" w:hAnsi="宋体" w:eastAsia="宋体" w:cs="宋体"/>
                <w:smallCaps/>
                <w:color w:val="auto"/>
                <w:sz w:val="32"/>
                <w:szCs w:val="32"/>
                <w:highlight w:val="none"/>
                <w:lang w:eastAsia="zh-CN"/>
              </w:rPr>
              <w:t>四</w:t>
            </w:r>
            <w:r>
              <w:rPr>
                <w:rFonts w:hint="eastAsia" w:ascii="宋体" w:hAnsi="宋体" w:eastAsia="宋体" w:cs="宋体"/>
                <w:smallCaps/>
                <w:color w:val="auto"/>
                <w:sz w:val="32"/>
                <w:szCs w:val="32"/>
                <w:highlight w:val="none"/>
              </w:rPr>
              <w:t>)</w:t>
            </w:r>
            <w:r>
              <w:rPr>
                <w:rFonts w:hint="eastAsia" w:ascii="宋体" w:hAnsi="宋体" w:eastAsia="宋体" w:cs="宋体"/>
                <w:smallCaps/>
                <w:color w:val="auto"/>
                <w:sz w:val="32"/>
                <w:szCs w:val="32"/>
                <w:highlight w:val="none"/>
                <w:lang w:val="en-US" w:eastAsia="zh-CN"/>
              </w:rPr>
              <w:t xml:space="preserve">  </w:t>
            </w:r>
            <w:r>
              <w:rPr>
                <w:rFonts w:hint="eastAsia" w:ascii="宋体" w:hAnsi="宋体" w:eastAsia="宋体" w:cs="宋体"/>
                <w:b/>
                <w:i w:val="0"/>
                <w:color w:val="auto"/>
                <w:kern w:val="0"/>
                <w:sz w:val="32"/>
                <w:szCs w:val="32"/>
                <w:highlight w:val="none"/>
                <w:u w:val="none"/>
                <w:lang w:val="en-US" w:eastAsia="zh-CN" w:bidi="ar"/>
              </w:rPr>
              <w:t>发包人提供材料（工程设备）一览表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4711" w:type="dxa"/>
            <w:gridSpan w:val="4"/>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default"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工程名称：</w:t>
            </w:r>
          </w:p>
        </w:tc>
        <w:tc>
          <w:tcPr>
            <w:tcW w:w="980" w:type="dxa"/>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黑体" w:hAnsi="宋体" w:eastAsia="黑体" w:cs="黑体"/>
                <w:i w:val="0"/>
                <w:color w:val="auto"/>
                <w:sz w:val="21"/>
                <w:szCs w:val="21"/>
                <w:highlight w:val="none"/>
                <w:u w:val="none"/>
              </w:rPr>
            </w:pPr>
          </w:p>
        </w:tc>
        <w:tc>
          <w:tcPr>
            <w:tcW w:w="3225" w:type="dxa"/>
            <w:gridSpan w:val="3"/>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第 页 共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731" w:type="dxa"/>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序号</w:t>
            </w:r>
          </w:p>
        </w:tc>
        <w:tc>
          <w:tcPr>
            <w:tcW w:w="2562"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材料(工程设备)名称、规格、型号</w:t>
            </w:r>
          </w:p>
        </w:tc>
        <w:tc>
          <w:tcPr>
            <w:tcW w:w="731"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计量单位</w:t>
            </w:r>
          </w:p>
        </w:tc>
        <w:tc>
          <w:tcPr>
            <w:tcW w:w="1667" w:type="dxa"/>
            <w:gridSpan w:val="2"/>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数量</w:t>
            </w:r>
          </w:p>
        </w:tc>
        <w:tc>
          <w:tcPr>
            <w:tcW w:w="1335"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单价(元)</w:t>
            </w:r>
          </w:p>
        </w:tc>
        <w:tc>
          <w:tcPr>
            <w:tcW w:w="1035"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合价(元)</w:t>
            </w:r>
          </w:p>
        </w:tc>
        <w:tc>
          <w:tcPr>
            <w:tcW w:w="855" w:type="dxa"/>
            <w:tcBorders>
              <w:top w:val="single" w:color="000000" w:sz="12" w:space="0"/>
              <w:left w:val="single" w:color="000000" w:sz="4" w:space="0"/>
              <w:bottom w:val="single" w:color="000000" w:sz="4" w:space="0"/>
              <w:right w:val="single" w:color="000000" w:sz="12"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731"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6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31"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6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731"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6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731"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6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31"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6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731"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6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31"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6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731"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6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731"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6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731"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6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31"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562"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31"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1667" w:type="dxa"/>
            <w:gridSpan w:val="2"/>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335"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035"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855"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bl>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lang w:val="en-US" w:eastAsia="zh-CN"/>
        </w:rPr>
      </w:pPr>
      <w:r>
        <w:rPr>
          <w:rFonts w:hint="eastAsia" w:ascii="宋体" w:hAnsi="宋体" w:eastAsia="宋体" w:cs="宋体"/>
          <w:smallCaps/>
          <w:color w:val="auto"/>
          <w:sz w:val="32"/>
          <w:szCs w:val="32"/>
          <w:highlight w:val="none"/>
          <w:lang w:val="en-US" w:eastAsia="zh-CN"/>
        </w:rPr>
        <w:t xml:space="preserve">    </w:t>
      </w: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lang w:val="en-US" w:eastAsia="zh-CN"/>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lang w:val="en-US" w:eastAsia="zh-CN"/>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lang w:val="en-US" w:eastAsia="zh-CN"/>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lang w:val="en-US" w:eastAsia="zh-CN"/>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lang w:val="en-US" w:eastAsia="zh-CN"/>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lang w:val="en-US" w:eastAsia="zh-CN"/>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lang w:val="en-US" w:eastAsia="zh-CN"/>
        </w:rPr>
      </w:pPr>
    </w:p>
    <w:p>
      <w:pPr>
        <w:pStyle w:val="6"/>
        <w:pageBreakBefore w:val="0"/>
        <w:kinsoku/>
        <w:wordWrap/>
        <w:overflowPunct/>
        <w:topLinePunct w:val="0"/>
        <w:bidi w:val="0"/>
        <w:spacing w:beforeAutospacing="0" w:afterAutospacing="0" w:line="240" w:lineRule="auto"/>
        <w:ind w:firstLine="0" w:firstLineChars="0"/>
        <w:jc w:val="both"/>
        <w:rPr>
          <w:rFonts w:hint="eastAsia" w:ascii="宋体" w:hAnsi="宋体" w:eastAsia="宋体" w:cs="宋体"/>
          <w:smallCaps/>
          <w:color w:val="auto"/>
          <w:sz w:val="32"/>
          <w:szCs w:val="32"/>
          <w:highlight w:val="none"/>
          <w:lang w:val="en-US" w:eastAsia="zh-CN"/>
        </w:rPr>
      </w:pPr>
    </w:p>
    <w:p>
      <w:pPr>
        <w:pStyle w:val="6"/>
        <w:pageBreakBefore w:val="0"/>
        <w:kinsoku/>
        <w:wordWrap/>
        <w:overflowPunct/>
        <w:topLinePunct w:val="0"/>
        <w:bidi w:val="0"/>
        <w:spacing w:beforeAutospacing="0" w:afterAutospacing="0" w:line="240" w:lineRule="auto"/>
        <w:ind w:firstLine="0" w:firstLineChars="0"/>
        <w:jc w:val="both"/>
        <w:rPr>
          <w:rFonts w:hint="eastAsia" w:ascii="宋体" w:hAnsi="宋体" w:eastAsia="宋体" w:cs="宋体"/>
          <w:smallCaps/>
          <w:color w:val="auto"/>
          <w:sz w:val="32"/>
          <w:szCs w:val="32"/>
          <w:highlight w:val="none"/>
          <w:lang w:val="en-US" w:eastAsia="zh-CN"/>
        </w:rPr>
      </w:pPr>
    </w:p>
    <w:p>
      <w:pPr>
        <w:pStyle w:val="6"/>
        <w:pageBreakBefore w:val="0"/>
        <w:kinsoku/>
        <w:wordWrap/>
        <w:overflowPunct/>
        <w:topLinePunct w:val="0"/>
        <w:bidi w:val="0"/>
        <w:spacing w:beforeAutospacing="0" w:afterAutospacing="0" w:line="240" w:lineRule="auto"/>
        <w:ind w:firstLine="0" w:firstLineChars="0"/>
        <w:jc w:val="both"/>
        <w:rPr>
          <w:rFonts w:hint="eastAsia" w:ascii="宋体" w:hAnsi="宋体" w:eastAsia="宋体" w:cs="宋体"/>
          <w:smallCaps/>
          <w:color w:val="auto"/>
          <w:sz w:val="32"/>
          <w:szCs w:val="32"/>
          <w:highlight w:val="none"/>
          <w:lang w:val="en-US" w:eastAsia="zh-CN"/>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lang w:val="en-US" w:eastAsia="zh-CN"/>
        </w:rPr>
      </w:pPr>
    </w:p>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12"/>
        <w:gridCol w:w="2001"/>
        <w:gridCol w:w="701"/>
        <w:gridCol w:w="996"/>
        <w:gridCol w:w="577"/>
        <w:gridCol w:w="1034"/>
        <w:gridCol w:w="1125"/>
        <w:gridCol w:w="1110"/>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8891" w:type="dxa"/>
            <w:gridSpan w:val="9"/>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smallCaps/>
                <w:color w:val="auto"/>
                <w:sz w:val="32"/>
                <w:szCs w:val="32"/>
                <w:highlight w:val="none"/>
              </w:rPr>
              <w:t>(十</w:t>
            </w:r>
            <w:r>
              <w:rPr>
                <w:rFonts w:hint="eastAsia" w:ascii="宋体" w:hAnsi="宋体" w:eastAsia="宋体" w:cs="宋体"/>
                <w:smallCaps/>
                <w:color w:val="auto"/>
                <w:sz w:val="32"/>
                <w:szCs w:val="32"/>
                <w:highlight w:val="none"/>
                <w:lang w:eastAsia="zh-CN"/>
              </w:rPr>
              <w:t>五</w:t>
            </w:r>
            <w:r>
              <w:rPr>
                <w:rFonts w:hint="eastAsia" w:ascii="宋体" w:hAnsi="宋体" w:eastAsia="宋体" w:cs="宋体"/>
                <w:smallCaps/>
                <w:color w:val="auto"/>
                <w:sz w:val="32"/>
                <w:szCs w:val="32"/>
                <w:highlight w:val="none"/>
              </w:rPr>
              <w:t>)</w:t>
            </w:r>
            <w:r>
              <w:rPr>
                <w:rFonts w:hint="eastAsia" w:ascii="宋体" w:hAnsi="宋体" w:eastAsia="宋体" w:cs="宋体"/>
                <w:smallCaps/>
                <w:color w:val="auto"/>
                <w:sz w:val="32"/>
                <w:szCs w:val="32"/>
                <w:highlight w:val="none"/>
                <w:lang w:val="en-US" w:eastAsia="zh-CN"/>
              </w:rPr>
              <w:t xml:space="preserve"> </w:t>
            </w:r>
            <w:r>
              <w:rPr>
                <w:rFonts w:hint="eastAsia" w:ascii="宋体" w:hAnsi="宋体" w:eastAsia="宋体" w:cs="宋体"/>
                <w:b/>
                <w:i w:val="0"/>
                <w:color w:val="auto"/>
                <w:kern w:val="0"/>
                <w:sz w:val="32"/>
                <w:szCs w:val="32"/>
                <w:highlight w:val="none"/>
                <w:u w:val="none"/>
                <w:lang w:val="en-US" w:eastAsia="zh-CN" w:bidi="ar"/>
              </w:rPr>
              <w:t xml:space="preserve"> 承包人提供材料（工程设备）一览表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4887" w:type="dxa"/>
            <w:gridSpan w:val="5"/>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default"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工程名称：</w:t>
            </w:r>
          </w:p>
        </w:tc>
        <w:tc>
          <w:tcPr>
            <w:tcW w:w="1034" w:type="dxa"/>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center"/>
              <w:rPr>
                <w:rFonts w:hint="eastAsia" w:ascii="黑体" w:hAnsi="宋体" w:eastAsia="黑体" w:cs="黑体"/>
                <w:i w:val="0"/>
                <w:color w:val="auto"/>
                <w:sz w:val="21"/>
                <w:szCs w:val="21"/>
                <w:highlight w:val="none"/>
                <w:u w:val="none"/>
              </w:rPr>
            </w:pPr>
          </w:p>
        </w:tc>
        <w:tc>
          <w:tcPr>
            <w:tcW w:w="2970" w:type="dxa"/>
            <w:gridSpan w:val="3"/>
            <w:tcBorders>
              <w:bottom w:val="single" w:color="000000" w:sz="12"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第 页 共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12" w:type="dxa"/>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序号</w:t>
            </w:r>
          </w:p>
        </w:tc>
        <w:tc>
          <w:tcPr>
            <w:tcW w:w="2001"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材料（工程设备）名称、规格、型号</w:t>
            </w:r>
          </w:p>
        </w:tc>
        <w:tc>
          <w:tcPr>
            <w:tcW w:w="701"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计量单位</w:t>
            </w:r>
          </w:p>
        </w:tc>
        <w:tc>
          <w:tcPr>
            <w:tcW w:w="996"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数量</w:t>
            </w:r>
          </w:p>
        </w:tc>
        <w:tc>
          <w:tcPr>
            <w:tcW w:w="1611" w:type="dxa"/>
            <w:gridSpan w:val="2"/>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风险系数(%)</w:t>
            </w:r>
          </w:p>
        </w:tc>
        <w:tc>
          <w:tcPr>
            <w:tcW w:w="1125"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基准单价</w:t>
            </w:r>
          </w:p>
        </w:tc>
        <w:tc>
          <w:tcPr>
            <w:tcW w:w="1110"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投标单价</w:t>
            </w:r>
          </w:p>
        </w:tc>
        <w:tc>
          <w:tcPr>
            <w:tcW w:w="735" w:type="dxa"/>
            <w:tcBorders>
              <w:top w:val="single" w:color="000000" w:sz="12" w:space="0"/>
              <w:left w:val="single" w:color="000000" w:sz="4" w:space="0"/>
              <w:bottom w:val="single" w:color="000000" w:sz="4" w:space="0"/>
              <w:right w:val="single" w:color="000000" w:sz="12"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黑体" w:hAnsi="宋体" w:eastAsia="黑体" w:cs="黑体"/>
                <w:i w:val="0"/>
                <w:color w:val="auto"/>
                <w:sz w:val="21"/>
                <w:szCs w:val="21"/>
                <w:highlight w:val="none"/>
                <w:u w:val="none"/>
              </w:rPr>
            </w:pPr>
            <w:r>
              <w:rPr>
                <w:rFonts w:hint="eastAsia" w:ascii="黑体" w:hAnsi="宋体" w:eastAsia="黑体" w:cs="黑体"/>
                <w:i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1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6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1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6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1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6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1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6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1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6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1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6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1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6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1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6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1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6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1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6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1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6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1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6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12"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2001"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c>
          <w:tcPr>
            <w:tcW w:w="701"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color w:val="auto"/>
                <w:sz w:val="21"/>
                <w:szCs w:val="21"/>
                <w:highlight w:val="none"/>
                <w:u w:val="none"/>
              </w:rPr>
            </w:pPr>
          </w:p>
        </w:tc>
        <w:tc>
          <w:tcPr>
            <w:tcW w:w="996"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611" w:type="dxa"/>
            <w:gridSpan w:val="2"/>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25"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1110"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right"/>
              <w:rPr>
                <w:rFonts w:hint="eastAsia" w:ascii="宋体" w:hAnsi="宋体" w:eastAsia="宋体" w:cs="宋体"/>
                <w:i w:val="0"/>
                <w:color w:val="auto"/>
                <w:sz w:val="21"/>
                <w:szCs w:val="21"/>
                <w:highlight w:val="none"/>
                <w:u w:val="none"/>
              </w:rPr>
            </w:pPr>
          </w:p>
        </w:tc>
        <w:tc>
          <w:tcPr>
            <w:tcW w:w="735"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left"/>
              <w:rPr>
                <w:rFonts w:hint="eastAsia" w:ascii="宋体" w:hAnsi="宋体" w:eastAsia="宋体" w:cs="宋体"/>
                <w:i w:val="0"/>
                <w:color w:val="auto"/>
                <w:sz w:val="21"/>
                <w:szCs w:val="21"/>
                <w:highlight w:val="none"/>
                <w:u w:val="none"/>
              </w:rPr>
            </w:pPr>
          </w:p>
        </w:tc>
      </w:tr>
    </w:tbl>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rPr>
      </w:pPr>
    </w:p>
    <w:p>
      <w:pPr>
        <w:pStyle w:val="6"/>
        <w:pageBreakBefore w:val="0"/>
        <w:kinsoku/>
        <w:wordWrap/>
        <w:overflowPunct/>
        <w:topLinePunct w:val="0"/>
        <w:bidi w:val="0"/>
        <w:spacing w:beforeAutospacing="0" w:afterAutospacing="0" w:line="240" w:lineRule="auto"/>
        <w:ind w:firstLine="0" w:firstLineChars="0"/>
        <w:jc w:val="both"/>
        <w:rPr>
          <w:rFonts w:hint="eastAsia" w:ascii="宋体" w:hAnsi="宋体" w:eastAsia="宋体" w:cs="宋体"/>
          <w:smallCaps/>
          <w:color w:val="auto"/>
          <w:sz w:val="32"/>
          <w:szCs w:val="32"/>
          <w:highlight w:val="none"/>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smallCaps/>
          <w:color w:val="auto"/>
          <w:sz w:val="32"/>
          <w:szCs w:val="32"/>
          <w:highlight w:val="none"/>
        </w:rPr>
      </w:pPr>
    </w:p>
    <w:p>
      <w:pPr>
        <w:pStyle w:val="6"/>
        <w:pageBreakBefore w:val="0"/>
        <w:kinsoku/>
        <w:wordWrap/>
        <w:overflowPunct/>
        <w:topLinePunct w:val="0"/>
        <w:bidi w:val="0"/>
        <w:spacing w:beforeAutospacing="0" w:afterAutospacing="0" w:line="240" w:lineRule="auto"/>
        <w:ind w:firstLine="0" w:firstLineChars="0"/>
        <w:jc w:val="center"/>
        <w:rPr>
          <w:rFonts w:hint="eastAsia" w:ascii="宋体" w:hAnsi="宋体" w:eastAsia="宋体" w:cs="宋体"/>
          <w:color w:val="auto"/>
          <w:sz w:val="32"/>
          <w:szCs w:val="32"/>
          <w:highlight w:val="none"/>
        </w:rPr>
      </w:pPr>
      <w:r>
        <w:rPr>
          <w:rFonts w:hint="eastAsia" w:ascii="宋体" w:hAnsi="宋体" w:eastAsia="宋体" w:cs="宋体"/>
          <w:smallCaps/>
          <w:color w:val="auto"/>
          <w:sz w:val="32"/>
          <w:szCs w:val="32"/>
          <w:highlight w:val="none"/>
        </w:rPr>
        <w:t>(十</w:t>
      </w:r>
      <w:r>
        <w:rPr>
          <w:rFonts w:hint="eastAsia" w:ascii="宋体" w:hAnsi="宋体" w:eastAsia="宋体" w:cs="宋体"/>
          <w:smallCaps/>
          <w:color w:val="auto"/>
          <w:sz w:val="32"/>
          <w:szCs w:val="32"/>
          <w:highlight w:val="none"/>
          <w:lang w:eastAsia="zh-CN"/>
        </w:rPr>
        <w:t>六</w:t>
      </w:r>
      <w:r>
        <w:rPr>
          <w:rFonts w:hint="eastAsia" w:ascii="宋体" w:hAnsi="宋体" w:eastAsia="宋体" w:cs="宋体"/>
          <w:smallCaps/>
          <w:color w:val="auto"/>
          <w:sz w:val="32"/>
          <w:szCs w:val="32"/>
          <w:highlight w:val="none"/>
        </w:rPr>
        <w:t>)</w:t>
      </w:r>
      <w:r>
        <w:rPr>
          <w:rFonts w:hint="eastAsia" w:hAnsi="宋体" w:cs="宋体"/>
          <w:b/>
          <w:bCs/>
          <w:smallCaps/>
          <w:color w:val="auto"/>
          <w:sz w:val="32"/>
          <w:szCs w:val="32"/>
          <w:highlight w:val="none"/>
          <w:lang w:val="en-US" w:eastAsia="zh-CN"/>
        </w:rPr>
        <w:t>磋商</w:t>
      </w:r>
      <w:r>
        <w:rPr>
          <w:rFonts w:hint="eastAsia" w:hAnsi="宋体" w:cs="宋体"/>
          <w:b/>
          <w:bCs/>
          <w:smallCaps/>
          <w:color w:val="auto"/>
          <w:sz w:val="32"/>
          <w:szCs w:val="32"/>
          <w:highlight w:val="none"/>
          <w:lang w:eastAsia="zh-CN"/>
        </w:rPr>
        <w:t>报价</w:t>
      </w:r>
      <w:r>
        <w:rPr>
          <w:rFonts w:hint="eastAsia" w:ascii="宋体" w:hAnsi="宋体" w:eastAsia="宋体" w:cs="宋体"/>
          <w:b/>
          <w:bCs/>
          <w:color w:val="auto"/>
          <w:sz w:val="32"/>
          <w:szCs w:val="32"/>
          <w:highlight w:val="none"/>
        </w:rPr>
        <w:t>需要说明的其他资料</w:t>
      </w:r>
    </w:p>
    <w:p>
      <w:pPr>
        <w:spacing w:line="360" w:lineRule="auto"/>
        <w:ind w:firstLine="480" w:firstLineChars="200"/>
        <w:rPr>
          <w:rFonts w:ascii="宋体" w:cs="宋体"/>
          <w:szCs w:val="21"/>
          <w:highlight w:val="none"/>
        </w:rPr>
      </w:pPr>
      <w:r>
        <w:rPr>
          <w:rFonts w:hint="eastAsia" w:hAnsi="宋体" w:cs="宋体"/>
          <w:color w:val="auto"/>
          <w:sz w:val="24"/>
          <w:highlight w:val="none"/>
          <w:lang w:eastAsia="zh-CN"/>
        </w:rPr>
        <w:t>供应商</w:t>
      </w:r>
      <w:r>
        <w:rPr>
          <w:rFonts w:hint="eastAsia" w:ascii="宋体" w:hAnsi="宋体" w:eastAsia="宋体" w:cs="宋体"/>
          <w:color w:val="auto"/>
          <w:sz w:val="24"/>
          <w:highlight w:val="none"/>
        </w:rPr>
        <w:t>认为需对其</w:t>
      </w:r>
      <w:r>
        <w:rPr>
          <w:rFonts w:hint="eastAsia" w:hAnsi="宋体" w:cs="宋体"/>
          <w:color w:val="auto"/>
          <w:sz w:val="24"/>
          <w:highlight w:val="none"/>
          <w:lang w:val="en-US" w:eastAsia="zh-CN"/>
        </w:rPr>
        <w:t>磋商</w:t>
      </w:r>
      <w:r>
        <w:rPr>
          <w:rFonts w:hint="eastAsia" w:hAnsi="宋体" w:cs="宋体"/>
          <w:color w:val="auto"/>
          <w:sz w:val="24"/>
          <w:highlight w:val="none"/>
          <w:lang w:eastAsia="zh-CN"/>
        </w:rPr>
        <w:t>报价</w:t>
      </w:r>
      <w:r>
        <w:rPr>
          <w:rFonts w:hint="eastAsia" w:ascii="宋体" w:hAnsi="宋体" w:eastAsia="宋体" w:cs="宋体"/>
          <w:color w:val="auto"/>
          <w:sz w:val="24"/>
          <w:highlight w:val="none"/>
        </w:rPr>
        <w:t>进行其他补充说明及证明材料。</w:t>
      </w: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pStyle w:val="2"/>
        <w:rPr>
          <w:rFonts w:ascii="宋体" w:cs="宋体"/>
          <w:szCs w:val="21"/>
          <w:highlight w:val="none"/>
        </w:rPr>
      </w:pPr>
    </w:p>
    <w:p>
      <w:pPr>
        <w:pStyle w:val="2"/>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rPr>
          <w:rFonts w:ascii="宋体" w:cs="宋体"/>
          <w:szCs w:val="21"/>
          <w:highlight w:val="none"/>
        </w:rPr>
      </w:pPr>
    </w:p>
    <w:p>
      <w:pPr>
        <w:pStyle w:val="5"/>
        <w:jc w:val="center"/>
        <w:rPr>
          <w:rFonts w:cs="宋体"/>
          <w:sz w:val="28"/>
          <w:szCs w:val="28"/>
          <w:highlight w:val="none"/>
        </w:rPr>
      </w:pPr>
      <w:bookmarkStart w:id="373" w:name="_Toc54941347"/>
      <w:bookmarkStart w:id="374" w:name="_Toc476584437"/>
      <w:bookmarkStart w:id="375" w:name="_Toc19236"/>
      <w:r>
        <w:rPr>
          <w:rFonts w:hint="eastAsia" w:cs="宋体"/>
          <w:sz w:val="28"/>
          <w:szCs w:val="28"/>
          <w:highlight w:val="none"/>
          <w:lang w:val="en-US" w:eastAsia="zh-CN"/>
        </w:rPr>
        <w:t>四</w:t>
      </w:r>
      <w:r>
        <w:rPr>
          <w:rFonts w:hint="eastAsia" w:cs="宋体"/>
          <w:sz w:val="28"/>
          <w:szCs w:val="28"/>
          <w:highlight w:val="none"/>
        </w:rPr>
        <w:t>、诚信响应承诺书</w:t>
      </w:r>
      <w:bookmarkEnd w:id="373"/>
      <w:bookmarkEnd w:id="374"/>
      <w:bookmarkEnd w:id="375"/>
    </w:p>
    <w:p>
      <w:pPr>
        <w:rPr>
          <w:rFonts w:ascii="宋体" w:cs="宋体"/>
          <w:b/>
          <w:bCs/>
          <w:sz w:val="24"/>
          <w:highlight w:val="none"/>
        </w:rPr>
      </w:pPr>
    </w:p>
    <w:p>
      <w:pPr>
        <w:spacing w:line="440" w:lineRule="exact"/>
        <w:ind w:firstLine="482" w:firstLineChars="200"/>
        <w:rPr>
          <w:rFonts w:ascii="宋体" w:cs="宋体"/>
          <w:b/>
          <w:sz w:val="24"/>
          <w:highlight w:val="none"/>
        </w:rPr>
      </w:pPr>
      <w:r>
        <w:rPr>
          <w:rFonts w:hint="eastAsia" w:ascii="宋体" w:hAnsi="宋体" w:cs="宋体"/>
          <w:b/>
          <w:sz w:val="24"/>
          <w:highlight w:val="none"/>
        </w:rPr>
        <w:t>本人以企业法定代表人的身份郑重承诺：</w:t>
      </w:r>
    </w:p>
    <w:p>
      <w:pPr>
        <w:spacing w:line="44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一、将遵循公开、公正和诚实信用的原则自愿参加</w:t>
      </w:r>
      <w:r>
        <w:rPr>
          <w:rFonts w:ascii="仿宋" w:hAnsi="仿宋" w:eastAsia="仿宋" w:cs="仿宋"/>
          <w:b/>
          <w:bCs/>
          <w:sz w:val="24"/>
          <w:highlight w:val="none"/>
          <w:u w:val="single"/>
        </w:rPr>
        <w:t xml:space="preserve">                </w:t>
      </w:r>
      <w:r>
        <w:rPr>
          <w:rFonts w:hint="eastAsia" w:ascii="仿宋" w:hAnsi="仿宋" w:eastAsia="仿宋" w:cs="仿宋"/>
          <w:b/>
          <w:bCs/>
          <w:sz w:val="24"/>
          <w:highlight w:val="none"/>
        </w:rPr>
        <w:t>项目的竞争性磋商；</w:t>
      </w:r>
    </w:p>
    <w:p>
      <w:pPr>
        <w:spacing w:line="44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二、所提供的一切材料都是真实、有效、合法的；</w:t>
      </w:r>
      <w:r>
        <w:rPr>
          <w:rFonts w:ascii="仿宋" w:hAnsi="仿宋" w:eastAsia="仿宋" w:cs="仿宋"/>
          <w:b/>
          <w:bCs/>
          <w:sz w:val="24"/>
          <w:highlight w:val="none"/>
        </w:rPr>
        <w:t xml:space="preserve">  </w:t>
      </w:r>
    </w:p>
    <w:p>
      <w:pPr>
        <w:spacing w:line="44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三、不出借、转让资质证书，不让他人挂靠磋商，不以他人名义磋商或者以其他方式弄虚作假，骗取成交；</w:t>
      </w:r>
      <w:r>
        <w:rPr>
          <w:rFonts w:ascii="仿宋" w:hAnsi="仿宋" w:eastAsia="仿宋" w:cs="仿宋"/>
          <w:b/>
          <w:bCs/>
          <w:sz w:val="24"/>
          <w:highlight w:val="none"/>
        </w:rPr>
        <w:t xml:space="preserve">  </w:t>
      </w:r>
    </w:p>
    <w:p>
      <w:pPr>
        <w:spacing w:line="44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四、不与其他磋商供应商相互串通响应报价，不排挤其他磋商供应商的公平竞争、损害采购人的合法权益；</w:t>
      </w:r>
      <w:r>
        <w:rPr>
          <w:rFonts w:ascii="仿宋" w:hAnsi="仿宋" w:eastAsia="仿宋" w:cs="仿宋"/>
          <w:b/>
          <w:bCs/>
          <w:sz w:val="24"/>
          <w:highlight w:val="none"/>
        </w:rPr>
        <w:t xml:space="preserve">  </w:t>
      </w:r>
    </w:p>
    <w:p>
      <w:pPr>
        <w:spacing w:line="44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五、不与采购单位或其他磋商供应商串通磋商，损害国家利益、社会公共利益或者他人的合法权益；</w:t>
      </w:r>
      <w:r>
        <w:rPr>
          <w:rFonts w:ascii="仿宋" w:hAnsi="仿宋" w:eastAsia="仿宋" w:cs="仿宋"/>
          <w:b/>
          <w:bCs/>
          <w:sz w:val="24"/>
          <w:highlight w:val="none"/>
        </w:rPr>
        <w:t xml:space="preserve">  </w:t>
      </w:r>
    </w:p>
    <w:p>
      <w:pPr>
        <w:spacing w:line="44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六、严格遵守开标现场纪律，服从监管人员管理；</w:t>
      </w:r>
      <w:r>
        <w:rPr>
          <w:rFonts w:ascii="仿宋" w:hAnsi="仿宋" w:eastAsia="仿宋" w:cs="仿宋"/>
          <w:b/>
          <w:bCs/>
          <w:sz w:val="24"/>
          <w:highlight w:val="none"/>
        </w:rPr>
        <w:t xml:space="preserve">  </w:t>
      </w:r>
    </w:p>
    <w:p>
      <w:pPr>
        <w:spacing w:line="44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七、保证成交后不转包，若有合法分包征得采购人同意；</w:t>
      </w:r>
    </w:p>
    <w:p>
      <w:pPr>
        <w:spacing w:line="44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八、保证成交之后，按照磋商响应文件承诺提供货物、服务及派驻人员；</w:t>
      </w:r>
    </w:p>
    <w:p>
      <w:pPr>
        <w:spacing w:line="44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九、保证企业及所属相关人员在本次磋商响应中无行贿等犯罪行为；</w:t>
      </w:r>
    </w:p>
    <w:p>
      <w:pPr>
        <w:spacing w:line="44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十、我单位在安徽省公共资源交易市场主体库中录入的信息真实，无编造虚假信息。一旦发现弄虚作假将按有关法律法规和《诚信响应承诺书》中的约定接受处理。</w:t>
      </w:r>
    </w:p>
    <w:p>
      <w:pPr>
        <w:spacing w:line="44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十一、如在磋商过程和磋商结果</w:t>
      </w:r>
      <w:r>
        <w:rPr>
          <w:rFonts w:hint="eastAsia" w:ascii="仿宋" w:hAnsi="仿宋" w:eastAsia="仿宋" w:cs="仿宋"/>
          <w:b/>
          <w:sz w:val="24"/>
          <w:highlight w:val="none"/>
        </w:rPr>
        <w:t>公告质疑期内</w:t>
      </w:r>
      <w:r>
        <w:rPr>
          <w:rFonts w:hint="eastAsia" w:ascii="仿宋" w:hAnsi="仿宋" w:eastAsia="仿宋" w:cs="仿宋"/>
          <w:b/>
          <w:bCs/>
          <w:sz w:val="24"/>
          <w:highlight w:val="none"/>
        </w:rPr>
        <w:t>发生投诉行为，保证按照《安庆市公共资源交易投诉处理暂行办法》要求进行。投诉内容符合要求，投诉材料加盖企业公章或由法定代表人或其委托代理人签字，并附有关身份证明。不恶意投诉，对本公司提供的投诉线索的真实性负责。</w:t>
      </w:r>
      <w:r>
        <w:rPr>
          <w:rFonts w:ascii="仿宋" w:hAnsi="仿宋" w:eastAsia="仿宋" w:cs="仿宋"/>
          <w:b/>
          <w:bCs/>
          <w:sz w:val="24"/>
          <w:highlight w:val="none"/>
        </w:rPr>
        <w:t xml:space="preserve"> </w:t>
      </w:r>
    </w:p>
    <w:p>
      <w:pPr>
        <w:spacing w:line="44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十二、我方保证对本次磋商活动有任何质疑或投诉，都依法在约定的时间内提出。否则，不针对本次磋商活动提出任何质疑或投诉。</w:t>
      </w:r>
    </w:p>
    <w:p>
      <w:pPr>
        <w:spacing w:line="440" w:lineRule="exact"/>
        <w:ind w:firstLine="482" w:firstLineChars="200"/>
        <w:rPr>
          <w:rFonts w:ascii="宋体" w:cs="宋体"/>
          <w:b/>
          <w:sz w:val="24"/>
          <w:highlight w:val="none"/>
        </w:rPr>
      </w:pPr>
      <w:r>
        <w:rPr>
          <w:rFonts w:hint="eastAsia" w:ascii="仿宋" w:hAnsi="仿宋" w:eastAsia="仿宋" w:cs="仿宋"/>
          <w:b/>
          <w:bCs/>
          <w:sz w:val="24"/>
          <w:highlight w:val="none"/>
        </w:rPr>
        <w:t>以上内容我已仔细阅读，本公司若有违反承诺内容的行为，自愿承担磋商文件确定的责任和法律责任并接受相关行政部门给予的处理和处罚。给采购人造成损失的，依法承担赔偿责任</w:t>
      </w:r>
      <w:r>
        <w:rPr>
          <w:rFonts w:hint="eastAsia" w:ascii="宋体" w:hAnsi="宋体" w:cs="宋体"/>
          <w:b/>
          <w:sz w:val="24"/>
          <w:highlight w:val="none"/>
        </w:rPr>
        <w:t>。</w:t>
      </w:r>
    </w:p>
    <w:p>
      <w:pPr>
        <w:rPr>
          <w:rFonts w:ascii="宋体" w:cs="宋体"/>
          <w:b/>
          <w:sz w:val="22"/>
          <w:szCs w:val="22"/>
          <w:highlight w:val="none"/>
        </w:rPr>
      </w:pPr>
      <w:r>
        <w:rPr>
          <w:rFonts w:ascii="宋体" w:hAnsi="宋体" w:cs="宋体"/>
          <w:b/>
          <w:sz w:val="22"/>
          <w:szCs w:val="22"/>
          <w:highlight w:val="none"/>
        </w:rPr>
        <w:t xml:space="preserve">  </w:t>
      </w:r>
    </w:p>
    <w:p>
      <w:pPr>
        <w:ind w:firstLine="6264" w:firstLineChars="2600"/>
        <w:rPr>
          <w:rFonts w:ascii="宋体" w:cs="宋体"/>
          <w:b/>
          <w:sz w:val="24"/>
          <w:highlight w:val="none"/>
        </w:rPr>
      </w:pPr>
      <w:r>
        <w:rPr>
          <w:rFonts w:hint="eastAsia" w:ascii="宋体" w:hAnsi="宋体" w:cs="宋体"/>
          <w:b/>
          <w:sz w:val="24"/>
          <w:highlight w:val="none"/>
        </w:rPr>
        <w:t>供应商（公章）：</w:t>
      </w:r>
    </w:p>
    <w:p>
      <w:pPr>
        <w:widowControl/>
        <w:ind w:firstLine="6021" w:firstLineChars="2499"/>
        <w:jc w:val="left"/>
        <w:rPr>
          <w:rFonts w:ascii="宋体" w:cs="宋体"/>
          <w:highlight w:val="none"/>
        </w:rPr>
      </w:pPr>
      <w:r>
        <w:rPr>
          <w:rFonts w:hint="eastAsia" w:ascii="宋体" w:hAnsi="宋体" w:cs="宋体"/>
          <w:b/>
          <w:sz w:val="24"/>
          <w:highlight w:val="none"/>
        </w:rPr>
        <w:t>法定代表人（签章）：</w:t>
      </w:r>
    </w:p>
    <w:p>
      <w:pPr>
        <w:rPr>
          <w:rFonts w:ascii="宋体" w:cs="宋体"/>
          <w:b/>
          <w:bCs/>
          <w:sz w:val="24"/>
          <w:highlight w:val="none"/>
        </w:rPr>
      </w:pPr>
    </w:p>
    <w:p>
      <w:pPr>
        <w:jc w:val="right"/>
        <w:rPr>
          <w:rFonts w:ascii="宋体" w:hAnsi="宋体" w:cs="宋体"/>
          <w:b/>
          <w:bCs/>
          <w:sz w:val="24"/>
          <w:highlight w:val="none"/>
        </w:rPr>
      </w:pPr>
      <w:r>
        <w:rPr>
          <w:rFonts w:hint="eastAsia" w:ascii="宋体" w:hAnsi="宋体" w:cs="宋体"/>
          <w:b/>
          <w:bCs/>
          <w:sz w:val="24"/>
          <w:highlight w:val="none"/>
        </w:rPr>
        <w:t>日期：</w:t>
      </w:r>
      <w:r>
        <w:rPr>
          <w:rFonts w:ascii="宋体" w:hAnsi="宋体" w:cs="宋体"/>
          <w:b/>
          <w:bCs/>
          <w:sz w:val="24"/>
          <w:highlight w:val="none"/>
        </w:rPr>
        <w:t>_____</w:t>
      </w:r>
      <w:r>
        <w:rPr>
          <w:rFonts w:hint="eastAsia" w:ascii="宋体" w:hAnsi="宋体" w:cs="宋体"/>
          <w:b/>
          <w:bCs/>
          <w:sz w:val="24"/>
          <w:highlight w:val="none"/>
        </w:rPr>
        <w:t>年</w:t>
      </w:r>
      <w:r>
        <w:rPr>
          <w:rFonts w:ascii="宋体" w:hAnsi="宋体" w:cs="宋体"/>
          <w:b/>
          <w:bCs/>
          <w:sz w:val="24"/>
          <w:highlight w:val="none"/>
        </w:rPr>
        <w:t>____</w:t>
      </w:r>
      <w:r>
        <w:rPr>
          <w:rFonts w:hint="eastAsia" w:ascii="宋体" w:hAnsi="宋体" w:cs="宋体"/>
          <w:b/>
          <w:bCs/>
          <w:sz w:val="24"/>
          <w:highlight w:val="none"/>
        </w:rPr>
        <w:t>月</w:t>
      </w:r>
      <w:r>
        <w:rPr>
          <w:rFonts w:ascii="宋体" w:hAnsi="宋体" w:cs="宋体"/>
          <w:b/>
          <w:bCs/>
          <w:sz w:val="24"/>
          <w:highlight w:val="none"/>
        </w:rPr>
        <w:t>____</w:t>
      </w:r>
      <w:r>
        <w:rPr>
          <w:rFonts w:hint="eastAsia" w:ascii="宋体" w:hAnsi="宋体" w:cs="宋体"/>
          <w:b/>
          <w:bCs/>
          <w:sz w:val="24"/>
          <w:highlight w:val="none"/>
        </w:rPr>
        <w:t>日</w:t>
      </w:r>
    </w:p>
    <w:p>
      <w:pPr>
        <w:pStyle w:val="5"/>
        <w:jc w:val="center"/>
        <w:rPr>
          <w:b w:val="0"/>
          <w:sz w:val="28"/>
          <w:szCs w:val="28"/>
          <w:highlight w:val="none"/>
        </w:rPr>
      </w:pPr>
      <w:bookmarkStart w:id="376" w:name="_Toc54941348"/>
      <w:r>
        <w:rPr>
          <w:rFonts w:hint="eastAsia"/>
          <w:sz w:val="28"/>
          <w:szCs w:val="28"/>
          <w:highlight w:val="none"/>
          <w:lang w:val="en-US" w:eastAsia="zh-CN"/>
        </w:rPr>
        <w:t>五</w:t>
      </w:r>
      <w:r>
        <w:rPr>
          <w:rFonts w:hint="eastAsia"/>
          <w:sz w:val="28"/>
          <w:szCs w:val="28"/>
          <w:highlight w:val="none"/>
        </w:rPr>
        <w:t>、中小企业声明函</w:t>
      </w:r>
      <w:bookmarkEnd w:id="376"/>
      <w:r>
        <w:rPr>
          <w:rFonts w:hint="eastAsia"/>
          <w:sz w:val="28"/>
          <w:szCs w:val="28"/>
          <w:highlight w:val="none"/>
        </w:rPr>
        <w:t>(</w:t>
      </w:r>
      <w:r>
        <w:rPr>
          <w:rFonts w:hint="eastAsia"/>
          <w:sz w:val="28"/>
          <w:szCs w:val="28"/>
          <w:highlight w:val="none"/>
          <w:lang w:val="en-US" w:eastAsia="zh-CN"/>
        </w:rPr>
        <w:t>工程</w:t>
      </w:r>
      <w:r>
        <w:rPr>
          <w:sz w:val="28"/>
          <w:szCs w:val="28"/>
          <w:highlight w:val="none"/>
        </w:rPr>
        <w:t>)</w:t>
      </w:r>
    </w:p>
    <w:p>
      <w:pPr>
        <w:spacing w:line="360" w:lineRule="auto"/>
        <w:jc w:val="center"/>
        <w:rPr>
          <w:rFonts w:ascii="宋体" w:hAnsi="宋体"/>
          <w:b/>
          <w:szCs w:val="21"/>
          <w:highlight w:val="none"/>
        </w:rPr>
      </w:pPr>
      <w:r>
        <w:rPr>
          <w:rFonts w:hint="eastAsia" w:ascii="宋体" w:hAnsi="宋体"/>
          <w:b/>
          <w:szCs w:val="21"/>
          <w:highlight w:val="none"/>
        </w:rPr>
        <w:t>（</w:t>
      </w:r>
      <w:r>
        <w:rPr>
          <w:rFonts w:hint="eastAsia" w:ascii="宋体" w:hAnsi="宋体"/>
          <w:b/>
          <w:szCs w:val="21"/>
          <w:highlight w:val="none"/>
          <w:lang w:val="en-US" w:eastAsia="zh-CN"/>
        </w:rPr>
        <w:t>本项目必须填写</w:t>
      </w:r>
      <w:r>
        <w:rPr>
          <w:rFonts w:hint="eastAsia" w:ascii="宋体" w:hAnsi="宋体"/>
          <w:b/>
          <w:szCs w:val="21"/>
          <w:highlight w:val="none"/>
        </w:rPr>
        <w:t>）</w:t>
      </w:r>
    </w:p>
    <w:p>
      <w:pPr>
        <w:rPr>
          <w:rFonts w:ascii="宋体" w:hAnsi="宋体"/>
          <w:szCs w:val="2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highlight w:val="none"/>
        </w:rPr>
      </w:pPr>
      <w:r>
        <w:rPr>
          <w:rFonts w:hint="eastAsia"/>
          <w:sz w:val="28"/>
          <w:szCs w:val="28"/>
          <w:highlight w:val="none"/>
        </w:rPr>
        <w:t>本公司（联合体）</w:t>
      </w:r>
      <w:r>
        <w:rPr>
          <w:sz w:val="28"/>
          <w:szCs w:val="28"/>
          <w:highlight w:val="none"/>
        </w:rPr>
        <w:t>郑重声明，根据《政府采购促进中小企业发展管理办法》(财库﹝2020﹞46号）的规定，本公司</w:t>
      </w:r>
      <w:r>
        <w:rPr>
          <w:rFonts w:hint="eastAsia"/>
          <w:sz w:val="28"/>
          <w:szCs w:val="28"/>
          <w:highlight w:val="none"/>
        </w:rPr>
        <w:t>（联合体）</w:t>
      </w:r>
      <w:r>
        <w:rPr>
          <w:sz w:val="28"/>
          <w:szCs w:val="28"/>
          <w:highlight w:val="none"/>
        </w:rPr>
        <w:t>参加</w:t>
      </w:r>
      <w:r>
        <w:rPr>
          <w:rFonts w:hint="eastAsia" w:ascii="Times New Roman" w:hAnsi="Times New Roman" w:eastAsia="宋体" w:cs="Times New Roman"/>
          <w:sz w:val="28"/>
          <w:szCs w:val="28"/>
          <w:highlight w:val="none"/>
          <w:u w:val="single"/>
          <w:lang w:val="en-US" w:eastAsia="zh-CN"/>
        </w:rPr>
        <w:t>安庆</w:t>
      </w:r>
      <w:r>
        <w:rPr>
          <w:rFonts w:hint="eastAsia" w:cs="Times New Roman"/>
          <w:sz w:val="28"/>
          <w:szCs w:val="28"/>
          <w:highlight w:val="none"/>
          <w:u w:val="single"/>
          <w:lang w:val="en-US" w:eastAsia="zh-CN"/>
        </w:rPr>
        <w:t>职业技术学院</w:t>
      </w:r>
      <w:r>
        <w:rPr>
          <w:rFonts w:hint="eastAsia"/>
          <w:i w:val="0"/>
          <w:iCs/>
          <w:sz w:val="28"/>
          <w:szCs w:val="28"/>
          <w:highlight w:val="none"/>
          <w:u w:val="single"/>
        </w:rPr>
        <w:t xml:space="preserve"> </w:t>
      </w:r>
      <w:r>
        <w:rPr>
          <w:sz w:val="28"/>
          <w:szCs w:val="28"/>
          <w:highlight w:val="none"/>
        </w:rPr>
        <w:t>的</w:t>
      </w:r>
      <w:r>
        <w:rPr>
          <w:rFonts w:hint="eastAsia"/>
          <w:sz w:val="28"/>
          <w:szCs w:val="28"/>
          <w:highlight w:val="none"/>
          <w:u w:val="single"/>
          <w:lang w:eastAsia="zh-CN"/>
        </w:rPr>
        <w:t>安庆职业技术学院篮球场和排球场改造项目</w:t>
      </w:r>
      <w:r>
        <w:rPr>
          <w:sz w:val="28"/>
          <w:szCs w:val="28"/>
          <w:highlight w:val="none"/>
        </w:rPr>
        <w:t>采购活动，</w:t>
      </w:r>
      <w:r>
        <w:rPr>
          <w:rFonts w:hint="eastAsia"/>
          <w:sz w:val="28"/>
          <w:szCs w:val="28"/>
          <w:highlight w:val="none"/>
        </w:rPr>
        <w:t>服务</w:t>
      </w:r>
      <w:r>
        <w:rPr>
          <w:sz w:val="28"/>
          <w:szCs w:val="28"/>
          <w:highlight w:val="none"/>
        </w:rPr>
        <w:t>全部由符合政策要求的中小企业</w:t>
      </w:r>
      <w:r>
        <w:rPr>
          <w:rFonts w:hint="eastAsia"/>
          <w:sz w:val="28"/>
          <w:szCs w:val="28"/>
          <w:highlight w:val="none"/>
        </w:rPr>
        <w:t>承接</w:t>
      </w:r>
      <w:r>
        <w:rPr>
          <w:sz w:val="28"/>
          <w:szCs w:val="28"/>
          <w:highlight w:val="none"/>
        </w:rPr>
        <w:t>。相关企业(含联合体中的中小企业、签订分包意向协议的中小企业)的具体情况如下: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highlight w:val="none"/>
        </w:rPr>
      </w:pPr>
      <w:r>
        <w:rPr>
          <w:rFonts w:hint="eastAsia"/>
          <w:sz w:val="28"/>
          <w:szCs w:val="28"/>
          <w:highlight w:val="none"/>
          <w:u w:val="single"/>
          <w:lang w:eastAsia="zh-CN"/>
        </w:rPr>
        <w:t>安庆职业技术学院篮球场和排球场改造项目</w:t>
      </w:r>
      <w:r>
        <w:rPr>
          <w:sz w:val="28"/>
          <w:szCs w:val="28"/>
          <w:highlight w:val="none"/>
        </w:rPr>
        <w:t>，属于</w:t>
      </w:r>
      <w:r>
        <w:rPr>
          <w:rFonts w:hint="eastAsia"/>
          <w:i w:val="0"/>
          <w:iCs/>
          <w:sz w:val="28"/>
          <w:szCs w:val="28"/>
          <w:highlight w:val="none"/>
          <w:u w:val="single"/>
          <w:lang w:val="en-US" w:eastAsia="zh-CN"/>
        </w:rPr>
        <w:t>建筑业</w:t>
      </w:r>
      <w:r>
        <w:rPr>
          <w:sz w:val="28"/>
          <w:szCs w:val="28"/>
          <w:highlight w:val="none"/>
        </w:rPr>
        <w:t>;</w:t>
      </w:r>
      <w:r>
        <w:rPr>
          <w:rFonts w:hint="eastAsia"/>
          <w:sz w:val="28"/>
          <w:szCs w:val="28"/>
          <w:highlight w:val="none"/>
        </w:rPr>
        <w:t>承接企业</w:t>
      </w:r>
      <w:r>
        <w:rPr>
          <w:sz w:val="28"/>
          <w:szCs w:val="28"/>
          <w:highlight w:val="none"/>
        </w:rPr>
        <w:t>为</w:t>
      </w:r>
      <w:r>
        <w:rPr>
          <w:i/>
          <w:sz w:val="28"/>
          <w:szCs w:val="28"/>
          <w:highlight w:val="none"/>
          <w:u w:val="single"/>
        </w:rPr>
        <w:t>（企业名称)</w:t>
      </w:r>
      <w:r>
        <w:rPr>
          <w:sz w:val="28"/>
          <w:szCs w:val="28"/>
          <w:highlight w:val="none"/>
        </w:rPr>
        <w:t>，从业人员_____人，营业收入为______万元，资产总额为_____万元'，属于</w:t>
      </w:r>
      <w:r>
        <w:rPr>
          <w:i/>
          <w:sz w:val="28"/>
          <w:szCs w:val="28"/>
          <w:highlight w:val="none"/>
          <w:u w:val="single"/>
        </w:rPr>
        <w:t>（中型企业、小型企业、微型企业)</w:t>
      </w:r>
      <w:r>
        <w:rPr>
          <w:rFonts w:hint="eastAsia"/>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highlight w:val="none"/>
        </w:rPr>
      </w:pPr>
      <w:r>
        <w:rPr>
          <w:rFonts w:hint="eastAsia"/>
          <w:sz w:val="28"/>
          <w:szCs w:val="28"/>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8"/>
          <w:highlight w:val="none"/>
        </w:rPr>
      </w:pPr>
      <w:r>
        <w:rPr>
          <w:rFonts w:hint="eastAsia"/>
          <w:sz w:val="28"/>
          <w:szCs w:val="28"/>
          <w:highlight w:val="none"/>
        </w:rPr>
        <w:t>本企业对上述声明内容的真实性负责。如有虚假，将依法承担相应责任。</w:t>
      </w:r>
    </w:p>
    <w:p>
      <w:pPr>
        <w:ind w:right="1120"/>
        <w:jc w:val="right"/>
        <w:rPr>
          <w:sz w:val="28"/>
          <w:szCs w:val="28"/>
          <w:highlight w:val="none"/>
        </w:rPr>
      </w:pPr>
      <w:r>
        <w:rPr>
          <w:rFonts w:hint="eastAsia"/>
          <w:sz w:val="28"/>
          <w:szCs w:val="28"/>
          <w:highlight w:val="none"/>
        </w:rPr>
        <w:t>企业名称（盖章</w:t>
      </w:r>
      <w:r>
        <w:rPr>
          <w:sz w:val="28"/>
          <w:szCs w:val="28"/>
          <w:highlight w:val="none"/>
        </w:rPr>
        <w:t>):</w:t>
      </w:r>
    </w:p>
    <w:p>
      <w:pPr>
        <w:ind w:right="1120"/>
        <w:jc w:val="center"/>
        <w:rPr>
          <w:sz w:val="28"/>
          <w:szCs w:val="28"/>
          <w:highlight w:val="none"/>
        </w:rPr>
      </w:pPr>
      <w:r>
        <w:rPr>
          <w:rFonts w:hint="eastAsia"/>
          <w:sz w:val="28"/>
          <w:szCs w:val="28"/>
          <w:highlight w:val="none"/>
        </w:rPr>
        <w:t xml:space="preserve"> </w:t>
      </w:r>
      <w:r>
        <w:rPr>
          <w:sz w:val="28"/>
          <w:szCs w:val="28"/>
          <w:highlight w:val="none"/>
        </w:rPr>
        <w:t xml:space="preserve">                               日期:______________</w:t>
      </w:r>
    </w:p>
    <w:p>
      <w:pPr>
        <w:rPr>
          <w:rFonts w:hint="eastAsia"/>
          <w:b/>
          <w:sz w:val="24"/>
          <w:highlight w:val="none"/>
        </w:rPr>
      </w:pPr>
    </w:p>
    <w:p>
      <w:pPr>
        <w:rPr>
          <w:rFonts w:hint="eastAsia"/>
          <w:b/>
          <w:sz w:val="24"/>
          <w:highlight w:val="none"/>
        </w:rPr>
      </w:pPr>
    </w:p>
    <w:p>
      <w:pPr>
        <w:rPr>
          <w:b/>
          <w:sz w:val="24"/>
          <w:highlight w:val="none"/>
        </w:rPr>
      </w:pPr>
      <w:r>
        <w:rPr>
          <w:rFonts w:hint="eastAsia"/>
          <w:b/>
          <w:sz w:val="24"/>
          <w:highlight w:val="none"/>
        </w:rPr>
        <w:t>说明：</w:t>
      </w:r>
      <w:r>
        <w:rPr>
          <w:rFonts w:hint="eastAsia"/>
          <w:b/>
          <w:sz w:val="24"/>
          <w:highlight w:val="none"/>
          <w:lang w:val="en-US" w:eastAsia="zh-CN"/>
        </w:rPr>
        <w:t>1.</w:t>
      </w:r>
      <w:r>
        <w:rPr>
          <w:b/>
          <w:sz w:val="24"/>
          <w:highlight w:val="none"/>
        </w:rPr>
        <w:t>从业人员、营业收入、资产总额填报上一年度数据，无上一年度数据的新成立企业可不填报。</w:t>
      </w:r>
    </w:p>
    <w:p>
      <w:pPr>
        <w:pStyle w:val="24"/>
        <w:rPr>
          <w:rFonts w:hint="default" w:ascii="Times New Roman" w:hAnsi="Times New Roman" w:eastAsia="宋体" w:cs="Times New Roman"/>
          <w:b/>
          <w:kern w:val="2"/>
          <w:sz w:val="24"/>
          <w:highlight w:val="none"/>
          <w:lang w:val="en-US" w:eastAsia="zh-CN" w:bidi="ar-SA"/>
        </w:rPr>
      </w:pPr>
      <w:r>
        <w:rPr>
          <w:rFonts w:hint="eastAsia" w:ascii="Times New Roman" w:hAnsi="Times New Roman" w:eastAsia="宋体" w:cs="Times New Roman"/>
          <w:b/>
          <w:kern w:val="2"/>
          <w:sz w:val="24"/>
          <w:highlight w:val="none"/>
          <w:lang w:val="en-US" w:eastAsia="zh-CN" w:bidi="ar-SA"/>
        </w:rPr>
        <w:t>2.建筑业。营业收入80000万元以下或资产总额80000万元以下的为中小微型企业。其中，营业收入 6000万元及以上，且资产总额5000万元及以上的为中型企业；营业收入300万元及以上，且资产总额300万元及 以上的为小型企业；营业收入300万元以下或资产总额300万元以下的为微型企业。</w:t>
      </w:r>
    </w:p>
    <w:p>
      <w:pPr>
        <w:widowControl/>
        <w:jc w:val="left"/>
        <w:rPr>
          <w:highlight w:val="none"/>
        </w:rPr>
      </w:pPr>
      <w:r>
        <w:rPr>
          <w:highlight w:val="none"/>
        </w:rPr>
        <w:br w:type="page"/>
      </w:r>
    </w:p>
    <w:p>
      <w:pPr>
        <w:pStyle w:val="5"/>
        <w:jc w:val="center"/>
        <w:rPr>
          <w:highlight w:val="none"/>
        </w:rPr>
      </w:pPr>
      <w:bookmarkStart w:id="377" w:name="_Toc54939208"/>
      <w:bookmarkStart w:id="378" w:name="_Toc54941349"/>
      <w:r>
        <w:rPr>
          <w:rFonts w:hint="eastAsia"/>
          <w:highlight w:val="none"/>
          <w:lang w:val="en-US" w:eastAsia="zh-CN"/>
        </w:rPr>
        <w:t>六</w:t>
      </w:r>
      <w:r>
        <w:rPr>
          <w:rFonts w:hint="eastAsia"/>
          <w:highlight w:val="none"/>
        </w:rPr>
        <w:t>、</w:t>
      </w:r>
      <w:r>
        <w:rPr>
          <w:highlight w:val="none"/>
        </w:rPr>
        <w:t>残疾人福利性单位声明函</w:t>
      </w:r>
      <w:bookmarkEnd w:id="377"/>
      <w:bookmarkEnd w:id="378"/>
    </w:p>
    <w:p>
      <w:pPr>
        <w:spacing w:after="134" w:line="259" w:lineRule="auto"/>
        <w:ind w:left="297" w:hanging="10"/>
        <w:jc w:val="center"/>
        <w:rPr>
          <w:highlight w:val="none"/>
        </w:rPr>
      </w:pPr>
      <w:r>
        <w:rPr>
          <w:sz w:val="25"/>
          <w:highlight w:val="none"/>
        </w:rPr>
        <w:t>（非残疾人福利性单位</w:t>
      </w:r>
      <w:r>
        <w:rPr>
          <w:rFonts w:hint="eastAsia"/>
          <w:sz w:val="25"/>
          <w:highlight w:val="none"/>
        </w:rPr>
        <w:t>磋商</w:t>
      </w:r>
      <w:r>
        <w:rPr>
          <w:sz w:val="25"/>
          <w:highlight w:val="none"/>
        </w:rPr>
        <w:t xml:space="preserve">，不需此件） </w:t>
      </w:r>
      <w:r>
        <w:rPr>
          <w:highlight w:val="none"/>
        </w:rPr>
        <w:t xml:space="preserve"> </w:t>
      </w:r>
    </w:p>
    <w:p>
      <w:pPr>
        <w:autoSpaceDE w:val="0"/>
        <w:autoSpaceDN w:val="0"/>
        <w:spacing w:line="480" w:lineRule="auto"/>
        <w:ind w:left="80" w:leftChars="38" w:right="40" w:firstLine="480" w:firstLineChars="200"/>
        <w:rPr>
          <w:rFonts w:ascii="宋体" w:hAnsi="宋体"/>
          <w:sz w:val="24"/>
          <w:szCs w:val="22"/>
          <w:highlight w:val="none"/>
          <w:lang w:val="zh-CN"/>
        </w:rPr>
      </w:pPr>
      <w:r>
        <w:rPr>
          <w:rFonts w:ascii="宋体" w:hAnsi="宋体"/>
          <w:sz w:val="24"/>
          <w:szCs w:val="22"/>
          <w:highlight w:val="none"/>
          <w:lang w:val="zh-CN"/>
        </w:rPr>
        <w:t>本单位郑重声明，根据《财政部 民政部 中国残疾人联合会关于促进残疾人就业政府采购政策的通知》（财库〔2017〕141号）的规定，本单位为□ 符合□不符合（对应</w:t>
      </w:r>
      <w:r>
        <w:rPr>
          <w:rFonts w:hint="eastAsia" w:ascii="宋体" w:hAnsi="宋体"/>
          <w:sz w:val="24"/>
          <w:szCs w:val="22"/>
          <w:highlight w:val="none"/>
          <w:lang w:val="zh-CN"/>
        </w:rPr>
        <w:t>请</w:t>
      </w:r>
      <w:r>
        <w:rPr>
          <w:rFonts w:ascii="宋体" w:hAnsi="宋体"/>
          <w:sz w:val="24"/>
          <w:szCs w:val="22"/>
          <w:highlight w:val="none"/>
          <w:lang w:val="zh-CN"/>
        </w:rPr>
        <w:t>勾选）条件的残疾人福利性单位，且本单位参加本项目采购活动</w:t>
      </w:r>
      <w:r>
        <w:rPr>
          <w:rFonts w:hint="eastAsia" w:ascii="宋体" w:hAnsi="宋体"/>
          <w:sz w:val="24"/>
          <w:szCs w:val="22"/>
          <w:highlight w:val="none"/>
          <w:lang w:val="zh-CN"/>
        </w:rPr>
        <w:t>，由</w:t>
      </w:r>
      <w:r>
        <w:rPr>
          <w:rFonts w:ascii="宋体" w:hAnsi="宋体"/>
          <w:sz w:val="24"/>
          <w:szCs w:val="22"/>
          <w:highlight w:val="none"/>
          <w:lang w:val="zh-CN"/>
        </w:rPr>
        <w:t>本单位</w:t>
      </w:r>
      <w:r>
        <w:rPr>
          <w:rFonts w:hint="eastAsia" w:ascii="宋体" w:hAnsi="宋体"/>
          <w:sz w:val="24"/>
          <w:szCs w:val="22"/>
          <w:highlight w:val="none"/>
          <w:lang w:val="zh-CN"/>
        </w:rPr>
        <w:t>提供服务。</w:t>
      </w:r>
    </w:p>
    <w:p>
      <w:pPr>
        <w:autoSpaceDE w:val="0"/>
        <w:autoSpaceDN w:val="0"/>
        <w:spacing w:line="480" w:lineRule="auto"/>
        <w:ind w:left="80" w:leftChars="38" w:right="40" w:firstLine="480" w:firstLineChars="200"/>
        <w:rPr>
          <w:rFonts w:ascii="宋体" w:hAnsi="宋体"/>
          <w:sz w:val="24"/>
          <w:szCs w:val="22"/>
          <w:highlight w:val="none"/>
          <w:lang w:val="zh-CN"/>
        </w:rPr>
      </w:pPr>
      <w:r>
        <w:rPr>
          <w:rFonts w:ascii="宋体" w:hAnsi="宋体"/>
          <w:sz w:val="24"/>
          <w:szCs w:val="22"/>
          <w:highlight w:val="none"/>
          <w:lang w:val="zh-CN"/>
        </w:rPr>
        <w:t xml:space="preserve">本单位对上述声明的真实性负责。如有虚假，将依法承担相应责任。 </w:t>
      </w:r>
    </w:p>
    <w:p>
      <w:pPr>
        <w:autoSpaceDE w:val="0"/>
        <w:autoSpaceDN w:val="0"/>
        <w:spacing w:line="480" w:lineRule="auto"/>
        <w:ind w:left="80" w:leftChars="38" w:right="40" w:firstLine="480" w:firstLineChars="200"/>
        <w:rPr>
          <w:rFonts w:ascii="宋体" w:hAnsi="宋体"/>
          <w:sz w:val="24"/>
          <w:szCs w:val="22"/>
          <w:highlight w:val="none"/>
          <w:lang w:val="zh-CN"/>
        </w:rPr>
      </w:pPr>
    </w:p>
    <w:p>
      <w:pPr>
        <w:spacing w:line="360" w:lineRule="auto"/>
        <w:jc w:val="right"/>
        <w:rPr>
          <w:rFonts w:ascii="宋体" w:hAnsi="宋体"/>
          <w:b/>
          <w:sz w:val="24"/>
          <w:highlight w:val="none"/>
        </w:rPr>
      </w:pPr>
      <w:r>
        <w:rPr>
          <w:rFonts w:hint="eastAsia" w:ascii="宋体" w:hAnsi="宋体"/>
          <w:b/>
          <w:sz w:val="24"/>
          <w:highlight w:val="none"/>
        </w:rPr>
        <w:t>供应商单位（盖章）：______________________</w:t>
      </w:r>
    </w:p>
    <w:p>
      <w:pPr>
        <w:spacing w:line="360" w:lineRule="auto"/>
        <w:jc w:val="right"/>
        <w:rPr>
          <w:rFonts w:ascii="宋体" w:hAnsi="宋体"/>
          <w:b/>
          <w:sz w:val="24"/>
          <w:highlight w:val="none"/>
        </w:rPr>
      </w:pPr>
      <w:r>
        <w:rPr>
          <w:rFonts w:hint="eastAsia" w:ascii="宋体" w:hAnsi="宋体"/>
          <w:b/>
          <w:sz w:val="24"/>
          <w:highlight w:val="none"/>
        </w:rPr>
        <w:t>法定代表人（盖章）：______________________</w:t>
      </w:r>
      <w:r>
        <w:rPr>
          <w:rFonts w:ascii="宋体" w:hAnsi="宋体"/>
          <w:b/>
          <w:sz w:val="24"/>
          <w:highlight w:val="none"/>
        </w:rPr>
        <w:t xml:space="preserve">                     </w:t>
      </w:r>
    </w:p>
    <w:p>
      <w:pPr>
        <w:tabs>
          <w:tab w:val="left" w:pos="4620"/>
        </w:tabs>
        <w:spacing w:line="360" w:lineRule="auto"/>
        <w:ind w:right="964" w:firstLine="3373" w:firstLineChars="1400"/>
        <w:rPr>
          <w:rFonts w:ascii="宋体" w:hAnsi="宋体"/>
          <w:sz w:val="24"/>
          <w:szCs w:val="22"/>
          <w:highlight w:val="none"/>
          <w:u w:val="single"/>
        </w:rPr>
      </w:pPr>
      <w:r>
        <w:rPr>
          <w:rFonts w:hint="eastAsia" w:ascii="宋体" w:hAnsi="宋体"/>
          <w:b/>
          <w:sz w:val="24"/>
          <w:szCs w:val="22"/>
          <w:highlight w:val="none"/>
        </w:rPr>
        <w:t>日</w:t>
      </w:r>
      <w:r>
        <w:rPr>
          <w:rFonts w:ascii="宋体" w:hAnsi="宋体"/>
          <w:b/>
          <w:sz w:val="24"/>
          <w:szCs w:val="22"/>
          <w:highlight w:val="none"/>
        </w:rPr>
        <w:t xml:space="preserve">      </w:t>
      </w:r>
      <w:r>
        <w:rPr>
          <w:rFonts w:hint="eastAsia" w:ascii="宋体" w:hAnsi="宋体"/>
          <w:b/>
          <w:sz w:val="24"/>
          <w:szCs w:val="22"/>
          <w:highlight w:val="none"/>
        </w:rPr>
        <w:t>期</w:t>
      </w:r>
      <w:r>
        <w:rPr>
          <w:rFonts w:hint="eastAsia" w:ascii="宋体" w:hAnsi="宋体"/>
          <w:sz w:val="24"/>
          <w:szCs w:val="22"/>
          <w:highlight w:val="none"/>
        </w:rPr>
        <w:t>：</w:t>
      </w:r>
      <w:r>
        <w:rPr>
          <w:rFonts w:ascii="宋体" w:hAnsi="宋体"/>
          <w:sz w:val="24"/>
          <w:szCs w:val="22"/>
          <w:highlight w:val="none"/>
          <w:u w:val="single"/>
        </w:rPr>
        <w:t xml:space="preserve">                     </w:t>
      </w:r>
    </w:p>
    <w:p>
      <w:pPr>
        <w:widowControl/>
        <w:jc w:val="left"/>
        <w:rPr>
          <w:rFonts w:hint="eastAsia" w:eastAsia="楷体_GB2312"/>
          <w:highlight w:val="none"/>
          <w:lang w:val="en-US" w:eastAsia="zh-CN"/>
        </w:rPr>
      </w:pPr>
      <w:r>
        <w:rPr>
          <w:rFonts w:ascii="宋体" w:hAnsi="宋体" w:cs="宋体"/>
          <w:b/>
          <w:bCs/>
          <w:sz w:val="24"/>
          <w:highlight w:val="none"/>
        </w:rPr>
        <w:br w:type="page"/>
      </w:r>
    </w:p>
    <w:p>
      <w:pPr>
        <w:pStyle w:val="5"/>
        <w:jc w:val="center"/>
        <w:rPr>
          <w:rFonts w:cs="宋体"/>
          <w:highlight w:val="none"/>
          <w:bdr w:val="single" w:color="auto" w:sz="4" w:space="0"/>
        </w:rPr>
      </w:pPr>
      <w:bookmarkStart w:id="379" w:name="_Toc54941350"/>
      <w:bookmarkStart w:id="380" w:name="_Toc476584438"/>
      <w:r>
        <w:rPr>
          <w:rFonts w:hint="eastAsia" w:cs="宋体"/>
          <w:highlight w:val="none"/>
          <w:lang w:val="en-US" w:eastAsia="zh-CN"/>
        </w:rPr>
        <w:t>七</w:t>
      </w:r>
      <w:r>
        <w:rPr>
          <w:rFonts w:hint="eastAsia" w:cs="宋体"/>
          <w:highlight w:val="none"/>
        </w:rPr>
        <w:t>、磋商证明文件</w:t>
      </w:r>
      <w:bookmarkEnd w:id="379"/>
      <w:bookmarkEnd w:id="380"/>
    </w:p>
    <w:p>
      <w:pPr>
        <w:spacing w:line="360" w:lineRule="auto"/>
        <w:ind w:firstLine="420" w:firstLineChars="200"/>
        <w:rPr>
          <w:rFonts w:ascii="宋体" w:hAnsi="宋体"/>
          <w:szCs w:val="21"/>
          <w:highlight w:val="none"/>
        </w:rPr>
      </w:pPr>
      <w:r>
        <w:rPr>
          <w:rFonts w:ascii="宋体" w:hAnsi="宋体" w:cs="宋体"/>
          <w:szCs w:val="21"/>
          <w:highlight w:val="none"/>
        </w:rPr>
        <w:t>1</w:t>
      </w:r>
      <w:r>
        <w:rPr>
          <w:rFonts w:hint="eastAsia" w:ascii="宋体" w:hAnsi="宋体" w:cs="宋体"/>
          <w:szCs w:val="21"/>
          <w:highlight w:val="none"/>
        </w:rPr>
        <w:t>、</w:t>
      </w:r>
      <w:r>
        <w:rPr>
          <w:rFonts w:hint="eastAsia" w:ascii="宋体" w:hAnsi="宋体"/>
          <w:szCs w:val="21"/>
          <w:highlight w:val="none"/>
        </w:rPr>
        <w:t>营业执照副本复印件</w:t>
      </w:r>
      <w:r>
        <w:rPr>
          <w:rFonts w:hint="eastAsia" w:ascii="宋体" w:hAnsi="宋体"/>
          <w:szCs w:val="21"/>
          <w:highlight w:val="none"/>
          <w:lang w:eastAsia="zh-CN"/>
        </w:rPr>
        <w:t>、</w:t>
      </w:r>
      <w:r>
        <w:rPr>
          <w:rFonts w:hint="eastAsia" w:ascii="宋体" w:hAnsi="宋体"/>
          <w:szCs w:val="21"/>
          <w:highlight w:val="none"/>
          <w:lang w:val="en-US" w:eastAsia="zh-CN"/>
        </w:rPr>
        <w:t>资质证书、安全生产许可证</w:t>
      </w:r>
      <w:r>
        <w:rPr>
          <w:rFonts w:hint="eastAsia" w:ascii="宋体" w:hAnsi="宋体"/>
          <w:szCs w:val="21"/>
          <w:highlight w:val="none"/>
        </w:rPr>
        <w:t>；</w:t>
      </w:r>
    </w:p>
    <w:p>
      <w:pPr>
        <w:spacing w:line="360"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rPr>
        <w:t>拟派项目经理的注册建造师证书、安全生产考核合格证</w:t>
      </w:r>
      <w:r>
        <w:rPr>
          <w:rFonts w:hint="eastAsia" w:ascii="宋体" w:hAnsi="宋体" w:eastAsia="宋体" w:cs="Times New Roman"/>
          <w:szCs w:val="21"/>
          <w:highlight w:val="none"/>
          <w:lang w:eastAsia="zh-CN"/>
        </w:rPr>
        <w:t>；</w:t>
      </w:r>
    </w:p>
    <w:p>
      <w:pPr>
        <w:spacing w:line="360"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rPr>
        <w:t>项目管理机构配备情况</w:t>
      </w:r>
      <w:r>
        <w:rPr>
          <w:rFonts w:hint="eastAsia" w:ascii="宋体" w:hAnsi="宋体" w:eastAsia="宋体" w:cs="Times New Roman"/>
          <w:szCs w:val="21"/>
          <w:highlight w:val="none"/>
          <w:lang w:eastAsia="zh-CN"/>
        </w:rPr>
        <w:t>；</w:t>
      </w:r>
    </w:p>
    <w:p>
      <w:pPr>
        <w:spacing w:line="360" w:lineRule="auto"/>
        <w:ind w:firstLine="420" w:firstLineChars="200"/>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4、供应商声明函；</w:t>
      </w:r>
    </w:p>
    <w:p>
      <w:pPr>
        <w:spacing w:line="360"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5、拟派项目经理简历；</w:t>
      </w:r>
    </w:p>
    <w:p>
      <w:pPr>
        <w:spacing w:line="360"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6、项目经理承诺；</w:t>
      </w:r>
    </w:p>
    <w:p>
      <w:pPr>
        <w:spacing w:line="360" w:lineRule="auto"/>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7、磋商报价编制人信息表</w:t>
      </w:r>
      <w:r>
        <w:rPr>
          <w:rFonts w:hint="eastAsia" w:ascii="宋体" w:hAnsi="宋体" w:cs="Times New Roman"/>
          <w:szCs w:val="21"/>
          <w:highlight w:val="none"/>
          <w:lang w:val="en-US" w:eastAsia="zh-CN"/>
        </w:rPr>
        <w:t>；</w:t>
      </w:r>
    </w:p>
    <w:p>
      <w:pPr>
        <w:spacing w:line="360" w:lineRule="auto"/>
        <w:ind w:firstLine="420" w:firstLineChars="200"/>
        <w:rPr>
          <w:rFonts w:hint="eastAsia" w:ascii="宋体" w:hAnsi="宋体" w:eastAsia="宋体" w:cs="Times New Roman"/>
          <w:szCs w:val="21"/>
          <w:highlight w:val="none"/>
          <w:lang w:val="en-US" w:eastAsia="zh-CN"/>
        </w:rPr>
      </w:pPr>
      <w:r>
        <w:rPr>
          <w:rFonts w:hint="eastAsia" w:ascii="宋体" w:hAnsi="宋体" w:cs="Times New Roman"/>
          <w:szCs w:val="21"/>
          <w:highlight w:val="none"/>
          <w:lang w:val="en-US" w:eastAsia="zh-CN"/>
        </w:rPr>
        <w:t>8</w:t>
      </w:r>
      <w:r>
        <w:rPr>
          <w:rFonts w:hint="eastAsia" w:ascii="宋体" w:hAnsi="宋体" w:eastAsia="宋体" w:cs="Times New Roman"/>
          <w:szCs w:val="21"/>
          <w:highlight w:val="none"/>
          <w:lang w:val="en-US" w:eastAsia="zh-CN"/>
        </w:rPr>
        <w:t>、拟分包情况表；</w:t>
      </w:r>
    </w:p>
    <w:p>
      <w:pPr>
        <w:spacing w:line="360" w:lineRule="auto"/>
        <w:ind w:firstLine="420" w:firstLineChars="200"/>
        <w:rPr>
          <w:rFonts w:ascii="宋体" w:hAnsi="宋体"/>
          <w:strike/>
          <w:szCs w:val="21"/>
          <w:highlight w:val="none"/>
        </w:rPr>
      </w:pPr>
      <w:r>
        <w:rPr>
          <w:rFonts w:hint="eastAsia" w:ascii="宋体" w:hAnsi="宋体"/>
          <w:szCs w:val="21"/>
          <w:highlight w:val="none"/>
          <w:lang w:val="en-US" w:eastAsia="zh-CN"/>
        </w:rPr>
        <w:t>9</w:t>
      </w:r>
      <w:r>
        <w:rPr>
          <w:rFonts w:hint="eastAsia" w:ascii="宋体" w:hAnsi="宋体"/>
          <w:szCs w:val="21"/>
          <w:highlight w:val="none"/>
        </w:rPr>
        <w:t>、</w:t>
      </w:r>
      <w:r>
        <w:rPr>
          <w:rFonts w:hint="default" w:ascii="宋体" w:hAnsi="宋体" w:eastAsia="宋体" w:cs="Times New Roman"/>
          <w:szCs w:val="21"/>
          <w:highlight w:val="none"/>
          <w:lang w:val="en-US"/>
        </w:rPr>
        <w:t>施工组织设计</w:t>
      </w:r>
      <w:r>
        <w:rPr>
          <w:rFonts w:hint="eastAsia" w:ascii="宋体" w:hAnsi="宋体" w:cs="Times New Roman"/>
          <w:szCs w:val="21"/>
          <w:highlight w:val="none"/>
          <w:lang w:val="en-US" w:eastAsia="zh-CN"/>
        </w:rPr>
        <w:t>；</w:t>
      </w:r>
      <w:r>
        <w:rPr>
          <w:rFonts w:ascii="宋体" w:hAnsi="宋体"/>
          <w:szCs w:val="21"/>
          <w:highlight w:val="none"/>
        </w:rPr>
        <w:t xml:space="preserve"> </w:t>
      </w:r>
    </w:p>
    <w:p>
      <w:pPr>
        <w:spacing w:line="360" w:lineRule="auto"/>
        <w:ind w:firstLine="420" w:firstLineChars="200"/>
        <w:rPr>
          <w:rFonts w:ascii="宋体"/>
          <w:szCs w:val="21"/>
          <w:highlight w:val="none"/>
        </w:rPr>
      </w:pPr>
      <w:r>
        <w:rPr>
          <w:rFonts w:hint="eastAsia" w:ascii="宋体" w:hAnsi="宋体"/>
          <w:szCs w:val="21"/>
          <w:highlight w:val="none"/>
          <w:lang w:val="en-US" w:eastAsia="zh-CN"/>
        </w:rPr>
        <w:t>10</w:t>
      </w:r>
      <w:r>
        <w:rPr>
          <w:rFonts w:hint="eastAsia" w:ascii="宋体" w:hAnsi="宋体"/>
          <w:szCs w:val="21"/>
          <w:highlight w:val="none"/>
        </w:rPr>
        <w:t>、法定代表人身份证明书（格式见附件）及其有效二代居民身份证；</w:t>
      </w:r>
    </w:p>
    <w:p>
      <w:pPr>
        <w:spacing w:line="360" w:lineRule="auto"/>
        <w:ind w:firstLine="420" w:firstLineChars="200"/>
        <w:rPr>
          <w:rFonts w:ascii="宋体" w:cs="宋体"/>
          <w:strike/>
          <w:szCs w:val="21"/>
          <w:highlight w:val="none"/>
        </w:rPr>
      </w:pPr>
      <w:r>
        <w:rPr>
          <w:rFonts w:hint="eastAsia" w:ascii="宋体" w:hAnsi="宋体" w:cs="宋体"/>
          <w:szCs w:val="21"/>
          <w:highlight w:val="none"/>
          <w:lang w:val="en-US" w:eastAsia="zh-CN"/>
        </w:rPr>
        <w:t>11</w:t>
      </w:r>
      <w:r>
        <w:rPr>
          <w:rFonts w:hint="eastAsia" w:ascii="宋体" w:hAnsi="宋体" w:cs="宋体"/>
          <w:szCs w:val="21"/>
          <w:highlight w:val="none"/>
        </w:rPr>
        <w:t>、</w:t>
      </w:r>
      <w:r>
        <w:rPr>
          <w:rFonts w:hint="eastAsia" w:ascii="宋体" w:hAnsi="宋体"/>
          <w:szCs w:val="21"/>
          <w:highlight w:val="none"/>
        </w:rPr>
        <w:t>法定代表人授权委托书（格式见附件）及委托代理人有效二代居民身份证，若法定代表人本人参与磋商则不需此件；</w:t>
      </w:r>
    </w:p>
    <w:p>
      <w:pPr>
        <w:spacing w:line="360" w:lineRule="auto"/>
        <w:ind w:firstLine="404" w:firstLineChars="200"/>
        <w:rPr>
          <w:rFonts w:ascii="宋体" w:cs="宋体"/>
          <w:b/>
          <w:spacing w:val="-4"/>
          <w:kern w:val="0"/>
          <w:szCs w:val="21"/>
          <w:highlight w:val="none"/>
        </w:rPr>
      </w:pPr>
      <w:r>
        <w:rPr>
          <w:rFonts w:hint="eastAsia" w:ascii="宋体" w:hAnsi="宋体" w:cs="宋体"/>
          <w:spacing w:val="-4"/>
          <w:kern w:val="0"/>
          <w:szCs w:val="21"/>
          <w:highlight w:val="none"/>
          <w:lang w:val="en-US" w:eastAsia="zh-CN"/>
        </w:rPr>
        <w:t>12</w:t>
      </w:r>
      <w:r>
        <w:rPr>
          <w:rFonts w:hint="eastAsia" w:ascii="宋体" w:hAnsi="宋体" w:cs="宋体"/>
          <w:spacing w:val="-4"/>
          <w:kern w:val="0"/>
          <w:szCs w:val="21"/>
          <w:highlight w:val="none"/>
        </w:rPr>
        <w:t>、</w:t>
      </w:r>
      <w:r>
        <w:rPr>
          <w:rFonts w:hint="eastAsia" w:ascii="宋体" w:hAnsi="宋体" w:cs="宋体"/>
          <w:szCs w:val="21"/>
          <w:highlight w:val="none"/>
        </w:rPr>
        <w:t>本项目磋商文件中要求供应商提供的其他证明材料。</w:t>
      </w:r>
    </w:p>
    <w:p>
      <w:pPr>
        <w:spacing w:line="360" w:lineRule="auto"/>
        <w:ind w:firstLine="420" w:firstLineChars="200"/>
        <w:rPr>
          <w:rFonts w:ascii="宋体" w:hAnsi="宋体" w:cs="宋体"/>
          <w:spacing w:val="-4"/>
          <w:kern w:val="0"/>
          <w:szCs w:val="21"/>
          <w:highlight w:val="none"/>
        </w:rPr>
      </w:pPr>
      <w:r>
        <w:rPr>
          <w:rFonts w:hint="eastAsia" w:ascii="宋体" w:hAnsi="宋体"/>
          <w:szCs w:val="21"/>
          <w:highlight w:val="none"/>
          <w:lang w:val="en-US" w:eastAsia="zh-CN"/>
        </w:rPr>
        <w:t>13、</w:t>
      </w:r>
      <w:r>
        <w:rPr>
          <w:rFonts w:hint="eastAsia" w:ascii="宋体" w:hAnsi="宋体"/>
          <w:szCs w:val="21"/>
          <w:highlight w:val="none"/>
        </w:rPr>
        <w:t>须提供上述证明文件复印件或扫描件或影印件</w:t>
      </w:r>
      <w:r>
        <w:rPr>
          <w:rFonts w:hint="eastAsia" w:ascii="宋体" w:hAnsi="宋体" w:cs="宋体"/>
          <w:spacing w:val="-4"/>
          <w:kern w:val="0"/>
          <w:szCs w:val="21"/>
          <w:highlight w:val="none"/>
        </w:rPr>
        <w:t>。</w:t>
      </w:r>
    </w:p>
    <w:p>
      <w:pPr>
        <w:spacing w:line="360" w:lineRule="auto"/>
        <w:ind w:firstLine="404" w:firstLineChars="200"/>
        <w:rPr>
          <w:rFonts w:ascii="宋体" w:hAnsi="宋体" w:cs="宋体"/>
          <w:spacing w:val="-4"/>
          <w:kern w:val="0"/>
          <w:szCs w:val="21"/>
          <w:highlight w:val="none"/>
        </w:rPr>
      </w:pPr>
    </w:p>
    <w:p>
      <w:pPr>
        <w:pStyle w:val="4"/>
        <w:pageBreakBefore w:val="0"/>
        <w:kinsoku/>
        <w:wordWrap/>
        <w:overflowPunct/>
        <w:topLinePunct w:val="0"/>
        <w:bidi w:val="0"/>
        <w:spacing w:line="240" w:lineRule="auto"/>
        <w:jc w:val="left"/>
        <w:rPr>
          <w:rFonts w:hint="eastAsia" w:ascii="宋体" w:hAnsi="宋体" w:eastAsia="宋体" w:cs="宋体"/>
          <w:color w:val="auto"/>
          <w:szCs w:val="30"/>
          <w:highlight w:val="none"/>
        </w:rPr>
      </w:pPr>
      <w:r>
        <w:rPr>
          <w:rFonts w:ascii="宋体" w:hAnsi="宋体" w:cs="宋体"/>
          <w:spacing w:val="-4"/>
          <w:kern w:val="0"/>
          <w:szCs w:val="21"/>
          <w:highlight w:val="none"/>
        </w:rPr>
        <w:br w:type="page"/>
      </w:r>
      <w:r>
        <w:rPr>
          <w:rFonts w:hint="eastAsia" w:ascii="宋体" w:hAnsi="宋体" w:cs="宋体"/>
          <w:b/>
          <w:spacing w:val="-4"/>
          <w:kern w:val="0"/>
          <w:sz w:val="28"/>
          <w:szCs w:val="28"/>
          <w:highlight w:val="none"/>
        </w:rPr>
        <w:t>附件：</w:t>
      </w:r>
      <w:r>
        <w:rPr>
          <w:rFonts w:hint="eastAsia" w:cs="宋体"/>
          <w:b/>
          <w:spacing w:val="-4"/>
          <w:kern w:val="0"/>
          <w:sz w:val="28"/>
          <w:szCs w:val="28"/>
          <w:highlight w:val="none"/>
          <w:lang w:val="en-US" w:eastAsia="zh-CN"/>
        </w:rPr>
        <w:t xml:space="preserve">                 </w:t>
      </w:r>
      <w:r>
        <w:rPr>
          <w:rFonts w:hint="eastAsia"/>
          <w:color w:val="auto"/>
          <w:highlight w:val="none"/>
        </w:rPr>
        <w:t>项目管理机构配备情况</w:t>
      </w:r>
    </w:p>
    <w:tbl>
      <w:tblPr>
        <w:tblStyle w:val="63"/>
        <w:tblW w:w="0" w:type="auto"/>
        <w:jc w:val="center"/>
        <w:tblLayout w:type="fixed"/>
        <w:tblCellMar>
          <w:top w:w="0" w:type="dxa"/>
          <w:left w:w="108" w:type="dxa"/>
          <w:bottom w:w="0" w:type="dxa"/>
          <w:right w:w="108" w:type="dxa"/>
        </w:tblCellMar>
      </w:tblPr>
      <w:tblGrid>
        <w:gridCol w:w="1689"/>
        <w:gridCol w:w="1400"/>
        <w:gridCol w:w="280"/>
        <w:gridCol w:w="1250"/>
        <w:gridCol w:w="581"/>
        <w:gridCol w:w="9"/>
        <w:gridCol w:w="995"/>
        <w:gridCol w:w="1050"/>
        <w:gridCol w:w="256"/>
        <w:gridCol w:w="1625"/>
      </w:tblGrid>
      <w:tr>
        <w:tblPrEx>
          <w:tblCellMar>
            <w:top w:w="0" w:type="dxa"/>
            <w:left w:w="108" w:type="dxa"/>
            <w:bottom w:w="0" w:type="dxa"/>
            <w:right w:w="108" w:type="dxa"/>
          </w:tblCellMar>
        </w:tblPrEx>
        <w:trPr>
          <w:trHeight w:val="583" w:hRule="atLeast"/>
          <w:jc w:val="center"/>
        </w:trPr>
        <w:tc>
          <w:tcPr>
            <w:tcW w:w="1689" w:type="dxa"/>
            <w:tcBorders>
              <w:top w:val="single" w:color="auto" w:sz="12" w:space="0"/>
              <w:left w:val="single" w:color="auto" w:sz="12"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1．公司人员</w:t>
            </w:r>
          </w:p>
        </w:tc>
        <w:tc>
          <w:tcPr>
            <w:tcW w:w="7446" w:type="dxa"/>
            <w:gridSpan w:val="9"/>
            <w:tcBorders>
              <w:top w:val="single" w:color="auto" w:sz="12" w:space="0"/>
              <w:left w:val="single" w:color="auto" w:sz="4"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firstLine="2160" w:firstLineChars="9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共计：人</w:t>
            </w:r>
          </w:p>
        </w:tc>
      </w:tr>
      <w:tr>
        <w:tblPrEx>
          <w:tblCellMar>
            <w:top w:w="0" w:type="dxa"/>
            <w:left w:w="108" w:type="dxa"/>
            <w:bottom w:w="0" w:type="dxa"/>
            <w:right w:w="108" w:type="dxa"/>
          </w:tblCellMar>
        </w:tblPrEx>
        <w:trPr>
          <w:trHeight w:val="510" w:hRule="atLeast"/>
          <w:jc w:val="center"/>
        </w:trPr>
        <w:tc>
          <w:tcPr>
            <w:tcW w:w="1689" w:type="dxa"/>
            <w:vMerge w:val="restart"/>
            <w:tcBorders>
              <w:top w:val="single" w:color="auto" w:sz="12" w:space="0"/>
              <w:left w:val="single" w:color="auto" w:sz="12"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其中</w:t>
            </w:r>
          </w:p>
        </w:tc>
        <w:tc>
          <w:tcPr>
            <w:tcW w:w="5565" w:type="dxa"/>
            <w:gridSpan w:val="7"/>
            <w:tcBorders>
              <w:top w:val="single" w:color="auto" w:sz="12" w:space="0"/>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有职称技术的管理人员</w:t>
            </w:r>
          </w:p>
        </w:tc>
        <w:tc>
          <w:tcPr>
            <w:tcW w:w="1881" w:type="dxa"/>
            <w:gridSpan w:val="2"/>
            <w:tcBorders>
              <w:top w:val="single" w:color="auto" w:sz="12" w:space="0"/>
              <w:left w:val="single" w:color="auto" w:sz="4"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其他管理人员</w:t>
            </w:r>
          </w:p>
        </w:tc>
      </w:tr>
      <w:tr>
        <w:tblPrEx>
          <w:tblCellMar>
            <w:top w:w="0" w:type="dxa"/>
            <w:left w:w="108" w:type="dxa"/>
            <w:bottom w:w="0" w:type="dxa"/>
            <w:right w:w="108" w:type="dxa"/>
          </w:tblCellMar>
        </w:tblPrEx>
        <w:trPr>
          <w:trHeight w:val="510" w:hRule="atLeast"/>
          <w:jc w:val="center"/>
        </w:trPr>
        <w:tc>
          <w:tcPr>
            <w:tcW w:w="1689" w:type="dxa"/>
            <w:vMerge w:val="continue"/>
            <w:tcBorders>
              <w:left w:val="single" w:color="auto" w:sz="12"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1680" w:type="dxa"/>
            <w:gridSpan w:val="2"/>
            <w:tcBorders>
              <w:top w:val="single" w:color="auto" w:sz="12" w:space="0"/>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高级工程师</w:t>
            </w:r>
          </w:p>
        </w:tc>
        <w:tc>
          <w:tcPr>
            <w:tcW w:w="1250" w:type="dxa"/>
            <w:tcBorders>
              <w:top w:val="single" w:color="auto" w:sz="12" w:space="0"/>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工程师</w:t>
            </w:r>
          </w:p>
        </w:tc>
        <w:tc>
          <w:tcPr>
            <w:tcW w:w="1585" w:type="dxa"/>
            <w:gridSpan w:val="3"/>
            <w:tcBorders>
              <w:top w:val="single" w:color="auto" w:sz="12" w:space="0"/>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助理工程师</w:t>
            </w:r>
          </w:p>
        </w:tc>
        <w:tc>
          <w:tcPr>
            <w:tcW w:w="1050" w:type="dxa"/>
            <w:tcBorders>
              <w:top w:val="single" w:color="auto" w:sz="12" w:space="0"/>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技术员</w:t>
            </w:r>
          </w:p>
        </w:tc>
        <w:tc>
          <w:tcPr>
            <w:tcW w:w="1881" w:type="dxa"/>
            <w:gridSpan w:val="2"/>
            <w:tcBorders>
              <w:top w:val="single" w:color="auto" w:sz="12" w:space="0"/>
              <w:left w:val="single" w:color="auto" w:sz="4"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p>
        </w:tc>
      </w:tr>
      <w:tr>
        <w:tblPrEx>
          <w:tblCellMar>
            <w:top w:w="0" w:type="dxa"/>
            <w:left w:w="108" w:type="dxa"/>
            <w:bottom w:w="0" w:type="dxa"/>
            <w:right w:w="108" w:type="dxa"/>
          </w:tblCellMar>
        </w:tblPrEx>
        <w:trPr>
          <w:trHeight w:val="510" w:hRule="atLeast"/>
          <w:jc w:val="center"/>
        </w:trPr>
        <w:tc>
          <w:tcPr>
            <w:tcW w:w="1689" w:type="dxa"/>
            <w:vMerge w:val="continue"/>
            <w:tcBorders>
              <w:left w:val="single" w:color="auto" w:sz="12"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1680" w:type="dxa"/>
            <w:gridSpan w:val="2"/>
            <w:tcBorders>
              <w:top w:val="single" w:color="auto" w:sz="12" w:space="0"/>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p>
        </w:tc>
        <w:tc>
          <w:tcPr>
            <w:tcW w:w="1250" w:type="dxa"/>
            <w:tcBorders>
              <w:top w:val="single" w:color="auto" w:sz="12" w:space="0"/>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p>
        </w:tc>
        <w:tc>
          <w:tcPr>
            <w:tcW w:w="1585" w:type="dxa"/>
            <w:gridSpan w:val="3"/>
            <w:tcBorders>
              <w:top w:val="single" w:color="auto" w:sz="12" w:space="0"/>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p>
        </w:tc>
        <w:tc>
          <w:tcPr>
            <w:tcW w:w="1050" w:type="dxa"/>
            <w:tcBorders>
              <w:top w:val="single" w:color="auto" w:sz="12" w:space="0"/>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p>
        </w:tc>
        <w:tc>
          <w:tcPr>
            <w:tcW w:w="1881" w:type="dxa"/>
            <w:gridSpan w:val="2"/>
            <w:tcBorders>
              <w:top w:val="single" w:color="auto" w:sz="12" w:space="0"/>
              <w:left w:val="single" w:color="auto" w:sz="4"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p>
        </w:tc>
      </w:tr>
      <w:tr>
        <w:tblPrEx>
          <w:tblCellMar>
            <w:top w:w="0" w:type="dxa"/>
            <w:left w:w="108" w:type="dxa"/>
            <w:bottom w:w="0" w:type="dxa"/>
            <w:right w:w="108" w:type="dxa"/>
          </w:tblCellMar>
        </w:tblPrEx>
        <w:trPr>
          <w:trHeight w:val="510" w:hRule="atLeast"/>
          <w:jc w:val="center"/>
        </w:trPr>
        <w:tc>
          <w:tcPr>
            <w:tcW w:w="1689" w:type="dxa"/>
            <w:vMerge w:val="continue"/>
            <w:tcBorders>
              <w:left w:val="single" w:color="auto" w:sz="12"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5565" w:type="dxa"/>
            <w:gridSpan w:val="7"/>
            <w:tcBorders>
              <w:top w:val="single" w:color="auto" w:sz="12" w:space="0"/>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技术工人</w:t>
            </w:r>
          </w:p>
        </w:tc>
        <w:tc>
          <w:tcPr>
            <w:tcW w:w="1881" w:type="dxa"/>
            <w:gridSpan w:val="2"/>
            <w:tcBorders>
              <w:top w:val="single" w:color="auto" w:sz="12" w:space="0"/>
              <w:left w:val="single" w:color="auto" w:sz="4"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p>
        </w:tc>
      </w:tr>
      <w:tr>
        <w:tblPrEx>
          <w:tblCellMar>
            <w:top w:w="0" w:type="dxa"/>
            <w:left w:w="108" w:type="dxa"/>
            <w:bottom w:w="0" w:type="dxa"/>
            <w:right w:w="108" w:type="dxa"/>
          </w:tblCellMar>
        </w:tblPrEx>
        <w:trPr>
          <w:trHeight w:val="510" w:hRule="atLeast"/>
          <w:jc w:val="center"/>
        </w:trPr>
        <w:tc>
          <w:tcPr>
            <w:tcW w:w="1689" w:type="dxa"/>
            <w:vMerge w:val="continue"/>
            <w:tcBorders>
              <w:left w:val="single" w:color="auto" w:sz="12"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1680" w:type="dxa"/>
            <w:gridSpan w:val="2"/>
            <w:tcBorders>
              <w:top w:val="single" w:color="auto" w:sz="12" w:space="0"/>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8级以上</w:t>
            </w:r>
          </w:p>
        </w:tc>
        <w:tc>
          <w:tcPr>
            <w:tcW w:w="1250" w:type="dxa"/>
            <w:tcBorders>
              <w:top w:val="single" w:color="auto" w:sz="12" w:space="0"/>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6～8级</w:t>
            </w:r>
          </w:p>
        </w:tc>
        <w:tc>
          <w:tcPr>
            <w:tcW w:w="1585" w:type="dxa"/>
            <w:gridSpan w:val="3"/>
            <w:tcBorders>
              <w:top w:val="single" w:color="auto" w:sz="12" w:space="0"/>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4～6级</w:t>
            </w:r>
          </w:p>
        </w:tc>
        <w:tc>
          <w:tcPr>
            <w:tcW w:w="1050" w:type="dxa"/>
            <w:tcBorders>
              <w:top w:val="single" w:color="auto" w:sz="12" w:space="0"/>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1～3级</w:t>
            </w:r>
          </w:p>
        </w:tc>
        <w:tc>
          <w:tcPr>
            <w:tcW w:w="1881" w:type="dxa"/>
            <w:gridSpan w:val="2"/>
            <w:tcBorders>
              <w:top w:val="single" w:color="auto" w:sz="12" w:space="0"/>
              <w:left w:val="single" w:color="auto" w:sz="4"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普通工人</w:t>
            </w:r>
          </w:p>
        </w:tc>
      </w:tr>
      <w:tr>
        <w:tblPrEx>
          <w:tblCellMar>
            <w:top w:w="0" w:type="dxa"/>
            <w:left w:w="108" w:type="dxa"/>
            <w:bottom w:w="0" w:type="dxa"/>
            <w:right w:w="108" w:type="dxa"/>
          </w:tblCellMar>
        </w:tblPrEx>
        <w:trPr>
          <w:trHeight w:val="510" w:hRule="atLeast"/>
          <w:jc w:val="center"/>
        </w:trPr>
        <w:tc>
          <w:tcPr>
            <w:tcW w:w="1689" w:type="dxa"/>
            <w:vMerge w:val="continue"/>
            <w:tcBorders>
              <w:left w:val="single" w:color="auto" w:sz="12"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1680" w:type="dxa"/>
            <w:gridSpan w:val="2"/>
            <w:tcBorders>
              <w:top w:val="single" w:color="auto" w:sz="12" w:space="0"/>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1250" w:type="dxa"/>
            <w:tcBorders>
              <w:top w:val="single" w:color="auto" w:sz="12" w:space="0"/>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1585" w:type="dxa"/>
            <w:gridSpan w:val="3"/>
            <w:tcBorders>
              <w:top w:val="single" w:color="auto" w:sz="12" w:space="0"/>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1050" w:type="dxa"/>
            <w:tcBorders>
              <w:top w:val="single" w:color="auto" w:sz="12" w:space="0"/>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1881" w:type="dxa"/>
            <w:gridSpan w:val="2"/>
            <w:tcBorders>
              <w:top w:val="single" w:color="auto" w:sz="12" w:space="0"/>
              <w:left w:val="single" w:color="auto" w:sz="4"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r>
      <w:tr>
        <w:tblPrEx>
          <w:tblCellMar>
            <w:top w:w="0" w:type="dxa"/>
            <w:left w:w="108" w:type="dxa"/>
            <w:bottom w:w="0" w:type="dxa"/>
            <w:right w:w="108" w:type="dxa"/>
          </w:tblCellMar>
        </w:tblPrEx>
        <w:trPr>
          <w:trHeight w:val="626" w:hRule="atLeast"/>
          <w:jc w:val="center"/>
        </w:trPr>
        <w:tc>
          <w:tcPr>
            <w:tcW w:w="9135" w:type="dxa"/>
            <w:gridSpan w:val="10"/>
            <w:tcBorders>
              <w:top w:val="single" w:color="auto" w:sz="6" w:space="0"/>
              <w:left w:val="single" w:color="auto" w:sz="12"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-62230</wp:posOffset>
                      </wp:positionH>
                      <wp:positionV relativeFrom="paragraph">
                        <wp:posOffset>445770</wp:posOffset>
                      </wp:positionV>
                      <wp:extent cx="1934210" cy="551815"/>
                      <wp:effectExtent l="1270" t="4445" r="7620" b="15240"/>
                      <wp:wrapNone/>
                      <wp:docPr id="3" name="直接连接符 3"/>
                      <wp:cNvGraphicFramePr/>
                      <a:graphic xmlns:a="http://schemas.openxmlformats.org/drawingml/2006/main">
                        <a:graphicData uri="http://schemas.microsoft.com/office/word/2010/wordprocessingShape">
                          <wps:wsp>
                            <wps:cNvCnPr/>
                            <wps:spPr>
                              <a:xfrm>
                                <a:off x="0" y="0"/>
                                <a:ext cx="1934210" cy="5518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9pt;margin-top:35.1pt;height:43.45pt;width:152.3pt;z-index:251660288;mso-width-relative:page;mso-height-relative:page;" filled="f" stroked="t" coordsize="21600,21600" o:gfxdata="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K3+cNcAAAAJAQAADwAAAAAAAAABACAAAAAiAAAAZHJzL2Rvd25yZXYueG1s&#10;UEsBAhQAFAAAAAgAh07iQGTysln5AQAA6QMAAA4AAAAAAAAAAQAgAAAAJgEAAGRycy9lMm9Eb2Mu&#10;eG1sUEsFBgAAAAAGAAYAWQEAAJEFAAAAAA==&#10;">
                      <v:fill on="f" focussize="0,0"/>
                      <v:stroke color="#000000" joinstyle="round"/>
                      <v:imagedata o:title=""/>
                      <o:lock v:ext="edit" aspectratio="f"/>
                    </v:line>
                  </w:pict>
                </mc:Fallback>
              </mc:AlternateConten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．拟派往本招标工程项目的管理人员和技术人员</w:t>
            </w:r>
          </w:p>
        </w:tc>
      </w:tr>
      <w:tr>
        <w:tblPrEx>
          <w:tblCellMar>
            <w:top w:w="0" w:type="dxa"/>
            <w:left w:w="108" w:type="dxa"/>
            <w:bottom w:w="0" w:type="dxa"/>
            <w:right w:w="108" w:type="dxa"/>
          </w:tblCellMar>
        </w:tblPrEx>
        <w:trPr>
          <w:trHeight w:val="450" w:hRule="atLeast"/>
          <w:jc w:val="center"/>
        </w:trPr>
        <w:tc>
          <w:tcPr>
            <w:tcW w:w="3089" w:type="dxa"/>
            <w:gridSpan w:val="2"/>
            <w:vMerge w:val="restart"/>
            <w:tcBorders>
              <w:top w:val="single" w:color="auto" w:sz="6" w:space="0"/>
              <w:left w:val="single" w:color="auto" w:sz="12"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1140" w:right="0" w:hanging="1140" w:hangingChars="475"/>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量</w:t>
            </w:r>
          </w:p>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1140" w:right="0" w:hanging="1140" w:hangingChars="475"/>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人员类别</w:t>
            </w:r>
          </w:p>
        </w:tc>
        <w:tc>
          <w:tcPr>
            <w:tcW w:w="6046" w:type="dxa"/>
            <w:gridSpan w:val="8"/>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从事本专业工作时间</w:t>
            </w:r>
          </w:p>
        </w:tc>
      </w:tr>
      <w:tr>
        <w:tblPrEx>
          <w:tblCellMar>
            <w:top w:w="0" w:type="dxa"/>
            <w:left w:w="108" w:type="dxa"/>
            <w:bottom w:w="0" w:type="dxa"/>
            <w:right w:w="108" w:type="dxa"/>
          </w:tblCellMar>
        </w:tblPrEx>
        <w:trPr>
          <w:trHeight w:val="450" w:hRule="atLeast"/>
          <w:jc w:val="center"/>
        </w:trPr>
        <w:tc>
          <w:tcPr>
            <w:tcW w:w="3089" w:type="dxa"/>
            <w:gridSpan w:val="2"/>
            <w:vMerge w:val="continue"/>
            <w:tcBorders>
              <w:left w:val="single" w:color="auto" w:sz="12" w:space="0"/>
              <w:bottom w:val="nil"/>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1140" w:right="0" w:hanging="1140" w:hangingChars="475"/>
              <w:jc w:val="left"/>
              <w:rPr>
                <w:rFonts w:hint="eastAsia" w:ascii="宋体" w:hAnsi="宋体" w:eastAsia="宋体" w:cs="宋体"/>
                <w:color w:val="auto"/>
                <w:sz w:val="24"/>
                <w:highlight w:val="none"/>
                <w:lang w:val="zh-CN"/>
              </w:rPr>
            </w:pPr>
          </w:p>
        </w:tc>
        <w:tc>
          <w:tcPr>
            <w:tcW w:w="2120" w:type="dxa"/>
            <w:gridSpan w:val="4"/>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10年以上</w:t>
            </w:r>
          </w:p>
        </w:tc>
        <w:tc>
          <w:tcPr>
            <w:tcW w:w="2301" w:type="dxa"/>
            <w:gridSpan w:val="3"/>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5年至10年</w:t>
            </w:r>
          </w:p>
        </w:tc>
        <w:tc>
          <w:tcPr>
            <w:tcW w:w="1625"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5年以下</w:t>
            </w:r>
          </w:p>
        </w:tc>
      </w:tr>
      <w:tr>
        <w:tblPrEx>
          <w:tblCellMar>
            <w:top w:w="0" w:type="dxa"/>
            <w:left w:w="108" w:type="dxa"/>
            <w:bottom w:w="0" w:type="dxa"/>
            <w:right w:w="108" w:type="dxa"/>
          </w:tblCellMar>
        </w:tblPrEx>
        <w:trPr>
          <w:trHeight w:val="576" w:hRule="atLeast"/>
          <w:jc w:val="center"/>
        </w:trPr>
        <w:tc>
          <w:tcPr>
            <w:tcW w:w="3089" w:type="dxa"/>
            <w:gridSpan w:val="2"/>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管理人员(如下所列)</w:t>
            </w:r>
          </w:p>
        </w:tc>
        <w:tc>
          <w:tcPr>
            <w:tcW w:w="211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2310"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162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r>
      <w:tr>
        <w:tblPrEx>
          <w:tblCellMar>
            <w:top w:w="0" w:type="dxa"/>
            <w:left w:w="108" w:type="dxa"/>
            <w:bottom w:w="0" w:type="dxa"/>
            <w:right w:w="108" w:type="dxa"/>
          </w:tblCellMar>
        </w:tblPrEx>
        <w:trPr>
          <w:trHeight w:val="425" w:hRule="atLeast"/>
          <w:jc w:val="center"/>
        </w:trPr>
        <w:tc>
          <w:tcPr>
            <w:tcW w:w="3089" w:type="dxa"/>
            <w:gridSpan w:val="2"/>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项目经理</w:t>
            </w:r>
          </w:p>
        </w:tc>
        <w:tc>
          <w:tcPr>
            <w:tcW w:w="211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2310"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162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r>
      <w:tr>
        <w:tblPrEx>
          <w:tblCellMar>
            <w:top w:w="0" w:type="dxa"/>
            <w:left w:w="108" w:type="dxa"/>
            <w:bottom w:w="0" w:type="dxa"/>
            <w:right w:w="108" w:type="dxa"/>
          </w:tblCellMar>
        </w:tblPrEx>
        <w:trPr>
          <w:trHeight w:val="425" w:hRule="atLeast"/>
          <w:jc w:val="center"/>
        </w:trPr>
        <w:tc>
          <w:tcPr>
            <w:tcW w:w="3089" w:type="dxa"/>
            <w:gridSpan w:val="2"/>
            <w:tcBorders>
              <w:top w:val="single" w:color="auto" w:sz="6" w:space="0"/>
              <w:left w:val="single" w:color="auto" w:sz="12" w:space="0"/>
              <w:bottom w:val="single" w:color="auto" w:sz="6" w:space="0"/>
              <w:right w:val="single" w:color="auto" w:sz="6" w:space="0"/>
            </w:tcBorders>
            <w:noWrap w:val="0"/>
            <w:vAlign w:val="top"/>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技术负责人</w:t>
            </w:r>
          </w:p>
        </w:tc>
        <w:tc>
          <w:tcPr>
            <w:tcW w:w="2111" w:type="dxa"/>
            <w:gridSpan w:val="3"/>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2310" w:type="dxa"/>
            <w:gridSpan w:val="4"/>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1625" w:type="dxa"/>
            <w:tcBorders>
              <w:top w:val="single" w:color="auto" w:sz="6" w:space="0"/>
              <w:left w:val="single" w:color="auto" w:sz="6" w:space="0"/>
              <w:bottom w:val="single" w:color="auto" w:sz="6" w:space="0"/>
              <w:right w:val="single" w:color="auto" w:sz="12" w:space="0"/>
            </w:tcBorders>
            <w:noWrap w:val="0"/>
            <w:vAlign w:val="top"/>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r>
      <w:tr>
        <w:tblPrEx>
          <w:tblCellMar>
            <w:top w:w="0" w:type="dxa"/>
            <w:left w:w="108" w:type="dxa"/>
            <w:bottom w:w="0" w:type="dxa"/>
            <w:right w:w="108" w:type="dxa"/>
          </w:tblCellMar>
        </w:tblPrEx>
        <w:trPr>
          <w:trHeight w:val="425" w:hRule="atLeast"/>
          <w:jc w:val="center"/>
        </w:trPr>
        <w:tc>
          <w:tcPr>
            <w:tcW w:w="3089" w:type="dxa"/>
            <w:gridSpan w:val="2"/>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技术人员(如下所列)</w:t>
            </w:r>
          </w:p>
        </w:tc>
        <w:tc>
          <w:tcPr>
            <w:tcW w:w="211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2310"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162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r>
      <w:tr>
        <w:tblPrEx>
          <w:tblCellMar>
            <w:top w:w="0" w:type="dxa"/>
            <w:left w:w="108" w:type="dxa"/>
            <w:bottom w:w="0" w:type="dxa"/>
            <w:right w:w="108" w:type="dxa"/>
          </w:tblCellMar>
        </w:tblPrEx>
        <w:trPr>
          <w:trHeight w:val="425" w:hRule="atLeast"/>
          <w:jc w:val="center"/>
        </w:trPr>
        <w:tc>
          <w:tcPr>
            <w:tcW w:w="3089" w:type="dxa"/>
            <w:gridSpan w:val="2"/>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211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2310"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162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r>
      <w:tr>
        <w:tblPrEx>
          <w:tblCellMar>
            <w:top w:w="0" w:type="dxa"/>
            <w:left w:w="108" w:type="dxa"/>
            <w:bottom w:w="0" w:type="dxa"/>
            <w:right w:w="108" w:type="dxa"/>
          </w:tblCellMar>
        </w:tblPrEx>
        <w:trPr>
          <w:trHeight w:val="425" w:hRule="atLeast"/>
          <w:jc w:val="center"/>
        </w:trPr>
        <w:tc>
          <w:tcPr>
            <w:tcW w:w="3089" w:type="dxa"/>
            <w:gridSpan w:val="2"/>
            <w:tcBorders>
              <w:top w:val="nil"/>
              <w:left w:val="single" w:color="auto" w:sz="12"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211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2310"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162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r>
      <w:tr>
        <w:tblPrEx>
          <w:tblCellMar>
            <w:top w:w="0" w:type="dxa"/>
            <w:left w:w="108" w:type="dxa"/>
            <w:bottom w:w="0" w:type="dxa"/>
            <w:right w:w="108" w:type="dxa"/>
          </w:tblCellMar>
        </w:tblPrEx>
        <w:trPr>
          <w:trHeight w:val="425" w:hRule="atLeast"/>
          <w:jc w:val="center"/>
        </w:trPr>
        <w:tc>
          <w:tcPr>
            <w:tcW w:w="3089" w:type="dxa"/>
            <w:gridSpan w:val="2"/>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211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2310"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162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r>
      <w:tr>
        <w:tblPrEx>
          <w:tblCellMar>
            <w:top w:w="0" w:type="dxa"/>
            <w:left w:w="108" w:type="dxa"/>
            <w:bottom w:w="0" w:type="dxa"/>
            <w:right w:w="108" w:type="dxa"/>
          </w:tblCellMar>
        </w:tblPrEx>
        <w:trPr>
          <w:trHeight w:val="425" w:hRule="atLeast"/>
          <w:jc w:val="center"/>
        </w:trPr>
        <w:tc>
          <w:tcPr>
            <w:tcW w:w="3089" w:type="dxa"/>
            <w:gridSpan w:val="2"/>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211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2310"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162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r>
      <w:tr>
        <w:tblPrEx>
          <w:tblCellMar>
            <w:top w:w="0" w:type="dxa"/>
            <w:left w:w="108" w:type="dxa"/>
            <w:bottom w:w="0" w:type="dxa"/>
            <w:right w:w="108" w:type="dxa"/>
          </w:tblCellMar>
        </w:tblPrEx>
        <w:trPr>
          <w:trHeight w:val="425" w:hRule="atLeast"/>
          <w:jc w:val="center"/>
        </w:trPr>
        <w:tc>
          <w:tcPr>
            <w:tcW w:w="3089" w:type="dxa"/>
            <w:gridSpan w:val="2"/>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211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2310"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162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r>
      <w:tr>
        <w:tblPrEx>
          <w:tblCellMar>
            <w:top w:w="0" w:type="dxa"/>
            <w:left w:w="108" w:type="dxa"/>
            <w:bottom w:w="0" w:type="dxa"/>
            <w:right w:w="108" w:type="dxa"/>
          </w:tblCellMar>
        </w:tblPrEx>
        <w:trPr>
          <w:trHeight w:val="425" w:hRule="atLeast"/>
          <w:jc w:val="center"/>
        </w:trPr>
        <w:tc>
          <w:tcPr>
            <w:tcW w:w="3089" w:type="dxa"/>
            <w:gridSpan w:val="2"/>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2111"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2310"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162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r>
      <w:tr>
        <w:tblPrEx>
          <w:tblCellMar>
            <w:top w:w="0" w:type="dxa"/>
            <w:left w:w="108" w:type="dxa"/>
            <w:bottom w:w="0" w:type="dxa"/>
            <w:right w:w="108" w:type="dxa"/>
          </w:tblCellMar>
        </w:tblPrEx>
        <w:trPr>
          <w:trHeight w:val="425" w:hRule="atLeast"/>
          <w:jc w:val="center"/>
        </w:trPr>
        <w:tc>
          <w:tcPr>
            <w:tcW w:w="3089" w:type="dxa"/>
            <w:gridSpan w:val="2"/>
            <w:tcBorders>
              <w:top w:val="single" w:color="auto" w:sz="6" w:space="0"/>
              <w:left w:val="single" w:color="auto" w:sz="12" w:space="0"/>
              <w:bottom w:val="single" w:color="auto" w:sz="12" w:space="0"/>
              <w:right w:val="single" w:color="auto" w:sz="6" w:space="0"/>
            </w:tcBorders>
            <w:noWrap w:val="0"/>
            <w:vAlign w:val="top"/>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2111" w:type="dxa"/>
            <w:gridSpan w:val="3"/>
            <w:tcBorders>
              <w:top w:val="single" w:color="auto" w:sz="6" w:space="0"/>
              <w:left w:val="single" w:color="auto" w:sz="6" w:space="0"/>
              <w:bottom w:val="single" w:color="auto" w:sz="12" w:space="0"/>
              <w:right w:val="single" w:color="auto" w:sz="6" w:space="0"/>
            </w:tcBorders>
            <w:noWrap w:val="0"/>
            <w:vAlign w:val="top"/>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2310" w:type="dxa"/>
            <w:gridSpan w:val="4"/>
            <w:tcBorders>
              <w:top w:val="single" w:color="auto" w:sz="6" w:space="0"/>
              <w:left w:val="single" w:color="auto" w:sz="6" w:space="0"/>
              <w:bottom w:val="single" w:color="auto" w:sz="12" w:space="0"/>
              <w:right w:val="single" w:color="auto" w:sz="6" w:space="0"/>
            </w:tcBorders>
            <w:noWrap w:val="0"/>
            <w:vAlign w:val="top"/>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c>
          <w:tcPr>
            <w:tcW w:w="1625" w:type="dxa"/>
            <w:tcBorders>
              <w:top w:val="single" w:color="auto" w:sz="6" w:space="0"/>
              <w:left w:val="single" w:color="auto" w:sz="6" w:space="0"/>
              <w:bottom w:val="single" w:color="auto" w:sz="12" w:space="0"/>
              <w:right w:val="single" w:color="auto" w:sz="12" w:space="0"/>
            </w:tcBorders>
            <w:noWrap w:val="0"/>
            <w:vAlign w:val="top"/>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r>
    </w:tbl>
    <w:p>
      <w:pPr>
        <w:pageBreakBefore w:val="0"/>
        <w:kinsoku/>
        <w:wordWrap/>
        <w:overflowPunct/>
        <w:topLinePunct w:val="0"/>
        <w:autoSpaceDE w:val="0"/>
        <w:autoSpaceDN w:val="0"/>
        <w:bidi w:val="0"/>
        <w:adjustRightInd w:val="0"/>
        <w:spacing w:beforeAutospacing="0" w:afterAutospacing="0" w:line="240" w:lineRule="auto"/>
        <w:ind w:firstLine="21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注：表内列举的管理人员、技术人员可随项目类型的不同而变化。</w:t>
      </w:r>
    </w:p>
    <w:p>
      <w:pPr>
        <w:pageBreakBefore w:val="0"/>
        <w:kinsoku/>
        <w:wordWrap/>
        <w:overflowPunct/>
        <w:topLinePunct w:val="0"/>
        <w:autoSpaceDE w:val="0"/>
        <w:autoSpaceDN w:val="0"/>
        <w:bidi w:val="0"/>
        <w:adjustRightInd w:val="0"/>
        <w:spacing w:beforeAutospacing="0" w:afterAutospacing="0" w:line="240" w:lineRule="auto"/>
        <w:ind w:firstLine="328" w:firstLineChars="137"/>
        <w:jc w:val="left"/>
        <w:rPr>
          <w:rFonts w:hint="eastAsia" w:ascii="宋体" w:hAnsi="宋体" w:eastAsia="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声明：</w:t>
      </w:r>
      <w:bookmarkStart w:id="381" w:name="注投标人声明"/>
      <w:r>
        <w:rPr>
          <w:rFonts w:hint="eastAsia" w:ascii="宋体" w:hAnsi="宋体" w:eastAsia="宋体" w:cs="宋体"/>
          <w:color w:val="auto"/>
          <w:sz w:val="24"/>
          <w:highlight w:val="none"/>
        </w:rPr>
        <w:t>本工程一旦我公司</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，将实行项目经理负责制，并配备上述项目管理班子，上述所报内容真实，若不真实，愿按有关规定接受处理，项目管理班子机构设置、职责分工等情况另附资料说明。</w:t>
      </w:r>
      <w:bookmarkEnd w:id="381"/>
    </w:p>
    <w:p>
      <w:pPr>
        <w:spacing w:line="360" w:lineRule="auto"/>
        <w:ind w:firstLine="546" w:firstLineChars="200"/>
        <w:rPr>
          <w:rFonts w:ascii="宋体" w:hAnsi="宋体" w:cs="宋体"/>
          <w:b/>
          <w:spacing w:val="-4"/>
          <w:kern w:val="0"/>
          <w:sz w:val="28"/>
          <w:szCs w:val="28"/>
          <w:highlight w:val="none"/>
        </w:rPr>
      </w:pPr>
    </w:p>
    <w:p>
      <w:pPr>
        <w:pStyle w:val="24"/>
        <w:rPr>
          <w:rFonts w:ascii="宋体" w:hAnsi="宋体" w:cs="宋体"/>
          <w:b/>
          <w:spacing w:val="-4"/>
          <w:kern w:val="0"/>
          <w:sz w:val="28"/>
          <w:szCs w:val="28"/>
          <w:highlight w:val="none"/>
        </w:rPr>
      </w:pPr>
    </w:p>
    <w:p>
      <w:pPr>
        <w:pStyle w:val="24"/>
        <w:rPr>
          <w:rFonts w:ascii="宋体" w:hAnsi="宋体" w:cs="宋体"/>
          <w:b/>
          <w:spacing w:val="-4"/>
          <w:kern w:val="0"/>
          <w:sz w:val="28"/>
          <w:szCs w:val="28"/>
          <w:highlight w:val="none"/>
        </w:rPr>
      </w:pPr>
    </w:p>
    <w:p>
      <w:pPr>
        <w:spacing w:line="360" w:lineRule="auto"/>
        <w:ind w:left="422"/>
        <w:rPr>
          <w:rFonts w:ascii="宋体" w:hAnsi="宋体"/>
          <w:szCs w:val="21"/>
          <w:highlight w:val="none"/>
        </w:rPr>
      </w:pPr>
      <w:r>
        <w:rPr>
          <w:rFonts w:hint="eastAsia" w:ascii="宋体" w:hAnsi="宋体"/>
          <w:szCs w:val="21"/>
          <w:highlight w:val="none"/>
        </w:rPr>
        <w:t>供应商声明函：</w:t>
      </w:r>
    </w:p>
    <w:p>
      <w:pPr>
        <w:spacing w:line="360" w:lineRule="auto"/>
        <w:ind w:left="422"/>
        <w:jc w:val="center"/>
        <w:rPr>
          <w:rFonts w:ascii="宋体" w:hAnsi="宋体"/>
          <w:b/>
          <w:bCs/>
          <w:color w:val="auto"/>
          <w:szCs w:val="21"/>
          <w:highlight w:val="none"/>
        </w:rPr>
      </w:pPr>
      <w:r>
        <w:rPr>
          <w:rFonts w:hint="eastAsia" w:ascii="宋体" w:hAnsi="宋体"/>
          <w:b/>
          <w:bCs/>
          <w:color w:val="auto"/>
          <w:szCs w:val="21"/>
          <w:highlight w:val="none"/>
        </w:rPr>
        <w:t>供应商声明函</w:t>
      </w:r>
    </w:p>
    <w:p>
      <w:pPr>
        <w:spacing w:line="360" w:lineRule="auto"/>
        <w:ind w:left="422" w:firstLine="420" w:firstLineChars="200"/>
        <w:rPr>
          <w:rFonts w:ascii="宋体" w:hAnsi="宋体"/>
          <w:b/>
          <w:bCs/>
          <w:color w:val="auto"/>
          <w:szCs w:val="21"/>
          <w:highlight w:val="none"/>
        </w:rPr>
      </w:pPr>
      <w:r>
        <w:rPr>
          <w:rFonts w:hint="eastAsia" w:ascii="宋体" w:hAnsi="宋体"/>
          <w:color w:val="auto"/>
          <w:szCs w:val="21"/>
          <w:highlight w:val="none"/>
        </w:rPr>
        <w:t>根据《中华人民共和国政府采购法》及《中华人民共和国政府采购法实施条例》 的规定，</w:t>
      </w:r>
      <w:r>
        <w:rPr>
          <w:rFonts w:hint="default" w:ascii="宋体" w:hAnsi="宋体"/>
          <w:b/>
          <w:bCs/>
          <w:color w:val="auto"/>
          <w:szCs w:val="21"/>
          <w:highlight w:val="none"/>
          <w:lang w:val="en-US"/>
        </w:rPr>
        <w:t>1</w:t>
      </w:r>
      <w:r>
        <w:rPr>
          <w:rFonts w:hint="eastAsia" w:ascii="宋体" w:hAnsi="宋体"/>
          <w:b/>
          <w:bCs/>
          <w:color w:val="auto"/>
          <w:szCs w:val="21"/>
          <w:highlight w:val="none"/>
          <w:lang w:val="en-US" w:eastAsia="zh-CN"/>
        </w:rPr>
        <w:t>、</w:t>
      </w:r>
      <w:r>
        <w:rPr>
          <w:rFonts w:hint="eastAsia" w:ascii="宋体" w:hAnsi="宋体"/>
          <w:b/>
          <w:bCs/>
          <w:color w:val="auto"/>
          <w:szCs w:val="21"/>
          <w:highlight w:val="none"/>
        </w:rPr>
        <w:t xml:space="preserve">本单位郑重声明：                                                   </w:t>
      </w:r>
    </w:p>
    <w:p>
      <w:pPr>
        <w:spacing w:line="360" w:lineRule="auto"/>
        <w:ind w:firstLine="840" w:firstLineChars="400"/>
        <w:rPr>
          <w:rFonts w:ascii="宋体" w:hAnsi="宋体"/>
          <w:color w:val="auto"/>
          <w:szCs w:val="21"/>
          <w:highlight w:val="none"/>
        </w:rPr>
      </w:pPr>
      <w:r>
        <w:rPr>
          <w:rFonts w:hint="eastAsia" w:ascii="宋体" w:hAnsi="宋体"/>
          <w:color w:val="auto"/>
          <w:szCs w:val="21"/>
          <w:highlight w:val="none"/>
        </w:rPr>
        <w:t xml:space="preserve">我单位完全符合《中华人民共和国政府采购法》第二十二条规定及本项目所要求的资格条件：              </w:t>
      </w:r>
    </w:p>
    <w:p>
      <w:pPr>
        <w:spacing w:line="360" w:lineRule="auto"/>
        <w:ind w:firstLine="840" w:firstLineChars="400"/>
        <w:rPr>
          <w:rFonts w:ascii="宋体" w:hAnsi="宋体"/>
          <w:color w:val="auto"/>
          <w:szCs w:val="21"/>
          <w:highlight w:val="none"/>
        </w:rPr>
      </w:pPr>
      <w:r>
        <w:rPr>
          <w:rFonts w:hint="eastAsia" w:ascii="宋体" w:hAnsi="宋体"/>
          <w:color w:val="auto"/>
          <w:szCs w:val="21"/>
          <w:highlight w:val="none"/>
        </w:rPr>
        <w:t xml:space="preserve">（1）具有独立承担民事责任的能力；                                          </w:t>
      </w:r>
    </w:p>
    <w:p>
      <w:pPr>
        <w:spacing w:line="360" w:lineRule="auto"/>
        <w:ind w:firstLine="840" w:firstLineChars="400"/>
        <w:rPr>
          <w:rFonts w:ascii="宋体" w:hAnsi="宋体"/>
          <w:color w:val="auto"/>
          <w:szCs w:val="21"/>
          <w:highlight w:val="none"/>
        </w:rPr>
      </w:pPr>
      <w:r>
        <w:rPr>
          <w:rFonts w:hint="eastAsia" w:ascii="宋体" w:hAnsi="宋体"/>
          <w:color w:val="auto"/>
          <w:szCs w:val="21"/>
          <w:highlight w:val="none"/>
        </w:rPr>
        <w:t xml:space="preserve">（2）具有良好的商业信誉和健全的财务会计制度；                              </w:t>
      </w:r>
    </w:p>
    <w:p>
      <w:pPr>
        <w:spacing w:line="360" w:lineRule="auto"/>
        <w:ind w:left="420" w:leftChars="200" w:firstLine="420" w:firstLineChars="200"/>
        <w:rPr>
          <w:rFonts w:ascii="宋体" w:hAnsi="宋体"/>
          <w:color w:val="auto"/>
          <w:szCs w:val="21"/>
          <w:highlight w:val="none"/>
        </w:rPr>
      </w:pPr>
      <w:r>
        <w:rPr>
          <w:rFonts w:hint="eastAsia" w:ascii="宋体" w:hAnsi="宋体"/>
          <w:color w:val="auto"/>
          <w:szCs w:val="21"/>
          <w:highlight w:val="none"/>
        </w:rPr>
        <w:t xml:space="preserve">（3）具有履行合同所必需的设备和专业技术能力；                              </w:t>
      </w:r>
    </w:p>
    <w:p>
      <w:pPr>
        <w:spacing w:line="360" w:lineRule="auto"/>
        <w:ind w:left="420" w:leftChars="200" w:firstLine="420" w:firstLineChars="200"/>
        <w:rPr>
          <w:rFonts w:ascii="宋体" w:hAnsi="宋体"/>
          <w:color w:val="auto"/>
          <w:szCs w:val="21"/>
          <w:highlight w:val="none"/>
        </w:rPr>
      </w:pPr>
      <w:r>
        <w:rPr>
          <w:rFonts w:hint="eastAsia" w:ascii="宋体" w:hAnsi="宋体"/>
          <w:color w:val="auto"/>
          <w:szCs w:val="21"/>
          <w:highlight w:val="none"/>
        </w:rPr>
        <w:t xml:space="preserve">（4）有依法缴纳税收和社会保障资金的良好记录；                              </w:t>
      </w:r>
    </w:p>
    <w:p>
      <w:pPr>
        <w:spacing w:line="360" w:lineRule="auto"/>
        <w:ind w:left="420" w:leftChars="200" w:firstLine="420" w:firstLineChars="200"/>
        <w:rPr>
          <w:rFonts w:ascii="宋体" w:hAnsi="宋体"/>
          <w:color w:val="auto"/>
          <w:szCs w:val="21"/>
          <w:highlight w:val="none"/>
        </w:rPr>
      </w:pPr>
      <w:r>
        <w:rPr>
          <w:rFonts w:hint="eastAsia" w:ascii="宋体" w:hAnsi="宋体"/>
          <w:color w:val="auto"/>
          <w:szCs w:val="21"/>
          <w:highlight w:val="none"/>
        </w:rPr>
        <w:t xml:space="preserve">（5）参加政府采购活动前三年内，在经营活动中没有重大违法记录，包括：我单位因违法经营受到刑事处罚或者责令停产停业、吊销许可证或者执照、较大数额罚款等行政处罚；   </w:t>
      </w:r>
    </w:p>
    <w:p>
      <w:pPr>
        <w:spacing w:line="360" w:lineRule="auto"/>
        <w:ind w:firstLine="840" w:firstLineChars="400"/>
        <w:rPr>
          <w:rFonts w:hint="eastAsia" w:ascii="宋体" w:hAnsi="宋体"/>
          <w:color w:val="auto"/>
          <w:szCs w:val="21"/>
          <w:highlight w:val="none"/>
        </w:rPr>
      </w:pPr>
      <w:r>
        <w:rPr>
          <w:rFonts w:hint="eastAsia" w:ascii="宋体" w:hAnsi="宋体"/>
          <w:color w:val="auto"/>
          <w:szCs w:val="21"/>
          <w:highlight w:val="none"/>
        </w:rPr>
        <w:t>（6）我单位不在财政部门依法作出的禁止参加政府采购活动的行政处罚期限内；</w:t>
      </w:r>
    </w:p>
    <w:p>
      <w:pPr>
        <w:spacing w:line="360" w:lineRule="auto"/>
        <w:ind w:firstLine="840" w:firstLineChars="400"/>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7</w:t>
      </w:r>
      <w:r>
        <w:rPr>
          <w:rFonts w:hint="eastAsia" w:ascii="宋体" w:hAnsi="宋体"/>
          <w:color w:val="auto"/>
          <w:szCs w:val="21"/>
          <w:highlight w:val="none"/>
          <w:lang w:eastAsia="zh-CN"/>
        </w:rPr>
        <w:t>）</w:t>
      </w:r>
      <w:r>
        <w:rPr>
          <w:rFonts w:hint="eastAsia" w:ascii="宋体" w:hAnsi="宋体" w:eastAsia="宋体" w:cs="Times New Roman"/>
          <w:color w:val="auto"/>
          <w:szCs w:val="21"/>
          <w:highlight w:val="none"/>
          <w:lang w:val="en-US" w:eastAsia="zh-CN"/>
        </w:rPr>
        <w:t>不存在竞争性磋商须知3.</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lang w:val="en-US" w:eastAsia="zh-CN"/>
        </w:rPr>
        <w:t>.1和3.</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lang w:val="en-US" w:eastAsia="zh-CN"/>
        </w:rPr>
        <w:t>.2情形；</w:t>
      </w:r>
      <w:r>
        <w:rPr>
          <w:rFonts w:hint="eastAsia" w:ascii="宋体" w:hAnsi="宋体" w:eastAsia="宋体" w:cs="Times New Roman"/>
          <w:color w:val="auto"/>
          <w:szCs w:val="21"/>
          <w:highlight w:val="none"/>
        </w:rPr>
        <w:t xml:space="preserve">    </w:t>
      </w:r>
    </w:p>
    <w:p>
      <w:pPr>
        <w:spacing w:line="360" w:lineRule="auto"/>
        <w:ind w:left="420" w:leftChars="200" w:firstLine="420" w:firstLineChars="200"/>
        <w:rPr>
          <w:rFonts w:hint="eastAsia" w:ascii="宋体" w:hAnsi="宋体"/>
          <w:color w:val="auto"/>
          <w:szCs w:val="21"/>
          <w:highlight w:val="none"/>
        </w:rPr>
      </w:pPr>
      <w:r>
        <w:rPr>
          <w:rFonts w:hint="eastAsia" w:ascii="宋体" w:hAnsi="宋体"/>
          <w:color w:val="auto"/>
          <w:szCs w:val="21"/>
          <w:highlight w:val="none"/>
        </w:rPr>
        <w:t>（7）符合法律、行政法规规定的其他条件。</w:t>
      </w:r>
    </w:p>
    <w:p>
      <w:pPr>
        <w:tabs>
          <w:tab w:val="left" w:pos="604"/>
        </w:tabs>
        <w:spacing w:line="360" w:lineRule="auto"/>
        <w:ind w:firstLine="422" w:firstLineChars="200"/>
        <w:rPr>
          <w:rFonts w:hint="eastAsia" w:ascii="宋体" w:hAnsi="宋体"/>
          <w:b/>
          <w:bCs/>
          <w:color w:val="auto"/>
          <w:szCs w:val="21"/>
          <w:highlight w:val="none"/>
        </w:rPr>
      </w:pPr>
      <w:r>
        <w:rPr>
          <w:rFonts w:hint="default" w:ascii="宋体" w:hAnsi="宋体"/>
          <w:b/>
          <w:bCs/>
          <w:color w:val="auto"/>
          <w:szCs w:val="21"/>
          <w:highlight w:val="none"/>
          <w:lang w:val="en-US"/>
        </w:rPr>
        <w:t>2</w:t>
      </w:r>
      <w:r>
        <w:rPr>
          <w:rFonts w:hint="eastAsia" w:ascii="宋体" w:hAnsi="宋体"/>
          <w:b/>
          <w:bCs/>
          <w:color w:val="auto"/>
          <w:szCs w:val="21"/>
          <w:highlight w:val="none"/>
          <w:lang w:val="en-US" w:eastAsia="zh-CN"/>
        </w:rPr>
        <w:t>、</w:t>
      </w:r>
      <w:r>
        <w:rPr>
          <w:rFonts w:hint="eastAsia" w:ascii="宋体" w:hAnsi="宋体"/>
          <w:b/>
          <w:bCs/>
          <w:color w:val="auto"/>
          <w:szCs w:val="21"/>
          <w:highlight w:val="none"/>
        </w:rPr>
        <w:t>本单位郑重声明，我单位无以下不良信用记录情形：</w:t>
      </w:r>
    </w:p>
    <w:p>
      <w:pPr>
        <w:spacing w:line="360" w:lineRule="auto"/>
        <w:ind w:left="422" w:firstLine="420" w:firstLineChars="200"/>
        <w:rPr>
          <w:rFonts w:hint="eastAsia" w:ascii="宋体" w:hAnsi="宋体"/>
          <w:color w:val="auto"/>
          <w:szCs w:val="21"/>
          <w:highlight w:val="none"/>
        </w:rPr>
      </w:pPr>
      <w:r>
        <w:rPr>
          <w:rFonts w:hint="eastAsia" w:ascii="宋体" w:hAnsi="宋体"/>
          <w:color w:val="auto"/>
          <w:szCs w:val="21"/>
          <w:highlight w:val="none"/>
        </w:rPr>
        <w:t>（1）被人民法院列入失信被执行人；</w:t>
      </w:r>
    </w:p>
    <w:p>
      <w:pPr>
        <w:spacing w:line="360" w:lineRule="auto"/>
        <w:ind w:left="422" w:firstLine="420" w:firstLineChars="200"/>
        <w:rPr>
          <w:rFonts w:hint="eastAsia" w:ascii="宋体" w:hAnsi="宋体"/>
          <w:color w:val="auto"/>
          <w:szCs w:val="21"/>
          <w:highlight w:val="none"/>
        </w:rPr>
      </w:pPr>
      <w:r>
        <w:rPr>
          <w:rFonts w:hint="eastAsia" w:ascii="宋体" w:hAnsi="宋体"/>
          <w:color w:val="auto"/>
          <w:szCs w:val="21"/>
          <w:highlight w:val="none"/>
        </w:rPr>
        <w:t>（2）单位、法定代表人或拟派项目经理（项目负责人）被人民检察院列入行贿犯罪档案；</w:t>
      </w:r>
    </w:p>
    <w:p>
      <w:pPr>
        <w:spacing w:line="360" w:lineRule="auto"/>
        <w:ind w:left="422" w:firstLine="420" w:firstLineChars="200"/>
        <w:rPr>
          <w:rFonts w:hint="eastAsia" w:ascii="宋体" w:hAnsi="宋体"/>
          <w:color w:val="auto"/>
          <w:szCs w:val="21"/>
          <w:highlight w:val="none"/>
        </w:rPr>
      </w:pPr>
      <w:r>
        <w:rPr>
          <w:rFonts w:hint="eastAsia" w:ascii="宋体" w:hAnsi="宋体"/>
          <w:color w:val="auto"/>
          <w:szCs w:val="21"/>
          <w:highlight w:val="none"/>
        </w:rPr>
        <w:t>（3）被</w:t>
      </w:r>
      <w:r>
        <w:rPr>
          <w:rFonts w:hint="eastAsia" w:ascii="宋体" w:hAnsi="宋体"/>
          <w:color w:val="auto"/>
          <w:szCs w:val="21"/>
          <w:highlight w:val="none"/>
          <w:lang w:val="en-US" w:eastAsia="zh-CN"/>
        </w:rPr>
        <w:t>市场监督管理</w:t>
      </w:r>
      <w:r>
        <w:rPr>
          <w:rFonts w:hint="eastAsia" w:ascii="宋体" w:hAnsi="宋体"/>
          <w:color w:val="auto"/>
          <w:szCs w:val="21"/>
          <w:highlight w:val="none"/>
        </w:rPr>
        <w:t>部门列入企业经营异常名录；</w:t>
      </w:r>
    </w:p>
    <w:p>
      <w:pPr>
        <w:spacing w:line="360" w:lineRule="auto"/>
        <w:ind w:left="422" w:firstLine="420" w:firstLineChars="200"/>
        <w:rPr>
          <w:rFonts w:hint="eastAsia" w:ascii="宋体" w:hAnsi="宋体"/>
          <w:color w:val="auto"/>
          <w:szCs w:val="21"/>
          <w:highlight w:val="none"/>
        </w:rPr>
      </w:pPr>
      <w:r>
        <w:rPr>
          <w:rFonts w:hint="eastAsia" w:ascii="宋体" w:hAnsi="宋体"/>
          <w:color w:val="auto"/>
          <w:szCs w:val="21"/>
          <w:highlight w:val="none"/>
        </w:rPr>
        <w:t>（4）被税务部门列入重大税收违法案件当事人名单；</w:t>
      </w:r>
    </w:p>
    <w:p>
      <w:pPr>
        <w:spacing w:line="360" w:lineRule="auto"/>
        <w:ind w:left="422" w:firstLine="420" w:firstLineChars="200"/>
        <w:rPr>
          <w:rFonts w:hint="eastAsia" w:ascii="宋体" w:hAnsi="宋体"/>
          <w:color w:val="auto"/>
          <w:szCs w:val="21"/>
          <w:highlight w:val="none"/>
        </w:rPr>
      </w:pPr>
      <w:r>
        <w:rPr>
          <w:rFonts w:hint="eastAsia" w:ascii="宋体" w:hAnsi="宋体"/>
          <w:color w:val="auto"/>
          <w:szCs w:val="21"/>
          <w:highlight w:val="none"/>
        </w:rPr>
        <w:t>（5）被政府采购监管部门列入政府采购严重违法失信行为记录名单。</w:t>
      </w:r>
    </w:p>
    <w:p>
      <w:pPr>
        <w:spacing w:line="360" w:lineRule="auto"/>
        <w:ind w:left="420" w:leftChars="200" w:firstLine="420" w:firstLineChars="200"/>
        <w:rPr>
          <w:rFonts w:ascii="宋体" w:hAnsi="宋体"/>
          <w:color w:val="auto"/>
          <w:szCs w:val="21"/>
          <w:highlight w:val="none"/>
        </w:rPr>
      </w:pPr>
      <w:r>
        <w:rPr>
          <w:rFonts w:hint="eastAsia" w:ascii="宋体" w:hAnsi="宋体"/>
          <w:color w:val="auto"/>
          <w:szCs w:val="21"/>
          <w:highlight w:val="none"/>
        </w:rPr>
        <w:t xml:space="preserve">                                    </w:t>
      </w:r>
    </w:p>
    <w:p>
      <w:pPr>
        <w:spacing w:line="360" w:lineRule="auto"/>
        <w:ind w:left="422" w:firstLine="420" w:firstLineChars="200"/>
        <w:rPr>
          <w:rFonts w:ascii="宋体" w:hAnsi="宋体"/>
          <w:color w:val="auto"/>
          <w:szCs w:val="21"/>
          <w:highlight w:val="none"/>
        </w:rPr>
      </w:pPr>
      <w:r>
        <w:rPr>
          <w:rFonts w:hint="eastAsia" w:ascii="宋体" w:hAnsi="宋体"/>
          <w:color w:val="auto"/>
          <w:szCs w:val="21"/>
          <w:highlight w:val="none"/>
        </w:rPr>
        <w:t>我单位承诺：合同签订前，若我单位不符合《中华人民共和国政府采购法》第二十二条规定及本项目所要求的资格条件，贵方可取消我单位成交资格或者不授予合同，所有责任由我单位自行承担。同时， 我单位愿意无条件接受监管部门的调查处理。</w:t>
      </w:r>
    </w:p>
    <w:p>
      <w:pPr>
        <w:spacing w:line="360" w:lineRule="auto"/>
        <w:ind w:left="422"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pacing w:line="360" w:lineRule="auto"/>
        <w:ind w:firstLine="420" w:firstLineChars="200"/>
        <w:jc w:val="right"/>
        <w:rPr>
          <w:rFonts w:ascii="宋体" w:hAnsi="宋体"/>
          <w:color w:val="auto"/>
          <w:szCs w:val="21"/>
          <w:highlight w:val="none"/>
        </w:rPr>
      </w:pPr>
      <w:r>
        <w:rPr>
          <w:rFonts w:hint="eastAsia" w:ascii="宋体" w:hAnsi="宋体"/>
          <w:color w:val="auto"/>
          <w:szCs w:val="21"/>
          <w:highlight w:val="none"/>
        </w:rPr>
        <w:t xml:space="preserve">供应商公章：_______________________                                           </w:t>
      </w:r>
    </w:p>
    <w:p>
      <w:pPr>
        <w:spacing w:line="360" w:lineRule="auto"/>
        <w:jc w:val="center"/>
        <w:outlineLvl w:val="2"/>
        <w:rPr>
          <w:rFonts w:ascii="宋体" w:hAnsi="宋体" w:cs="宋体"/>
          <w:b/>
          <w:spacing w:val="-4"/>
          <w:kern w:val="0"/>
          <w:sz w:val="28"/>
          <w:szCs w:val="28"/>
          <w:highlight w:val="none"/>
        </w:rPr>
      </w:pPr>
      <w:r>
        <w:rPr>
          <w:rFonts w:hint="eastAsia" w:hAnsi="宋体"/>
          <w:color w:val="auto"/>
          <w:szCs w:val="21"/>
          <w:highlight w:val="none"/>
        </w:rPr>
        <w:t xml:space="preserve">               </w:t>
      </w:r>
      <w:r>
        <w:rPr>
          <w:rFonts w:hAnsi="宋体"/>
          <w:color w:val="auto"/>
          <w:szCs w:val="21"/>
          <w:highlight w:val="none"/>
        </w:rPr>
        <w:t xml:space="preserve">                                 </w:t>
      </w:r>
      <w:r>
        <w:rPr>
          <w:rFonts w:hint="eastAsia" w:hAnsi="宋体"/>
          <w:color w:val="auto"/>
          <w:szCs w:val="21"/>
          <w:highlight w:val="none"/>
        </w:rPr>
        <w:t xml:space="preserve"> 日期：       年     月     日</w:t>
      </w:r>
    </w:p>
    <w:p>
      <w:pPr>
        <w:pStyle w:val="4"/>
        <w:pageBreakBefore w:val="0"/>
        <w:kinsoku/>
        <w:wordWrap/>
        <w:overflowPunct/>
        <w:topLinePunct w:val="0"/>
        <w:bidi w:val="0"/>
        <w:spacing w:line="240" w:lineRule="auto"/>
        <w:rPr>
          <w:rFonts w:hint="eastAsia" w:ascii="宋体" w:hAnsi="宋体" w:eastAsia="宋体" w:cs="宋体"/>
          <w:color w:val="auto"/>
          <w:szCs w:val="30"/>
          <w:highlight w:val="none"/>
        </w:rPr>
      </w:pPr>
      <w:r>
        <w:rPr>
          <w:rFonts w:hint="eastAsia"/>
          <w:color w:val="auto"/>
          <w:highlight w:val="none"/>
        </w:rPr>
        <w:t>拟派项目经理简历</w:t>
      </w:r>
    </w:p>
    <w:tbl>
      <w:tblPr>
        <w:tblStyle w:val="63"/>
        <w:tblW w:w="9440" w:type="dxa"/>
        <w:jc w:val="center"/>
        <w:tblLayout w:type="fixed"/>
        <w:tblCellMar>
          <w:top w:w="0" w:type="dxa"/>
          <w:left w:w="28" w:type="dxa"/>
          <w:bottom w:w="0" w:type="dxa"/>
          <w:right w:w="28" w:type="dxa"/>
        </w:tblCellMar>
      </w:tblPr>
      <w:tblGrid>
        <w:gridCol w:w="1300"/>
        <w:gridCol w:w="910"/>
        <w:gridCol w:w="330"/>
        <w:gridCol w:w="2610"/>
        <w:gridCol w:w="1155"/>
        <w:gridCol w:w="3135"/>
      </w:tblGrid>
      <w:tr>
        <w:tblPrEx>
          <w:tblCellMar>
            <w:top w:w="0" w:type="dxa"/>
            <w:left w:w="28" w:type="dxa"/>
            <w:bottom w:w="0" w:type="dxa"/>
            <w:right w:w="28" w:type="dxa"/>
          </w:tblCellMar>
        </w:tblPrEx>
        <w:trPr>
          <w:trHeight w:val="870" w:hRule="atLeast"/>
          <w:jc w:val="center"/>
        </w:trPr>
        <w:tc>
          <w:tcPr>
            <w:tcW w:w="2210" w:type="dxa"/>
            <w:gridSpan w:val="2"/>
            <w:tcBorders>
              <w:top w:val="single" w:color="auto" w:sz="12" w:space="0"/>
              <w:left w:val="single" w:color="auto" w:sz="12"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拟任职位</w:t>
            </w:r>
          </w:p>
        </w:tc>
        <w:tc>
          <w:tcPr>
            <w:tcW w:w="7230" w:type="dxa"/>
            <w:gridSpan w:val="4"/>
            <w:tcBorders>
              <w:top w:val="single" w:color="auto" w:sz="12" w:space="0"/>
              <w:left w:val="single" w:color="auto" w:sz="4"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r>
      <w:tr>
        <w:tblPrEx>
          <w:tblCellMar>
            <w:top w:w="0" w:type="dxa"/>
            <w:left w:w="28" w:type="dxa"/>
            <w:bottom w:w="0" w:type="dxa"/>
            <w:right w:w="28" w:type="dxa"/>
          </w:tblCellMar>
        </w:tblPrEx>
        <w:trPr>
          <w:trHeight w:val="870" w:hRule="atLeast"/>
          <w:jc w:val="center"/>
        </w:trPr>
        <w:tc>
          <w:tcPr>
            <w:tcW w:w="2210" w:type="dxa"/>
            <w:gridSpan w:val="2"/>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姓名</w:t>
            </w:r>
          </w:p>
        </w:tc>
        <w:tc>
          <w:tcPr>
            <w:tcW w:w="2940" w:type="dxa"/>
            <w:gridSpan w:val="2"/>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p>
        </w:tc>
        <w:tc>
          <w:tcPr>
            <w:tcW w:w="115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出生年月</w:t>
            </w:r>
          </w:p>
        </w:tc>
        <w:tc>
          <w:tcPr>
            <w:tcW w:w="3135" w:type="dxa"/>
            <w:tcBorders>
              <w:top w:val="single" w:color="auto" w:sz="6" w:space="0"/>
              <w:left w:val="single" w:color="auto" w:sz="4"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firstLine="480" w:firstLineChars="200"/>
              <w:jc w:val="left"/>
              <w:rPr>
                <w:rFonts w:hint="eastAsia" w:ascii="宋体" w:hAnsi="宋体" w:eastAsia="宋体" w:cs="宋体"/>
                <w:color w:val="auto"/>
                <w:sz w:val="24"/>
                <w:highlight w:val="none"/>
                <w:lang w:val="zh-CN"/>
              </w:rPr>
            </w:pPr>
          </w:p>
        </w:tc>
      </w:tr>
      <w:tr>
        <w:tblPrEx>
          <w:tblCellMar>
            <w:top w:w="0" w:type="dxa"/>
            <w:left w:w="28" w:type="dxa"/>
            <w:bottom w:w="0" w:type="dxa"/>
            <w:right w:w="28" w:type="dxa"/>
          </w:tblCellMar>
        </w:tblPrEx>
        <w:trPr>
          <w:trHeight w:val="870" w:hRule="atLeast"/>
          <w:jc w:val="center"/>
        </w:trPr>
        <w:tc>
          <w:tcPr>
            <w:tcW w:w="2210" w:type="dxa"/>
            <w:gridSpan w:val="2"/>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执业或职业资格</w:t>
            </w:r>
          </w:p>
        </w:tc>
        <w:tc>
          <w:tcPr>
            <w:tcW w:w="7230" w:type="dxa"/>
            <w:gridSpan w:val="4"/>
            <w:tcBorders>
              <w:top w:val="single" w:color="auto" w:sz="6" w:space="0"/>
              <w:left w:val="single" w:color="auto" w:sz="4"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p>
        </w:tc>
      </w:tr>
      <w:tr>
        <w:tblPrEx>
          <w:tblCellMar>
            <w:top w:w="0" w:type="dxa"/>
            <w:left w:w="28" w:type="dxa"/>
            <w:bottom w:w="0" w:type="dxa"/>
            <w:right w:w="28" w:type="dxa"/>
          </w:tblCellMar>
        </w:tblPrEx>
        <w:trPr>
          <w:trHeight w:val="870" w:hRule="atLeast"/>
          <w:jc w:val="center"/>
        </w:trPr>
        <w:tc>
          <w:tcPr>
            <w:tcW w:w="2210" w:type="dxa"/>
            <w:gridSpan w:val="2"/>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学历</w:t>
            </w:r>
          </w:p>
        </w:tc>
        <w:tc>
          <w:tcPr>
            <w:tcW w:w="2940" w:type="dxa"/>
            <w:gridSpan w:val="2"/>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p>
        </w:tc>
        <w:tc>
          <w:tcPr>
            <w:tcW w:w="115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职称</w:t>
            </w:r>
          </w:p>
        </w:tc>
        <w:tc>
          <w:tcPr>
            <w:tcW w:w="3135" w:type="dxa"/>
            <w:tcBorders>
              <w:top w:val="single" w:color="auto" w:sz="6" w:space="0"/>
              <w:left w:val="single" w:color="auto" w:sz="4"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r>
      <w:tr>
        <w:tblPrEx>
          <w:tblCellMar>
            <w:top w:w="0" w:type="dxa"/>
            <w:left w:w="28" w:type="dxa"/>
            <w:bottom w:w="0" w:type="dxa"/>
            <w:right w:w="28" w:type="dxa"/>
          </w:tblCellMar>
        </w:tblPrEx>
        <w:trPr>
          <w:trHeight w:val="870" w:hRule="atLeast"/>
          <w:jc w:val="center"/>
        </w:trPr>
        <w:tc>
          <w:tcPr>
            <w:tcW w:w="2210" w:type="dxa"/>
            <w:gridSpan w:val="2"/>
            <w:tcBorders>
              <w:top w:val="single" w:color="auto" w:sz="4" w:space="0"/>
              <w:left w:val="single" w:color="auto" w:sz="12" w:space="0"/>
              <w:bottom w:val="nil"/>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职务</w:t>
            </w:r>
          </w:p>
        </w:tc>
        <w:tc>
          <w:tcPr>
            <w:tcW w:w="2940" w:type="dxa"/>
            <w:gridSpan w:val="2"/>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p>
        </w:tc>
        <w:tc>
          <w:tcPr>
            <w:tcW w:w="115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工作年限</w:t>
            </w:r>
          </w:p>
        </w:tc>
        <w:tc>
          <w:tcPr>
            <w:tcW w:w="3135" w:type="dxa"/>
            <w:tcBorders>
              <w:top w:val="single" w:color="auto" w:sz="6" w:space="0"/>
              <w:left w:val="single" w:color="auto" w:sz="4"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color w:val="auto"/>
                <w:sz w:val="24"/>
                <w:highlight w:val="none"/>
                <w:lang w:val="zh-CN"/>
              </w:rPr>
            </w:pPr>
          </w:p>
        </w:tc>
      </w:tr>
      <w:tr>
        <w:tblPrEx>
          <w:tblCellMar>
            <w:top w:w="0" w:type="dxa"/>
            <w:left w:w="28" w:type="dxa"/>
            <w:bottom w:w="0" w:type="dxa"/>
            <w:right w:w="28" w:type="dxa"/>
          </w:tblCellMar>
        </w:tblPrEx>
        <w:trPr>
          <w:trHeight w:val="870" w:hRule="atLeast"/>
          <w:jc w:val="center"/>
        </w:trPr>
        <w:tc>
          <w:tcPr>
            <w:tcW w:w="1300"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自</w:t>
            </w:r>
          </w:p>
        </w:tc>
        <w:tc>
          <w:tcPr>
            <w:tcW w:w="1240"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至</w:t>
            </w:r>
          </w:p>
        </w:tc>
        <w:tc>
          <w:tcPr>
            <w:tcW w:w="6900" w:type="dxa"/>
            <w:gridSpan w:val="3"/>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bCs/>
                <w:color w:val="auto"/>
                <w:sz w:val="24"/>
                <w:highlight w:val="none"/>
                <w:lang w:val="zh-CN"/>
              </w:rPr>
            </w:pPr>
            <w:r>
              <w:rPr>
                <w:rFonts w:hint="eastAsia" w:ascii="宋体" w:hAnsi="宋体" w:eastAsia="宋体" w:cs="宋体"/>
                <w:color w:val="auto"/>
                <w:sz w:val="24"/>
                <w:highlight w:val="none"/>
              </w:rPr>
              <w:t>主要经验及承担的项目</w:t>
            </w:r>
          </w:p>
        </w:tc>
      </w:tr>
      <w:tr>
        <w:tblPrEx>
          <w:tblCellMar>
            <w:top w:w="0" w:type="dxa"/>
            <w:left w:w="28" w:type="dxa"/>
            <w:bottom w:w="0" w:type="dxa"/>
            <w:right w:w="28" w:type="dxa"/>
          </w:tblCellMar>
        </w:tblPrEx>
        <w:trPr>
          <w:trHeight w:val="870" w:hRule="atLeast"/>
          <w:jc w:val="center"/>
        </w:trPr>
        <w:tc>
          <w:tcPr>
            <w:tcW w:w="1300"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年月</w:t>
            </w:r>
          </w:p>
        </w:tc>
        <w:tc>
          <w:tcPr>
            <w:tcW w:w="1240"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firstLine="240" w:firstLineChars="1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年月</w:t>
            </w:r>
          </w:p>
        </w:tc>
        <w:tc>
          <w:tcPr>
            <w:tcW w:w="6900" w:type="dxa"/>
            <w:gridSpan w:val="3"/>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p>
        </w:tc>
      </w:tr>
      <w:tr>
        <w:tblPrEx>
          <w:tblCellMar>
            <w:top w:w="0" w:type="dxa"/>
            <w:left w:w="28" w:type="dxa"/>
            <w:bottom w:w="0" w:type="dxa"/>
            <w:right w:w="28" w:type="dxa"/>
          </w:tblCellMar>
        </w:tblPrEx>
        <w:trPr>
          <w:trHeight w:val="870" w:hRule="atLeast"/>
          <w:jc w:val="center"/>
        </w:trPr>
        <w:tc>
          <w:tcPr>
            <w:tcW w:w="1300"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年月</w:t>
            </w:r>
          </w:p>
        </w:tc>
        <w:tc>
          <w:tcPr>
            <w:tcW w:w="1240"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年月</w:t>
            </w:r>
          </w:p>
        </w:tc>
        <w:tc>
          <w:tcPr>
            <w:tcW w:w="6900" w:type="dxa"/>
            <w:gridSpan w:val="3"/>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p>
        </w:tc>
      </w:tr>
      <w:tr>
        <w:tblPrEx>
          <w:tblCellMar>
            <w:top w:w="0" w:type="dxa"/>
            <w:left w:w="28" w:type="dxa"/>
            <w:bottom w:w="0" w:type="dxa"/>
            <w:right w:w="28" w:type="dxa"/>
          </w:tblCellMar>
        </w:tblPrEx>
        <w:trPr>
          <w:trHeight w:val="870" w:hRule="atLeast"/>
          <w:jc w:val="center"/>
        </w:trPr>
        <w:tc>
          <w:tcPr>
            <w:tcW w:w="1300"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年月</w:t>
            </w:r>
          </w:p>
        </w:tc>
        <w:tc>
          <w:tcPr>
            <w:tcW w:w="1240"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年月</w:t>
            </w:r>
          </w:p>
        </w:tc>
        <w:tc>
          <w:tcPr>
            <w:tcW w:w="6900" w:type="dxa"/>
            <w:gridSpan w:val="3"/>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p>
        </w:tc>
      </w:tr>
      <w:tr>
        <w:tblPrEx>
          <w:tblCellMar>
            <w:top w:w="0" w:type="dxa"/>
            <w:left w:w="28" w:type="dxa"/>
            <w:bottom w:w="0" w:type="dxa"/>
            <w:right w:w="28" w:type="dxa"/>
          </w:tblCellMar>
        </w:tblPrEx>
        <w:trPr>
          <w:trHeight w:val="870" w:hRule="atLeast"/>
          <w:jc w:val="center"/>
        </w:trPr>
        <w:tc>
          <w:tcPr>
            <w:tcW w:w="1300"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年月</w:t>
            </w:r>
          </w:p>
        </w:tc>
        <w:tc>
          <w:tcPr>
            <w:tcW w:w="1240"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年月</w:t>
            </w:r>
          </w:p>
        </w:tc>
        <w:tc>
          <w:tcPr>
            <w:tcW w:w="6900" w:type="dxa"/>
            <w:gridSpan w:val="3"/>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p>
        </w:tc>
      </w:tr>
      <w:tr>
        <w:tblPrEx>
          <w:tblCellMar>
            <w:top w:w="0" w:type="dxa"/>
            <w:left w:w="28" w:type="dxa"/>
            <w:bottom w:w="0" w:type="dxa"/>
            <w:right w:w="28" w:type="dxa"/>
          </w:tblCellMar>
        </w:tblPrEx>
        <w:trPr>
          <w:trHeight w:val="870" w:hRule="atLeast"/>
          <w:jc w:val="center"/>
        </w:trPr>
        <w:tc>
          <w:tcPr>
            <w:tcW w:w="1300"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年月</w:t>
            </w:r>
          </w:p>
        </w:tc>
        <w:tc>
          <w:tcPr>
            <w:tcW w:w="1240"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年月</w:t>
            </w:r>
          </w:p>
        </w:tc>
        <w:tc>
          <w:tcPr>
            <w:tcW w:w="6900" w:type="dxa"/>
            <w:gridSpan w:val="3"/>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kern w:val="0"/>
                <w:sz w:val="24"/>
                <w:highlight w:val="none"/>
                <w:lang w:val="zh-CN"/>
              </w:rPr>
            </w:pPr>
          </w:p>
        </w:tc>
      </w:tr>
      <w:tr>
        <w:tblPrEx>
          <w:tblCellMar>
            <w:top w:w="0" w:type="dxa"/>
            <w:left w:w="28" w:type="dxa"/>
            <w:bottom w:w="0" w:type="dxa"/>
            <w:right w:w="28" w:type="dxa"/>
          </w:tblCellMar>
        </w:tblPrEx>
        <w:trPr>
          <w:trHeight w:val="1485" w:hRule="atLeast"/>
          <w:jc w:val="center"/>
        </w:trPr>
        <w:tc>
          <w:tcPr>
            <w:tcW w:w="2540" w:type="dxa"/>
            <w:gridSpan w:val="3"/>
            <w:tcBorders>
              <w:top w:val="single" w:color="auto" w:sz="6" w:space="0"/>
              <w:left w:val="single" w:color="auto" w:sz="12" w:space="0"/>
              <w:bottom w:val="single" w:color="auto" w:sz="12"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说明在岗情况</w:t>
            </w:r>
          </w:p>
        </w:tc>
        <w:tc>
          <w:tcPr>
            <w:tcW w:w="6900" w:type="dxa"/>
            <w:gridSpan w:val="3"/>
            <w:tcBorders>
              <w:top w:val="single" w:color="auto" w:sz="6" w:space="0"/>
              <w:left w:val="single" w:color="auto" w:sz="6" w:space="0"/>
              <w:bottom w:val="single" w:color="auto" w:sz="12"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color w:val="auto"/>
                <w:sz w:val="24"/>
                <w:szCs w:val="24"/>
                <w:highlight w:val="none"/>
              </w:rPr>
            </w:pP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响应文件提交截止</w:t>
            </w:r>
            <w:r>
              <w:rPr>
                <w:rFonts w:hint="eastAsia" w:ascii="宋体" w:hAnsi="宋体" w:eastAsia="宋体" w:cs="宋体"/>
                <w:color w:val="auto"/>
                <w:kern w:val="0"/>
                <w:sz w:val="24"/>
                <w:szCs w:val="24"/>
                <w:highlight w:val="none"/>
                <w:lang w:val="en-US" w:eastAsia="zh-CN" w:bidi="ar"/>
              </w:rPr>
              <w:t>日未在其他项目担任项目经理，现从事工作为：</w:t>
            </w:r>
            <w:r>
              <w:rPr>
                <w:rFonts w:hint="default" w:ascii="Times New Roman" w:hAnsi="Times New Roman" w:eastAsia="宋体" w:cs="Times New Roman"/>
                <w:color w:val="auto"/>
                <w:kern w:val="0"/>
                <w:sz w:val="24"/>
                <w:szCs w:val="24"/>
                <w:highlight w:val="none"/>
                <w:lang w:val="en-US" w:eastAsia="zh-CN" w:bidi="ar"/>
              </w:rPr>
              <w:t xml:space="preserve">______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color w:val="auto"/>
                <w:sz w:val="24"/>
                <w:szCs w:val="24"/>
                <w:highlight w:val="none"/>
              </w:rPr>
            </w:pPr>
            <w:r>
              <w:rPr>
                <w:rFonts w:hint="eastAsia" w:ascii="宋体" w:hAnsi="宋体" w:eastAsia="宋体" w:cs="宋体"/>
                <w:color w:val="auto"/>
                <w:kern w:val="0"/>
                <w:sz w:val="24"/>
                <w:szCs w:val="24"/>
                <w:highlight w:val="none"/>
                <w:lang w:val="en-US" w:eastAsia="zh-CN" w:bidi="ar"/>
              </w:rPr>
              <w:sym w:font="Wingdings 2" w:char="00A3"/>
            </w:r>
            <w:r>
              <w:rPr>
                <w:rFonts w:hint="eastAsia" w:ascii="宋体" w:hAnsi="宋体" w:eastAsia="宋体" w:cs="宋体"/>
                <w:color w:val="auto"/>
                <w:kern w:val="0"/>
                <w:sz w:val="24"/>
                <w:szCs w:val="24"/>
                <w:highlight w:val="none"/>
                <w:lang w:val="en-US" w:eastAsia="zh-CN" w:bidi="ar"/>
              </w:rPr>
              <w:t xml:space="preserve">虽在其他项目上担任项目经理岗位，但承诺在本项目成交后合同签订前能够从其他项目变更至本项目并全面履约。目前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en-US" w:eastAsia="zh-CN" w:bidi="ar"/>
              </w:rPr>
              <w:t>任职项目：</w:t>
            </w:r>
            <w:r>
              <w:rPr>
                <w:rFonts w:hint="default" w:ascii="Times New Roman" w:hAnsi="Times New Roman" w:eastAsia="宋体" w:cs="Times New Roman"/>
                <w:color w:val="auto"/>
                <w:kern w:val="0"/>
                <w:sz w:val="24"/>
                <w:szCs w:val="24"/>
                <w:highlight w:val="none"/>
                <w:lang w:val="en-US" w:eastAsia="zh-CN" w:bidi="ar"/>
              </w:rPr>
              <w:t>________________________</w:t>
            </w:r>
            <w:r>
              <w:rPr>
                <w:rFonts w:hint="eastAsia" w:ascii="宋体" w:hAnsi="宋体" w:eastAsia="宋体" w:cs="宋体"/>
                <w:color w:val="auto"/>
                <w:kern w:val="0"/>
                <w:sz w:val="24"/>
                <w:szCs w:val="24"/>
                <w:highlight w:val="none"/>
                <w:lang w:val="en-US" w:eastAsia="zh-CN" w:bidi="ar"/>
              </w:rPr>
              <w:t xml:space="preserve">。 </w:t>
            </w:r>
          </w:p>
        </w:tc>
      </w:tr>
    </w:tbl>
    <w:p>
      <w:pPr>
        <w:pageBreakBefore w:val="0"/>
        <w:kinsoku/>
        <w:wordWrap/>
        <w:overflowPunct/>
        <w:topLinePunct w:val="0"/>
        <w:autoSpaceDE w:val="0"/>
        <w:autoSpaceDN w:val="0"/>
        <w:bidi w:val="0"/>
        <w:adjustRightInd w:val="0"/>
        <w:spacing w:beforeAutospacing="0" w:afterAutospacing="0" w:line="240" w:lineRule="auto"/>
        <w:ind w:firstLine="240" w:firstLineChars="1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注：1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zh-CN"/>
        </w:rPr>
        <w:t>提供主要人员的专业经验,特别须注明其在技术及管理方面与本工程相类似的特殊经验。</w:t>
      </w:r>
    </w:p>
    <w:p>
      <w:pPr>
        <w:pageBreakBefore w:val="0"/>
        <w:numPr>
          <w:ilvl w:val="0"/>
          <w:numId w:val="10"/>
        </w:numPr>
        <w:kinsoku/>
        <w:wordWrap/>
        <w:overflowPunct/>
        <w:topLinePunct w:val="0"/>
        <w:autoSpaceDE w:val="0"/>
        <w:autoSpaceDN w:val="0"/>
        <w:bidi w:val="0"/>
        <w:adjustRightInd w:val="0"/>
        <w:spacing w:beforeAutospacing="0" w:afterAutospacing="0" w:line="240" w:lineRule="auto"/>
        <w:ind w:left="0" w:leftChars="0" w:firstLine="360" w:firstLineChars="150"/>
        <w:jc w:val="left"/>
        <w:rPr>
          <w:rFonts w:hint="eastAsia" w:ascii="宋体" w:hAnsi="宋体" w:eastAsia="宋体" w:cs="宋体"/>
          <w:color w:val="auto"/>
          <w:sz w:val="24"/>
          <w:highlight w:val="none"/>
          <w:lang w:val="zh-CN"/>
        </w:rPr>
      </w:pPr>
      <w:r>
        <w:rPr>
          <w:rFonts w:hint="eastAsia" w:ascii="宋体" w:hAnsi="宋体" w:cs="宋体"/>
          <w:color w:val="auto"/>
          <w:sz w:val="24"/>
          <w:highlight w:val="none"/>
          <w:lang w:val="zh-CN"/>
        </w:rPr>
        <w:t>供应商</w:t>
      </w:r>
      <w:r>
        <w:rPr>
          <w:rFonts w:hint="eastAsia" w:ascii="宋体" w:hAnsi="宋体" w:eastAsia="宋体" w:cs="宋体"/>
          <w:color w:val="auto"/>
          <w:sz w:val="24"/>
          <w:highlight w:val="none"/>
          <w:lang w:val="zh-CN"/>
        </w:rPr>
        <w:t>须提供拟派往本招标工程的项目经理身份证</w:t>
      </w:r>
      <w:r>
        <w:rPr>
          <w:rFonts w:hint="eastAsia" w:ascii="宋体" w:hAnsi="宋体" w:eastAsia="宋体" w:cs="宋体"/>
          <w:color w:val="auto"/>
          <w:sz w:val="24"/>
          <w:highlight w:val="none"/>
          <w:lang w:val="en-US" w:eastAsia="zh-CN"/>
        </w:rPr>
        <w:t>复印件或</w:t>
      </w:r>
      <w:r>
        <w:rPr>
          <w:rFonts w:hint="eastAsia" w:ascii="宋体" w:hAnsi="宋体" w:eastAsia="宋体" w:cs="宋体"/>
          <w:color w:val="auto"/>
          <w:sz w:val="24"/>
          <w:highlight w:val="none"/>
        </w:rPr>
        <w:t>影印件或扫描件</w:t>
      </w:r>
      <w:r>
        <w:rPr>
          <w:rFonts w:hint="eastAsia" w:ascii="宋体" w:hAnsi="宋体" w:eastAsia="宋体" w:cs="宋体"/>
          <w:color w:val="auto"/>
          <w:sz w:val="24"/>
          <w:highlight w:val="none"/>
          <w:lang w:val="zh-CN"/>
        </w:rPr>
        <w:t>。</w:t>
      </w:r>
    </w:p>
    <w:p>
      <w:pPr>
        <w:pageBreakBefore w:val="0"/>
        <w:numPr>
          <w:ilvl w:val="0"/>
          <w:numId w:val="10"/>
        </w:numPr>
        <w:kinsoku/>
        <w:wordWrap/>
        <w:overflowPunct/>
        <w:topLinePunct w:val="0"/>
        <w:autoSpaceDE w:val="0"/>
        <w:autoSpaceDN w:val="0"/>
        <w:bidi w:val="0"/>
        <w:adjustRightInd w:val="0"/>
        <w:spacing w:beforeAutospacing="0" w:afterAutospacing="0" w:line="240" w:lineRule="auto"/>
        <w:ind w:left="0" w:leftChars="0" w:firstLine="360" w:firstLineChars="15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说明在岗情况仅须拟派项目经理提供。</w:t>
      </w:r>
    </w:p>
    <w:p>
      <w:pPr>
        <w:pStyle w:val="4"/>
        <w:pageBreakBefore w:val="0"/>
        <w:kinsoku/>
        <w:wordWrap/>
        <w:overflowPunct/>
        <w:topLinePunct w:val="0"/>
        <w:bidi w:val="0"/>
        <w:spacing w:line="240" w:lineRule="auto"/>
        <w:rPr>
          <w:rFonts w:hint="eastAsia"/>
          <w:b/>
          <w:color w:val="auto"/>
          <w:highlight w:val="none"/>
          <w:lang w:eastAsia="zh-CN"/>
        </w:rPr>
      </w:pPr>
      <w:r>
        <w:rPr>
          <w:rFonts w:hint="eastAsia"/>
          <w:b/>
          <w:color w:val="auto"/>
          <w:highlight w:val="none"/>
          <w:lang w:val="en-US" w:eastAsia="zh-CN"/>
        </w:rPr>
        <w:t>项目经理承诺</w:t>
      </w:r>
    </w:p>
    <w:p>
      <w:pPr>
        <w:keepNext w:val="0"/>
        <w:keepLines w:val="0"/>
        <w:pageBreakBefore w:val="0"/>
        <w:widowControl/>
        <w:suppressLineNumbers w:val="0"/>
        <w:kinsoku/>
        <w:wordWrap/>
        <w:overflowPunct/>
        <w:topLinePunct w:val="0"/>
        <w:autoSpaceDE/>
        <w:autoSpaceDN/>
        <w:bidi w:val="0"/>
        <w:adjustRightInd/>
        <w:snapToGrid/>
        <w:spacing w:line="600" w:lineRule="auto"/>
        <w:jc w:val="left"/>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致：______________(</w:t>
      </w:r>
      <w:r>
        <w:rPr>
          <w:rFonts w:hint="eastAsia" w:ascii="宋体" w:hAnsi="宋体" w:cs="宋体"/>
          <w:color w:val="auto"/>
          <w:kern w:val="0"/>
          <w:sz w:val="24"/>
          <w:szCs w:val="24"/>
          <w:highlight w:val="none"/>
          <w:lang w:val="en-US" w:eastAsia="zh-CN" w:bidi="ar"/>
        </w:rPr>
        <w:t>采购人</w:t>
      </w:r>
      <w:r>
        <w:rPr>
          <w:rFonts w:hint="eastAsia" w:ascii="宋体" w:hAnsi="宋体" w:eastAsia="宋体" w:cs="宋体"/>
          <w:color w:val="auto"/>
          <w:kern w:val="0"/>
          <w:sz w:val="24"/>
          <w:szCs w:val="24"/>
          <w:highlight w:val="none"/>
          <w:lang w:val="en-US" w:eastAsia="zh-CN" w:bidi="ar"/>
        </w:rPr>
        <w:t xml:space="preserve">名称) </w:t>
      </w:r>
    </w:p>
    <w:p>
      <w:pPr>
        <w:keepNext w:val="0"/>
        <w:keepLines w:val="0"/>
        <w:pageBreakBefore w:val="0"/>
        <w:widowControl/>
        <w:suppressLineNumbers w:val="0"/>
        <w:kinsoku/>
        <w:wordWrap/>
        <w:overflowPunct/>
        <w:topLinePunct w:val="0"/>
        <w:autoSpaceDE/>
        <w:autoSpaceDN/>
        <w:bidi w:val="0"/>
        <w:adjustRightInd/>
        <w:snapToGrid/>
        <w:spacing w:line="600" w:lineRule="auto"/>
        <w:ind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本人作为拟委任的项目经理，现郑重承诺如下： </w:t>
      </w:r>
    </w:p>
    <w:p>
      <w:pPr>
        <w:keepNext w:val="0"/>
        <w:keepLines w:val="0"/>
        <w:pageBreakBefore w:val="0"/>
        <w:widowControl/>
        <w:suppressLineNumbers w:val="0"/>
        <w:kinsoku/>
        <w:wordWrap/>
        <w:overflowPunct/>
        <w:topLinePunct w:val="0"/>
        <w:autoSpaceDE/>
        <w:autoSpaceDN/>
        <w:bidi w:val="0"/>
        <w:adjustRightInd/>
        <w:snapToGrid/>
        <w:spacing w:line="600" w:lineRule="auto"/>
        <w:ind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一、</w:t>
      </w:r>
      <w:r>
        <w:rPr>
          <w:rFonts w:hint="eastAsia" w:ascii="宋体" w:hAnsi="宋体" w:cs="宋体"/>
          <w:color w:val="auto"/>
          <w:kern w:val="0"/>
          <w:sz w:val="24"/>
          <w:szCs w:val="24"/>
          <w:highlight w:val="none"/>
          <w:lang w:val="en-US" w:eastAsia="zh-CN" w:bidi="ar"/>
        </w:rPr>
        <w:t>磋商响应文件</w:t>
      </w:r>
      <w:r>
        <w:rPr>
          <w:rFonts w:hint="eastAsia" w:ascii="宋体" w:hAnsi="宋体" w:eastAsia="宋体" w:cs="宋体"/>
          <w:color w:val="auto"/>
          <w:kern w:val="0"/>
          <w:sz w:val="24"/>
          <w:szCs w:val="24"/>
          <w:highlight w:val="none"/>
          <w:lang w:val="en-US" w:eastAsia="zh-CN" w:bidi="ar"/>
        </w:rPr>
        <w:t xml:space="preserve">中提供的项目经理业绩已经本人核实，工程实施过程中项目经理确为本人，真实无误，不存在虚假和挂靠现象，也不存在为投标而造假的行为。 </w:t>
      </w:r>
    </w:p>
    <w:p>
      <w:pPr>
        <w:keepNext w:val="0"/>
        <w:keepLines w:val="0"/>
        <w:pageBreakBefore w:val="0"/>
        <w:widowControl/>
        <w:suppressLineNumbers w:val="0"/>
        <w:kinsoku/>
        <w:wordWrap/>
        <w:overflowPunct/>
        <w:topLinePunct w:val="0"/>
        <w:autoSpaceDE/>
        <w:autoSpaceDN/>
        <w:bidi w:val="0"/>
        <w:adjustRightInd/>
        <w:snapToGrid/>
        <w:spacing w:line="600" w:lineRule="auto"/>
        <w:ind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二、响应文件提交截止日未在其他项目担任项目经理，或虽在其他项目上担任项目经理岗位，但承诺在本项目成交后合同签订前能够从其他项目变更至本项目并全面履约。</w:t>
      </w:r>
    </w:p>
    <w:p>
      <w:pPr>
        <w:keepNext w:val="0"/>
        <w:keepLines w:val="0"/>
        <w:pageBreakBefore w:val="0"/>
        <w:widowControl/>
        <w:suppressLineNumbers w:val="0"/>
        <w:kinsoku/>
        <w:wordWrap/>
        <w:overflowPunct/>
        <w:topLinePunct w:val="0"/>
        <w:autoSpaceDE/>
        <w:autoSpaceDN/>
        <w:bidi w:val="0"/>
        <w:adjustRightInd/>
        <w:snapToGrid/>
        <w:spacing w:line="600" w:lineRule="auto"/>
        <w:ind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三、以上承诺如果发现虚假现象，本人愿意承担相应法律责任，并随时无条件配合贵方调查取证。 </w:t>
      </w:r>
    </w:p>
    <w:p>
      <w:pPr>
        <w:keepNext w:val="0"/>
        <w:keepLines w:val="0"/>
        <w:pageBreakBefore w:val="0"/>
        <w:widowControl/>
        <w:suppressLineNumbers w:val="0"/>
        <w:kinsoku/>
        <w:wordWrap/>
        <w:overflowPunct/>
        <w:topLinePunct w:val="0"/>
        <w:autoSpaceDE/>
        <w:autoSpaceDN/>
        <w:bidi w:val="0"/>
        <w:adjustRightInd/>
        <w:snapToGrid/>
        <w:spacing w:line="600" w:lineRule="auto"/>
        <w:ind w:firstLine="1200" w:firstLineChars="500"/>
        <w:jc w:val="left"/>
        <w:textAlignment w:val="auto"/>
        <w:rPr>
          <w:rFonts w:hint="eastAsia" w:ascii="宋体" w:hAnsi="宋体" w:eastAsia="宋体" w:cs="宋体"/>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auto"/>
        <w:ind w:firstLine="1200" w:firstLineChars="500"/>
        <w:jc w:val="right"/>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项目经理： </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（签字） </w:t>
      </w:r>
    </w:p>
    <w:p>
      <w:pPr>
        <w:keepNext w:val="0"/>
        <w:keepLines w:val="0"/>
        <w:pageBreakBefore w:val="0"/>
        <w:widowControl/>
        <w:suppressLineNumbers w:val="0"/>
        <w:kinsoku/>
        <w:wordWrap/>
        <w:overflowPunct/>
        <w:topLinePunct w:val="0"/>
        <w:autoSpaceDE/>
        <w:autoSpaceDN/>
        <w:bidi w:val="0"/>
        <w:adjustRightInd/>
        <w:snapToGrid/>
        <w:spacing w:line="600" w:lineRule="auto"/>
        <w:ind w:left="0" w:leftChars="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          身份证号： </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auto"/>
        <w:ind w:firstLine="1200" w:firstLineChars="500"/>
        <w:jc w:val="center"/>
        <w:textAlignment w:val="auto"/>
        <w:rPr>
          <w:rFonts w:hint="default" w:ascii="宋体" w:hAnsi="宋体" w:eastAsia="宋体" w:cs="宋体"/>
          <w:color w:val="auto"/>
          <w:kern w:val="0"/>
          <w:sz w:val="24"/>
          <w:szCs w:val="24"/>
          <w:highlight w:val="none"/>
          <w:u w:val="single"/>
          <w:lang w:val="en-US" w:eastAsia="zh-CN" w:bidi="ar"/>
        </w:rPr>
      </w:pPr>
      <w:r>
        <w:rPr>
          <w:rFonts w:hint="eastAsia" w:ascii="Times New Roman" w:hAnsi="Times New Roman" w:eastAsia="宋体" w:cs="Times New Roman"/>
          <w:b w:val="0"/>
          <w:bCs w:val="0"/>
          <w:color w:val="auto"/>
          <w:kern w:val="2"/>
          <w:sz w:val="24"/>
          <w:szCs w:val="24"/>
          <w:highlight w:val="none"/>
          <w:lang w:val="en-US" w:eastAsia="zh-CN" w:bidi="ar-SA"/>
        </w:rPr>
        <w:t xml:space="preserve">                           投 标 人： </w:t>
      </w:r>
      <w:r>
        <w:rPr>
          <w:rFonts w:hint="eastAsia" w:ascii="宋体" w:hAnsi="宋体" w:eastAsia="宋体" w:cs="宋体"/>
          <w:color w:val="auto"/>
          <w:kern w:val="0"/>
          <w:sz w:val="24"/>
          <w:szCs w:val="24"/>
          <w:highlight w:val="none"/>
          <w:u w:val="single"/>
          <w:lang w:val="en-US" w:eastAsia="zh-CN" w:bidi="ar"/>
        </w:rPr>
        <w:t xml:space="preserve">              </w:t>
      </w:r>
      <w:r>
        <w:rPr>
          <w:rFonts w:hint="eastAsia" w:ascii="Times New Roman" w:hAnsi="Times New Roman" w:eastAsia="宋体" w:cs="Times New Roman"/>
          <w:b w:val="0"/>
          <w:bCs w:val="0"/>
          <w:color w:val="auto"/>
          <w:kern w:val="2"/>
          <w:sz w:val="24"/>
          <w:szCs w:val="24"/>
          <w:highlight w:val="none"/>
          <w:lang w:val="en-US" w:eastAsia="zh-CN" w:bidi="ar-SA"/>
        </w:rPr>
        <w:t>（盖公章）</w:t>
      </w:r>
    </w:p>
    <w:p>
      <w:pPr>
        <w:pStyle w:val="24"/>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日期：_____年____月____日 </w:t>
      </w: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numPr>
          <w:ilvl w:val="0"/>
          <w:numId w:val="0"/>
        </w:numPr>
        <w:tabs>
          <w:tab w:val="left" w:pos="6720"/>
        </w:tabs>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磋商报价编制人信息表</w:t>
      </w:r>
    </w:p>
    <w:tbl>
      <w:tblPr>
        <w:tblStyle w:val="64"/>
        <w:tblW w:w="9606" w:type="dxa"/>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609"/>
        <w:gridCol w:w="1847"/>
        <w:gridCol w:w="1547"/>
        <w:gridCol w:w="1925"/>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序号</w:t>
            </w:r>
          </w:p>
        </w:tc>
        <w:tc>
          <w:tcPr>
            <w:tcW w:w="1609" w:type="dxa"/>
            <w:noWrap w:val="0"/>
            <w:vAlign w:val="center"/>
          </w:tcPr>
          <w:p>
            <w:pPr>
              <w:numPr>
                <w:ilvl w:val="0"/>
                <w:numId w:val="0"/>
              </w:numPr>
              <w:jc w:val="center"/>
              <w:rPr>
                <w:rFonts w:hint="default"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姓名</w:t>
            </w:r>
          </w:p>
        </w:tc>
        <w:tc>
          <w:tcPr>
            <w:tcW w:w="1847" w:type="dxa"/>
            <w:noWrap w:val="0"/>
            <w:vAlign w:val="center"/>
          </w:tcPr>
          <w:p>
            <w:pPr>
              <w:numPr>
                <w:ilvl w:val="0"/>
                <w:numId w:val="0"/>
              </w:numPr>
              <w:jc w:val="center"/>
              <w:rPr>
                <w:rFonts w:hint="default"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身份证号码</w:t>
            </w:r>
          </w:p>
        </w:tc>
        <w:tc>
          <w:tcPr>
            <w:tcW w:w="1547" w:type="dxa"/>
            <w:noWrap w:val="0"/>
            <w:vAlign w:val="center"/>
          </w:tcPr>
          <w:p>
            <w:pPr>
              <w:numPr>
                <w:ilvl w:val="0"/>
                <w:numId w:val="0"/>
              </w:numPr>
              <w:jc w:val="center"/>
              <w:rPr>
                <w:rFonts w:hint="default"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手机号码</w:t>
            </w:r>
          </w:p>
        </w:tc>
        <w:tc>
          <w:tcPr>
            <w:tcW w:w="19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单位名称</w:t>
            </w:r>
          </w:p>
        </w:tc>
        <w:tc>
          <w:tcPr>
            <w:tcW w:w="19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注册造价工程师注册证书号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753" w:type="dxa"/>
            <w:noWrap w:val="0"/>
            <w:vAlign w:val="top"/>
          </w:tcPr>
          <w:p>
            <w:pPr>
              <w:numPr>
                <w:ilvl w:val="0"/>
                <w:numId w:val="0"/>
              </w:numPr>
              <w:jc w:val="center"/>
              <w:rPr>
                <w:rFonts w:hint="default" w:ascii="仿宋_GB2312" w:hAnsi="仿宋_GB2312" w:eastAsia="仿宋_GB2312" w:cs="仿宋_GB2312"/>
                <w:sz w:val="32"/>
                <w:szCs w:val="32"/>
                <w:highlight w:val="none"/>
                <w:vertAlign w:val="baseline"/>
                <w:lang w:val="en-US" w:eastAsia="zh-CN"/>
              </w:rPr>
            </w:pPr>
          </w:p>
        </w:tc>
        <w:tc>
          <w:tcPr>
            <w:tcW w:w="1609" w:type="dxa"/>
            <w:noWrap w:val="0"/>
            <w:vAlign w:val="top"/>
          </w:tcPr>
          <w:p>
            <w:pPr>
              <w:numPr>
                <w:ilvl w:val="0"/>
                <w:numId w:val="0"/>
              </w:numPr>
              <w:jc w:val="center"/>
              <w:rPr>
                <w:rFonts w:hint="default" w:ascii="仿宋_GB2312" w:hAnsi="仿宋_GB2312" w:eastAsia="仿宋_GB2312" w:cs="仿宋_GB2312"/>
                <w:sz w:val="32"/>
                <w:szCs w:val="32"/>
                <w:highlight w:val="none"/>
                <w:vertAlign w:val="baseline"/>
                <w:lang w:val="en-US" w:eastAsia="zh-CN"/>
              </w:rPr>
            </w:pPr>
          </w:p>
        </w:tc>
        <w:tc>
          <w:tcPr>
            <w:tcW w:w="1847" w:type="dxa"/>
            <w:noWrap w:val="0"/>
            <w:vAlign w:val="top"/>
          </w:tcPr>
          <w:p>
            <w:pPr>
              <w:numPr>
                <w:ilvl w:val="0"/>
                <w:numId w:val="0"/>
              </w:numPr>
              <w:jc w:val="center"/>
              <w:rPr>
                <w:rFonts w:hint="default" w:ascii="仿宋_GB2312" w:hAnsi="仿宋_GB2312" w:eastAsia="仿宋_GB2312" w:cs="仿宋_GB2312"/>
                <w:sz w:val="32"/>
                <w:szCs w:val="32"/>
                <w:highlight w:val="none"/>
                <w:vertAlign w:val="baseline"/>
                <w:lang w:val="en-US" w:eastAsia="zh-CN"/>
              </w:rPr>
            </w:pPr>
          </w:p>
        </w:tc>
        <w:tc>
          <w:tcPr>
            <w:tcW w:w="1547" w:type="dxa"/>
            <w:noWrap w:val="0"/>
            <w:vAlign w:val="top"/>
          </w:tcPr>
          <w:p>
            <w:pPr>
              <w:numPr>
                <w:ilvl w:val="0"/>
                <w:numId w:val="0"/>
              </w:numPr>
              <w:jc w:val="center"/>
              <w:rPr>
                <w:rFonts w:hint="default" w:ascii="仿宋_GB2312" w:hAnsi="仿宋_GB2312" w:eastAsia="仿宋_GB2312" w:cs="仿宋_GB2312"/>
                <w:sz w:val="32"/>
                <w:szCs w:val="32"/>
                <w:highlight w:val="none"/>
                <w:vertAlign w:val="baseline"/>
                <w:lang w:val="en-US" w:eastAsia="zh-CN"/>
              </w:rPr>
            </w:pPr>
          </w:p>
        </w:tc>
        <w:tc>
          <w:tcPr>
            <w:tcW w:w="1925" w:type="dxa"/>
            <w:noWrap w:val="0"/>
            <w:vAlign w:val="top"/>
          </w:tcPr>
          <w:p>
            <w:pPr>
              <w:numPr>
                <w:ilvl w:val="0"/>
                <w:numId w:val="0"/>
              </w:numPr>
              <w:jc w:val="center"/>
              <w:rPr>
                <w:rFonts w:hint="default" w:ascii="仿宋_GB2312" w:hAnsi="仿宋_GB2312" w:eastAsia="仿宋_GB2312" w:cs="仿宋_GB2312"/>
                <w:sz w:val="24"/>
                <w:szCs w:val="24"/>
                <w:highlight w:val="none"/>
                <w:vertAlign w:val="baseline"/>
                <w:lang w:val="en-US" w:eastAsia="zh-CN"/>
              </w:rPr>
            </w:pPr>
          </w:p>
        </w:tc>
        <w:tc>
          <w:tcPr>
            <w:tcW w:w="1925" w:type="dxa"/>
            <w:noWrap w:val="0"/>
            <w:vAlign w:val="top"/>
          </w:tcPr>
          <w:p>
            <w:pPr>
              <w:numPr>
                <w:ilvl w:val="0"/>
                <w:numId w:val="0"/>
              </w:numPr>
              <w:jc w:val="center"/>
              <w:rPr>
                <w:rFonts w:hint="default"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753" w:type="dxa"/>
            <w:noWrap w:val="0"/>
            <w:vAlign w:val="top"/>
          </w:tcPr>
          <w:p>
            <w:pPr>
              <w:numPr>
                <w:ilvl w:val="0"/>
                <w:numId w:val="0"/>
              </w:numPr>
              <w:jc w:val="center"/>
              <w:rPr>
                <w:rFonts w:hint="default" w:ascii="仿宋_GB2312" w:hAnsi="仿宋_GB2312" w:eastAsia="仿宋_GB2312" w:cs="仿宋_GB2312"/>
                <w:sz w:val="32"/>
                <w:szCs w:val="32"/>
                <w:highlight w:val="none"/>
                <w:vertAlign w:val="baseline"/>
                <w:lang w:val="en-US" w:eastAsia="zh-CN"/>
              </w:rPr>
            </w:pPr>
          </w:p>
        </w:tc>
        <w:tc>
          <w:tcPr>
            <w:tcW w:w="1609" w:type="dxa"/>
            <w:noWrap w:val="0"/>
            <w:vAlign w:val="top"/>
          </w:tcPr>
          <w:p>
            <w:pPr>
              <w:numPr>
                <w:ilvl w:val="0"/>
                <w:numId w:val="0"/>
              </w:numPr>
              <w:jc w:val="center"/>
              <w:rPr>
                <w:rFonts w:hint="default" w:ascii="仿宋_GB2312" w:hAnsi="仿宋_GB2312" w:eastAsia="仿宋_GB2312" w:cs="仿宋_GB2312"/>
                <w:sz w:val="32"/>
                <w:szCs w:val="32"/>
                <w:highlight w:val="none"/>
                <w:vertAlign w:val="baseline"/>
                <w:lang w:val="en-US" w:eastAsia="zh-CN"/>
              </w:rPr>
            </w:pPr>
          </w:p>
        </w:tc>
        <w:tc>
          <w:tcPr>
            <w:tcW w:w="1847" w:type="dxa"/>
            <w:noWrap w:val="0"/>
            <w:vAlign w:val="top"/>
          </w:tcPr>
          <w:p>
            <w:pPr>
              <w:numPr>
                <w:ilvl w:val="0"/>
                <w:numId w:val="0"/>
              </w:numPr>
              <w:jc w:val="center"/>
              <w:rPr>
                <w:rFonts w:hint="default" w:ascii="仿宋_GB2312" w:hAnsi="仿宋_GB2312" w:eastAsia="仿宋_GB2312" w:cs="仿宋_GB2312"/>
                <w:sz w:val="32"/>
                <w:szCs w:val="32"/>
                <w:highlight w:val="none"/>
                <w:vertAlign w:val="baseline"/>
                <w:lang w:val="en-US" w:eastAsia="zh-CN"/>
              </w:rPr>
            </w:pPr>
          </w:p>
        </w:tc>
        <w:tc>
          <w:tcPr>
            <w:tcW w:w="1547" w:type="dxa"/>
            <w:noWrap w:val="0"/>
            <w:vAlign w:val="top"/>
          </w:tcPr>
          <w:p>
            <w:pPr>
              <w:numPr>
                <w:ilvl w:val="0"/>
                <w:numId w:val="0"/>
              </w:numPr>
              <w:jc w:val="center"/>
              <w:rPr>
                <w:rFonts w:hint="default" w:ascii="仿宋_GB2312" w:hAnsi="仿宋_GB2312" w:eastAsia="仿宋_GB2312" w:cs="仿宋_GB2312"/>
                <w:sz w:val="32"/>
                <w:szCs w:val="32"/>
                <w:highlight w:val="none"/>
                <w:vertAlign w:val="baseline"/>
                <w:lang w:val="en-US" w:eastAsia="zh-CN"/>
              </w:rPr>
            </w:pPr>
          </w:p>
        </w:tc>
        <w:tc>
          <w:tcPr>
            <w:tcW w:w="1925" w:type="dxa"/>
            <w:noWrap w:val="0"/>
            <w:vAlign w:val="top"/>
          </w:tcPr>
          <w:p>
            <w:pPr>
              <w:numPr>
                <w:ilvl w:val="0"/>
                <w:numId w:val="0"/>
              </w:numPr>
              <w:jc w:val="center"/>
              <w:rPr>
                <w:rFonts w:hint="default" w:ascii="仿宋_GB2312" w:hAnsi="仿宋_GB2312" w:eastAsia="仿宋_GB2312" w:cs="仿宋_GB2312"/>
                <w:sz w:val="32"/>
                <w:szCs w:val="32"/>
                <w:highlight w:val="none"/>
                <w:vertAlign w:val="baseline"/>
                <w:lang w:val="en-US" w:eastAsia="zh-CN"/>
              </w:rPr>
            </w:pPr>
          </w:p>
        </w:tc>
        <w:tc>
          <w:tcPr>
            <w:tcW w:w="1925" w:type="dxa"/>
            <w:noWrap w:val="0"/>
            <w:vAlign w:val="top"/>
          </w:tcPr>
          <w:p>
            <w:pPr>
              <w:numPr>
                <w:ilvl w:val="0"/>
                <w:numId w:val="0"/>
              </w:numPr>
              <w:jc w:val="center"/>
              <w:rPr>
                <w:rFonts w:hint="default" w:ascii="仿宋_GB2312" w:hAnsi="仿宋_GB2312" w:eastAsia="仿宋_GB2312" w:cs="仿宋_GB2312"/>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753" w:type="dxa"/>
            <w:noWrap w:val="0"/>
            <w:vAlign w:val="top"/>
          </w:tcPr>
          <w:p>
            <w:pPr>
              <w:numPr>
                <w:ilvl w:val="0"/>
                <w:numId w:val="0"/>
              </w:numPr>
              <w:jc w:val="center"/>
              <w:rPr>
                <w:rFonts w:hint="default" w:ascii="仿宋_GB2312" w:hAnsi="仿宋_GB2312" w:eastAsia="仿宋_GB2312" w:cs="仿宋_GB2312"/>
                <w:sz w:val="32"/>
                <w:szCs w:val="32"/>
                <w:highlight w:val="none"/>
                <w:vertAlign w:val="baseline"/>
                <w:lang w:val="en-US" w:eastAsia="zh-CN"/>
              </w:rPr>
            </w:pPr>
          </w:p>
        </w:tc>
        <w:tc>
          <w:tcPr>
            <w:tcW w:w="1609" w:type="dxa"/>
            <w:noWrap w:val="0"/>
            <w:vAlign w:val="top"/>
          </w:tcPr>
          <w:p>
            <w:pPr>
              <w:numPr>
                <w:ilvl w:val="0"/>
                <w:numId w:val="0"/>
              </w:numPr>
              <w:jc w:val="center"/>
              <w:rPr>
                <w:rFonts w:hint="default" w:ascii="仿宋_GB2312" w:hAnsi="仿宋_GB2312" w:eastAsia="仿宋_GB2312" w:cs="仿宋_GB2312"/>
                <w:sz w:val="32"/>
                <w:szCs w:val="32"/>
                <w:highlight w:val="none"/>
                <w:vertAlign w:val="baseline"/>
                <w:lang w:val="en-US" w:eastAsia="zh-CN"/>
              </w:rPr>
            </w:pPr>
          </w:p>
        </w:tc>
        <w:tc>
          <w:tcPr>
            <w:tcW w:w="1847" w:type="dxa"/>
            <w:noWrap w:val="0"/>
            <w:vAlign w:val="top"/>
          </w:tcPr>
          <w:p>
            <w:pPr>
              <w:numPr>
                <w:ilvl w:val="0"/>
                <w:numId w:val="0"/>
              </w:numPr>
              <w:jc w:val="center"/>
              <w:rPr>
                <w:rFonts w:hint="default" w:ascii="仿宋_GB2312" w:hAnsi="仿宋_GB2312" w:eastAsia="仿宋_GB2312" w:cs="仿宋_GB2312"/>
                <w:sz w:val="32"/>
                <w:szCs w:val="32"/>
                <w:highlight w:val="none"/>
                <w:vertAlign w:val="baseline"/>
                <w:lang w:val="en-US" w:eastAsia="zh-CN"/>
              </w:rPr>
            </w:pPr>
          </w:p>
        </w:tc>
        <w:tc>
          <w:tcPr>
            <w:tcW w:w="1547" w:type="dxa"/>
            <w:noWrap w:val="0"/>
            <w:vAlign w:val="top"/>
          </w:tcPr>
          <w:p>
            <w:pPr>
              <w:numPr>
                <w:ilvl w:val="0"/>
                <w:numId w:val="0"/>
              </w:numPr>
              <w:jc w:val="center"/>
              <w:rPr>
                <w:rFonts w:hint="default" w:ascii="仿宋_GB2312" w:hAnsi="仿宋_GB2312" w:eastAsia="仿宋_GB2312" w:cs="仿宋_GB2312"/>
                <w:sz w:val="32"/>
                <w:szCs w:val="32"/>
                <w:highlight w:val="none"/>
                <w:vertAlign w:val="baseline"/>
                <w:lang w:val="en-US" w:eastAsia="zh-CN"/>
              </w:rPr>
            </w:pPr>
          </w:p>
        </w:tc>
        <w:tc>
          <w:tcPr>
            <w:tcW w:w="1925" w:type="dxa"/>
            <w:noWrap w:val="0"/>
            <w:vAlign w:val="top"/>
          </w:tcPr>
          <w:p>
            <w:pPr>
              <w:numPr>
                <w:ilvl w:val="0"/>
                <w:numId w:val="0"/>
              </w:numPr>
              <w:jc w:val="center"/>
              <w:rPr>
                <w:rFonts w:hint="default" w:ascii="仿宋_GB2312" w:hAnsi="仿宋_GB2312" w:eastAsia="仿宋_GB2312" w:cs="仿宋_GB2312"/>
                <w:sz w:val="32"/>
                <w:szCs w:val="32"/>
                <w:highlight w:val="none"/>
                <w:vertAlign w:val="baseline"/>
                <w:lang w:val="en-US" w:eastAsia="zh-CN"/>
              </w:rPr>
            </w:pPr>
          </w:p>
        </w:tc>
        <w:tc>
          <w:tcPr>
            <w:tcW w:w="1925" w:type="dxa"/>
            <w:noWrap w:val="0"/>
            <w:vAlign w:val="top"/>
          </w:tcPr>
          <w:p>
            <w:pPr>
              <w:numPr>
                <w:ilvl w:val="0"/>
                <w:numId w:val="0"/>
              </w:numPr>
              <w:jc w:val="center"/>
              <w:rPr>
                <w:rFonts w:hint="default" w:ascii="仿宋_GB2312" w:hAnsi="仿宋_GB2312" w:eastAsia="仿宋_GB2312" w:cs="仿宋_GB2312"/>
                <w:sz w:val="32"/>
                <w:szCs w:val="32"/>
                <w:highlight w:val="none"/>
                <w:vertAlign w:val="baseline"/>
                <w:lang w:val="en-US" w:eastAsia="zh-CN"/>
              </w:rPr>
            </w:pPr>
          </w:p>
        </w:tc>
      </w:tr>
    </w:tbl>
    <w:p>
      <w:pPr>
        <w:pStyle w:val="24"/>
        <w:jc w:val="right"/>
        <w:rPr>
          <w:rFonts w:hint="eastAsia" w:ascii="宋体" w:hAnsi="宋体" w:eastAsia="宋体" w:cs="宋体"/>
          <w:color w:val="auto"/>
          <w:kern w:val="0"/>
          <w:sz w:val="24"/>
          <w:szCs w:val="24"/>
          <w:highlight w:val="none"/>
          <w:lang w:val="en-US" w:eastAsia="zh-CN" w:bidi="ar"/>
        </w:rPr>
      </w:pPr>
    </w:p>
    <w:p>
      <w:pPr>
        <w:pStyle w:val="24"/>
        <w:rPr>
          <w:rFonts w:hint="eastAsia" w:ascii="Calibri" w:hAnsi="Calibri" w:eastAsia="仿宋_GB2312" w:cs="Calibri"/>
          <w:b/>
          <w:bCs/>
          <w:kern w:val="2"/>
          <w:sz w:val="21"/>
          <w:szCs w:val="21"/>
          <w:highlight w:val="none"/>
          <w:vertAlign w:val="baseline"/>
          <w:lang w:val="en-US" w:eastAsia="zh-CN" w:bidi="ar-SA"/>
        </w:rPr>
      </w:pPr>
      <w:r>
        <w:rPr>
          <w:rFonts w:hint="eastAsia" w:ascii="Calibri" w:hAnsi="Calibri" w:eastAsia="仿宋_GB2312" w:cs="Calibri"/>
          <w:b/>
          <w:bCs/>
          <w:kern w:val="2"/>
          <w:sz w:val="21"/>
          <w:szCs w:val="21"/>
          <w:highlight w:val="none"/>
          <w:vertAlign w:val="baseline"/>
          <w:lang w:val="en-US" w:eastAsia="zh-CN" w:bidi="ar-SA"/>
        </w:rPr>
        <w:t>注：</w:t>
      </w:r>
    </w:p>
    <w:p>
      <w:pPr>
        <w:autoSpaceDE w:val="0"/>
        <w:autoSpaceDN w:val="0"/>
        <w:adjustRightInd w:val="0"/>
        <w:spacing w:line="300" w:lineRule="exact"/>
        <w:jc w:val="left"/>
        <w:rPr>
          <w:rFonts w:hint="eastAsia" w:ascii="宋体" w:hAnsi="宋体" w:eastAsia="宋体" w:cs="宋体"/>
          <w:b/>
          <w:color w:val="000000"/>
          <w:kern w:val="0"/>
          <w:szCs w:val="21"/>
          <w:highlight w:val="none"/>
          <w:lang w:val="en-US" w:eastAsia="zh-CN"/>
        </w:rPr>
      </w:pPr>
      <w:r>
        <w:rPr>
          <w:rFonts w:hint="eastAsia" w:ascii="宋体" w:hAnsi="宋体" w:eastAsia="宋体" w:cs="宋体"/>
          <w:b/>
          <w:color w:val="000000"/>
          <w:kern w:val="0"/>
          <w:szCs w:val="21"/>
          <w:highlight w:val="none"/>
          <w:lang w:val="en-US" w:eastAsia="zh-CN"/>
        </w:rPr>
        <w:t>1.提供磋商报价编制人员的注册造价工程师证书扫描件或影印件；</w:t>
      </w:r>
    </w:p>
    <w:p>
      <w:pPr>
        <w:autoSpaceDE w:val="0"/>
        <w:autoSpaceDN w:val="0"/>
        <w:adjustRightInd w:val="0"/>
        <w:spacing w:line="300" w:lineRule="exact"/>
        <w:jc w:val="left"/>
        <w:rPr>
          <w:rFonts w:hint="eastAsia" w:ascii="宋体" w:hAnsi="宋体" w:eastAsia="宋体" w:cs="宋体"/>
          <w:b/>
          <w:color w:val="000000"/>
          <w:kern w:val="0"/>
          <w:szCs w:val="21"/>
          <w:highlight w:val="none"/>
          <w:lang w:val="en-US" w:eastAsia="zh-CN"/>
        </w:rPr>
      </w:pPr>
      <w:r>
        <w:rPr>
          <w:rFonts w:hint="eastAsia" w:ascii="宋体" w:hAnsi="宋体" w:eastAsia="宋体" w:cs="宋体"/>
          <w:b/>
          <w:color w:val="000000"/>
          <w:kern w:val="0"/>
          <w:szCs w:val="21"/>
          <w:highlight w:val="none"/>
          <w:lang w:val="en-US" w:eastAsia="zh-CN"/>
        </w:rPr>
        <w:t>2.若磋商报价编制人员为</w:t>
      </w:r>
      <w:r>
        <w:rPr>
          <w:rFonts w:hint="eastAsia" w:ascii="宋体" w:hAnsi="宋体" w:cs="宋体"/>
          <w:b/>
          <w:color w:val="000000"/>
          <w:kern w:val="0"/>
          <w:szCs w:val="21"/>
          <w:highlight w:val="none"/>
          <w:lang w:val="en-US" w:eastAsia="zh-CN"/>
        </w:rPr>
        <w:t>磋商响应人</w:t>
      </w:r>
      <w:r>
        <w:rPr>
          <w:rFonts w:hint="eastAsia" w:ascii="宋体" w:hAnsi="宋体" w:eastAsia="宋体" w:cs="宋体"/>
          <w:b/>
          <w:color w:val="000000"/>
          <w:kern w:val="0"/>
          <w:szCs w:val="21"/>
          <w:highlight w:val="none"/>
          <w:lang w:val="en-US" w:eastAsia="zh-CN"/>
        </w:rPr>
        <w:t>委托的造价咨询单位注册造价人员，须提供与造价咨询单位签订的委托协议。</w:t>
      </w:r>
    </w:p>
    <w:p>
      <w:pPr>
        <w:autoSpaceDE w:val="0"/>
        <w:autoSpaceDN w:val="0"/>
        <w:adjustRightInd w:val="0"/>
        <w:spacing w:line="300" w:lineRule="exact"/>
        <w:jc w:val="left"/>
        <w:rPr>
          <w:rFonts w:hint="eastAsia" w:ascii="宋体" w:hAnsi="宋体" w:eastAsia="宋体" w:cs="宋体"/>
          <w:b/>
          <w:color w:val="000000"/>
          <w:kern w:val="0"/>
          <w:szCs w:val="21"/>
          <w:highlight w:val="none"/>
          <w:lang w:val="en-US" w:eastAsia="zh-CN"/>
        </w:rPr>
      </w:pPr>
      <w:r>
        <w:rPr>
          <w:rFonts w:hint="eastAsia" w:ascii="宋体" w:hAnsi="宋体" w:eastAsia="宋体" w:cs="宋体"/>
          <w:b/>
          <w:color w:val="000000"/>
          <w:kern w:val="0"/>
          <w:szCs w:val="21"/>
          <w:highlight w:val="none"/>
          <w:lang w:val="en-US" w:eastAsia="zh-CN"/>
        </w:rPr>
        <w:t>3.表格内容将作为公安机关和行政主管部门调查串通投标、允许他人以自己名义从事工程造价业务等违法违规行为的重要依据。</w:t>
      </w:r>
    </w:p>
    <w:p>
      <w:pPr>
        <w:autoSpaceDE w:val="0"/>
        <w:autoSpaceDN w:val="0"/>
        <w:adjustRightInd w:val="0"/>
        <w:spacing w:line="300" w:lineRule="exact"/>
        <w:jc w:val="left"/>
        <w:rPr>
          <w:rFonts w:hint="eastAsia" w:ascii="宋体" w:hAnsi="宋体" w:eastAsia="宋体" w:cs="宋体"/>
          <w:b/>
          <w:color w:val="000000"/>
          <w:kern w:val="0"/>
          <w:szCs w:val="21"/>
          <w:highlight w:val="none"/>
          <w:lang w:val="en-US" w:eastAsia="zh-CN"/>
        </w:rPr>
      </w:pPr>
      <w:r>
        <w:rPr>
          <w:rFonts w:hint="eastAsia" w:ascii="宋体" w:hAnsi="宋体" w:eastAsia="宋体" w:cs="宋体"/>
          <w:b/>
          <w:color w:val="000000"/>
          <w:kern w:val="0"/>
          <w:szCs w:val="21"/>
          <w:highlight w:val="none"/>
          <w:lang w:val="en-US" w:eastAsia="zh-CN"/>
        </w:rPr>
        <w:t>4.</w:t>
      </w:r>
      <w:r>
        <w:rPr>
          <w:rFonts w:hint="eastAsia" w:ascii="宋体" w:hAnsi="宋体" w:cs="宋体"/>
          <w:b/>
          <w:color w:val="000000"/>
          <w:kern w:val="0"/>
          <w:szCs w:val="21"/>
          <w:highlight w:val="none"/>
          <w:lang w:val="en-US" w:eastAsia="zh-CN"/>
        </w:rPr>
        <w:t>磋商响应人</w:t>
      </w:r>
      <w:r>
        <w:rPr>
          <w:rFonts w:hint="eastAsia" w:ascii="宋体" w:hAnsi="宋体" w:eastAsia="宋体" w:cs="宋体"/>
          <w:b/>
          <w:color w:val="000000"/>
          <w:kern w:val="0"/>
          <w:szCs w:val="21"/>
          <w:highlight w:val="none"/>
          <w:lang w:val="en-US" w:eastAsia="zh-CN"/>
        </w:rPr>
        <w:t>填写内容务必真实准确，否则将承担投标失败、成交无效的风险。</w:t>
      </w: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4"/>
        <w:pageBreakBefore w:val="0"/>
        <w:kinsoku/>
        <w:wordWrap/>
        <w:overflowPunct/>
        <w:topLinePunct w:val="0"/>
        <w:bidi w:val="0"/>
        <w:spacing w:line="240" w:lineRule="auto"/>
        <w:rPr>
          <w:rFonts w:hint="eastAsia"/>
          <w:color w:val="auto"/>
          <w:highlight w:val="none"/>
        </w:rPr>
      </w:pPr>
      <w:r>
        <w:rPr>
          <w:rFonts w:hint="eastAsia"/>
          <w:color w:val="auto"/>
          <w:highlight w:val="none"/>
        </w:rPr>
        <w:t>拟分包情况表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1980"/>
        <w:gridCol w:w="270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jc w:val="both"/>
              <w:rPr>
                <w:rFonts w:hint="eastAsia" w:ascii="宋体" w:hAnsi="宋体" w:eastAsia="宋体" w:cs="宋体"/>
                <w:color w:val="auto"/>
                <w:szCs w:val="24"/>
                <w:highlight w:val="none"/>
              </w:rPr>
            </w:pPr>
          </w:p>
        </w:tc>
        <w:tc>
          <w:tcPr>
            <w:tcW w:w="198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270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44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98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270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44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98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270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44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98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270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44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98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270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44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98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270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44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98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270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44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98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270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44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98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270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44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98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270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44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98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270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44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98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270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44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98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270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44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98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270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44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98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270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44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98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270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c>
          <w:tcPr>
            <w:tcW w:w="1440" w:type="dxa"/>
            <w:noWrap w:val="0"/>
            <w:vAlign w:val="top"/>
          </w:tcPr>
          <w:p>
            <w:pPr>
              <w:pStyle w:val="36"/>
              <w:keepNext w:val="0"/>
              <w:keepLines w:val="0"/>
              <w:pageBreakBefore w:val="0"/>
              <w:suppressLineNumbers w:val="0"/>
              <w:kinsoku/>
              <w:wordWrap/>
              <w:overflowPunct/>
              <w:topLinePunct w:val="0"/>
              <w:bidi w:val="0"/>
              <w:spacing w:before="0" w:beforeAutospacing="0" w:after="0" w:afterAutospacing="0" w:line="240" w:lineRule="auto"/>
              <w:ind w:right="0"/>
              <w:jc w:val="center"/>
              <w:rPr>
                <w:rFonts w:hint="eastAsia" w:ascii="宋体" w:hAnsi="宋体" w:eastAsia="宋体" w:cs="宋体"/>
                <w:color w:val="auto"/>
                <w:szCs w:val="24"/>
                <w:highlight w:val="none"/>
              </w:rPr>
            </w:pPr>
          </w:p>
        </w:tc>
      </w:tr>
    </w:tbl>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4"/>
        <w:pageBreakBefore w:val="0"/>
        <w:kinsoku/>
        <w:wordWrap/>
        <w:overflowPunct/>
        <w:topLinePunct w:val="0"/>
        <w:bidi w:val="0"/>
        <w:spacing w:line="240" w:lineRule="auto"/>
        <w:rPr>
          <w:rFonts w:hint="eastAsia"/>
          <w:color w:val="auto"/>
          <w:highlight w:val="none"/>
        </w:rPr>
      </w:pPr>
      <w:r>
        <w:rPr>
          <w:rFonts w:hint="eastAsia"/>
          <w:color w:val="auto"/>
          <w:highlight w:val="none"/>
        </w:rPr>
        <w:t>施工组织设计</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2"/>
        <w:textAlignment w:val="auto"/>
        <w:outlineLvl w:val="9"/>
        <w:rPr>
          <w:rFonts w:hint="eastAsia" w:ascii="宋体" w:hAnsi="宋体" w:eastAsia="宋体" w:cs="宋体"/>
          <w:b/>
          <w:bCs/>
          <w:color w:val="auto"/>
          <w:highlight w:val="none"/>
        </w:rPr>
      </w:pPr>
      <w:r>
        <w:rPr>
          <w:rFonts w:hint="eastAsia" w:hAnsi="宋体" w:cs="宋体"/>
          <w:b/>
          <w:bCs/>
          <w:color w:val="auto"/>
          <w:highlight w:val="none"/>
          <w:lang w:eastAsia="zh-CN"/>
        </w:rPr>
        <w:t>供应商</w:t>
      </w:r>
      <w:r>
        <w:rPr>
          <w:rFonts w:hint="eastAsia" w:ascii="宋体" w:hAnsi="宋体" w:eastAsia="宋体" w:cs="宋体"/>
          <w:b/>
          <w:bCs/>
          <w:color w:val="auto"/>
          <w:highlight w:val="none"/>
        </w:rPr>
        <w:t>编制施工组织设计，包括</w:t>
      </w:r>
      <w:r>
        <w:rPr>
          <w:rFonts w:hint="eastAsia" w:hAnsi="宋体" w:cs="宋体"/>
          <w:b/>
          <w:bCs/>
          <w:color w:val="auto"/>
          <w:highlight w:val="none"/>
          <w:lang w:eastAsia="zh-CN"/>
        </w:rPr>
        <w:t>竞争性磋商文件</w:t>
      </w:r>
      <w:r>
        <w:rPr>
          <w:rFonts w:hint="eastAsia" w:ascii="宋体" w:hAnsi="宋体" w:eastAsia="宋体" w:cs="宋体"/>
          <w:b/>
          <w:bCs/>
          <w:color w:val="auto"/>
          <w:highlight w:val="none"/>
        </w:rPr>
        <w:t>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w:t>
      </w:r>
      <w:r>
        <w:rPr>
          <w:rFonts w:hint="eastAsia" w:ascii="宋体" w:hAnsi="宋体" w:eastAsia="宋体" w:cs="宋体"/>
          <w:b/>
          <w:bCs/>
          <w:color w:val="auto"/>
          <w:highlight w:val="none"/>
          <w:lang w:eastAsia="zh-CN"/>
        </w:rPr>
        <w:t>、如有“危大工程”和“超危大工程”，则须补充完善“危大工程”和“超危大工程”清单，并提供相应的安全技术措施。</w:t>
      </w:r>
      <w:r>
        <w:rPr>
          <w:rFonts w:hint="eastAsia" w:ascii="宋体" w:hAnsi="宋体" w:eastAsia="宋体" w:cs="宋体"/>
          <w:b/>
          <w:bCs/>
          <w:color w:val="auto"/>
          <w:highlight w:val="none"/>
        </w:rPr>
        <w:t>如冬雨季施工技术措施、减少扰民噪音、降低环境污染技术措施、地下管线及其他地上地下设施的保护加固措施等。包括但不限于以下章节：</w:t>
      </w:r>
    </w:p>
    <w:p>
      <w:pPr>
        <w:pStyle w:val="33"/>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bookmarkStart w:id="382" w:name="_Toc22798_WPSOffice_Level1"/>
      <w:bookmarkStart w:id="383" w:name="_Toc4617_WPSOffice_Level1"/>
      <w:r>
        <w:rPr>
          <w:rFonts w:hint="eastAsia" w:ascii="宋体" w:hAnsi="宋体" w:eastAsia="宋体" w:cs="宋体"/>
          <w:color w:val="auto"/>
          <w:sz w:val="24"/>
          <w:szCs w:val="24"/>
          <w:highlight w:val="none"/>
        </w:rPr>
        <w:t>工程概况</w:t>
      </w:r>
      <w:bookmarkEnd w:id="382"/>
      <w:bookmarkEnd w:id="383"/>
    </w:p>
    <w:p>
      <w:pPr>
        <w:pStyle w:val="33"/>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bookmarkStart w:id="384" w:name="_Toc26141_WPSOffice_Level1"/>
      <w:bookmarkStart w:id="385" w:name="_Toc6935_WPSOffice_Level1"/>
      <w:r>
        <w:rPr>
          <w:rFonts w:hint="eastAsia" w:ascii="宋体" w:hAnsi="宋体" w:eastAsia="宋体" w:cs="宋体"/>
          <w:color w:val="auto"/>
          <w:sz w:val="24"/>
          <w:szCs w:val="24"/>
          <w:highlight w:val="none"/>
        </w:rPr>
        <w:t>主要施工方法</w:t>
      </w:r>
      <w:bookmarkEnd w:id="384"/>
      <w:bookmarkEnd w:id="385"/>
    </w:p>
    <w:p>
      <w:pPr>
        <w:pStyle w:val="33"/>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bookmarkStart w:id="386" w:name="_Toc2536_WPSOffice_Level1"/>
      <w:bookmarkStart w:id="387" w:name="_Toc27916_WPSOffice_Level1"/>
      <w:r>
        <w:rPr>
          <w:rFonts w:hint="eastAsia" w:ascii="宋体" w:hAnsi="宋体" w:eastAsia="宋体" w:cs="宋体"/>
          <w:color w:val="auto"/>
          <w:sz w:val="24"/>
          <w:szCs w:val="24"/>
          <w:highlight w:val="none"/>
        </w:rPr>
        <w:t>拟投入的主要物资计划</w:t>
      </w:r>
      <w:bookmarkEnd w:id="386"/>
      <w:bookmarkEnd w:id="387"/>
    </w:p>
    <w:p>
      <w:pPr>
        <w:pStyle w:val="33"/>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bookmarkStart w:id="388" w:name="_Toc24861_WPSOffice_Level1"/>
      <w:bookmarkStart w:id="389" w:name="_Toc4334_WPSOffice_Level1"/>
      <w:r>
        <w:rPr>
          <w:rFonts w:hint="eastAsia" w:ascii="宋体" w:hAnsi="宋体" w:eastAsia="宋体" w:cs="宋体"/>
          <w:color w:val="auto"/>
          <w:sz w:val="24"/>
          <w:szCs w:val="24"/>
          <w:highlight w:val="none"/>
        </w:rPr>
        <w:t>拟投入的主要施工机械、设备计划</w:t>
      </w:r>
      <w:bookmarkEnd w:id="388"/>
      <w:bookmarkEnd w:id="389"/>
    </w:p>
    <w:p>
      <w:pPr>
        <w:pStyle w:val="33"/>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bookmarkStart w:id="390" w:name="_Toc29238_WPSOffice_Level1"/>
      <w:bookmarkStart w:id="391" w:name="_Toc27567_WPSOffice_Level1"/>
      <w:r>
        <w:rPr>
          <w:rFonts w:hint="eastAsia" w:ascii="宋体" w:hAnsi="宋体" w:eastAsia="宋体" w:cs="宋体"/>
          <w:color w:val="auto"/>
          <w:sz w:val="24"/>
          <w:szCs w:val="24"/>
          <w:highlight w:val="none"/>
        </w:rPr>
        <w:t>劳动力安排计划及劳动力计划表</w:t>
      </w:r>
      <w:bookmarkEnd w:id="390"/>
      <w:bookmarkEnd w:id="391"/>
    </w:p>
    <w:p>
      <w:pPr>
        <w:pStyle w:val="33"/>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bookmarkStart w:id="392" w:name="_Toc22789_WPSOffice_Level1"/>
      <w:bookmarkStart w:id="393" w:name="_Toc21401_WPSOffice_Level1"/>
      <w:r>
        <w:rPr>
          <w:rFonts w:hint="eastAsia" w:ascii="宋体" w:hAnsi="宋体" w:eastAsia="宋体" w:cs="宋体"/>
          <w:color w:val="auto"/>
          <w:sz w:val="24"/>
          <w:szCs w:val="24"/>
          <w:highlight w:val="none"/>
        </w:rPr>
        <w:t>确保工程质量的技术组织措施</w:t>
      </w:r>
      <w:bookmarkEnd w:id="392"/>
      <w:bookmarkEnd w:id="393"/>
    </w:p>
    <w:p>
      <w:pPr>
        <w:pStyle w:val="33"/>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bookmarkStart w:id="394" w:name="_Toc28756_WPSOffice_Level1"/>
      <w:bookmarkStart w:id="395" w:name="_Toc7278_WPSOffice_Level1"/>
      <w:r>
        <w:rPr>
          <w:rFonts w:hint="eastAsia" w:ascii="宋体" w:hAnsi="宋体" w:eastAsia="宋体" w:cs="宋体"/>
          <w:color w:val="auto"/>
          <w:sz w:val="24"/>
          <w:szCs w:val="24"/>
          <w:highlight w:val="none"/>
        </w:rPr>
        <w:t>确保安全生产的技术组织措施</w:t>
      </w:r>
      <w:bookmarkEnd w:id="394"/>
      <w:bookmarkEnd w:id="395"/>
    </w:p>
    <w:p>
      <w:pPr>
        <w:pStyle w:val="33"/>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bookmarkStart w:id="396" w:name="_Toc14822_WPSOffice_Level1"/>
      <w:bookmarkStart w:id="397" w:name="_Toc17446_WPSOffice_Level1"/>
      <w:r>
        <w:rPr>
          <w:rFonts w:hint="eastAsia" w:ascii="宋体" w:hAnsi="宋体" w:eastAsia="宋体" w:cs="宋体"/>
          <w:color w:val="auto"/>
          <w:sz w:val="24"/>
          <w:szCs w:val="24"/>
          <w:highlight w:val="none"/>
        </w:rPr>
        <w:t>确保工期的技术组织措施</w:t>
      </w:r>
      <w:bookmarkEnd w:id="396"/>
      <w:bookmarkEnd w:id="397"/>
    </w:p>
    <w:p>
      <w:pPr>
        <w:pStyle w:val="33"/>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bookmarkStart w:id="398" w:name="_Toc17566_WPSOffice_Level1"/>
      <w:bookmarkStart w:id="399" w:name="_Toc19590_WPSOffice_Level1"/>
      <w:r>
        <w:rPr>
          <w:rFonts w:hint="eastAsia" w:ascii="宋体" w:hAnsi="宋体" w:eastAsia="宋体" w:cs="宋体"/>
          <w:color w:val="auto"/>
          <w:sz w:val="24"/>
          <w:szCs w:val="24"/>
          <w:highlight w:val="none"/>
        </w:rPr>
        <w:t>确保文明施工的技术组织措施</w:t>
      </w:r>
      <w:bookmarkEnd w:id="398"/>
      <w:bookmarkEnd w:id="399"/>
    </w:p>
    <w:p>
      <w:pPr>
        <w:pStyle w:val="33"/>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bookmarkStart w:id="400" w:name="_Toc6847_WPSOffice_Level1"/>
      <w:bookmarkStart w:id="401" w:name="_Toc13275_WPSOffice_Level1"/>
      <w:r>
        <w:rPr>
          <w:rFonts w:hint="eastAsia" w:ascii="宋体" w:hAnsi="宋体" w:eastAsia="宋体" w:cs="宋体"/>
          <w:color w:val="auto"/>
          <w:sz w:val="24"/>
          <w:szCs w:val="24"/>
          <w:highlight w:val="none"/>
        </w:rPr>
        <w:t>工程施工的重点和难点</w:t>
      </w:r>
      <w:bookmarkEnd w:id="400"/>
      <w:bookmarkEnd w:id="401"/>
    </w:p>
    <w:p>
      <w:pPr>
        <w:pStyle w:val="33"/>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bookmarkStart w:id="402" w:name="_Toc2108_WPSOffice_Level1"/>
      <w:bookmarkStart w:id="403" w:name="_Toc9959_WPSOffice_Level1"/>
      <w:r>
        <w:rPr>
          <w:rFonts w:hint="eastAsia" w:ascii="宋体" w:hAnsi="宋体" w:eastAsia="宋体" w:cs="宋体"/>
          <w:color w:val="auto"/>
          <w:sz w:val="24"/>
          <w:szCs w:val="24"/>
          <w:highlight w:val="none"/>
        </w:rPr>
        <w:t>施工总平面布置图</w:t>
      </w:r>
      <w:bookmarkEnd w:id="402"/>
      <w:bookmarkEnd w:id="403"/>
    </w:p>
    <w:p>
      <w:pPr>
        <w:pStyle w:val="33"/>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bookmarkStart w:id="404" w:name="_Toc4975_WPSOffice_Level1"/>
      <w:bookmarkStart w:id="405" w:name="_Toc14332_WPSOffice_Level1"/>
      <w:r>
        <w:rPr>
          <w:rFonts w:hint="eastAsia"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认为有必要说明的其他内容</w:t>
      </w:r>
      <w:bookmarkEnd w:id="404"/>
      <w:bookmarkEnd w:id="405"/>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pStyle w:val="24"/>
        <w:jc w:val="right"/>
        <w:rPr>
          <w:rFonts w:hint="eastAsia" w:ascii="宋体" w:hAnsi="宋体" w:eastAsia="宋体" w:cs="宋体"/>
          <w:color w:val="auto"/>
          <w:kern w:val="0"/>
          <w:sz w:val="24"/>
          <w:szCs w:val="24"/>
          <w:highlight w:val="none"/>
          <w:lang w:val="en-US" w:eastAsia="zh-CN" w:bidi="ar"/>
        </w:rPr>
      </w:pPr>
    </w:p>
    <w:p>
      <w:pPr>
        <w:spacing w:line="360" w:lineRule="auto"/>
        <w:ind w:firstLine="413" w:firstLineChars="196"/>
        <w:jc w:val="center"/>
        <w:rPr>
          <w:rFonts w:ascii="宋体" w:cs="宋体"/>
          <w:b/>
          <w:szCs w:val="21"/>
          <w:highlight w:val="none"/>
        </w:rPr>
      </w:pPr>
      <w:r>
        <w:rPr>
          <w:rFonts w:hint="eastAsia" w:ascii="宋体" w:hAnsi="宋体" w:cs="宋体"/>
          <w:b/>
          <w:szCs w:val="21"/>
          <w:highlight w:val="none"/>
        </w:rPr>
        <w:t>法定代表人身份证明书</w:t>
      </w:r>
    </w:p>
    <w:p>
      <w:pPr>
        <w:wordWrap w:val="0"/>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供应商名称：</w:t>
      </w:r>
      <w:r>
        <w:rPr>
          <w:rFonts w:ascii="宋体" w:hAnsi="宋体" w:cs="宋体"/>
          <w:szCs w:val="21"/>
          <w:highlight w:val="none"/>
          <w:u w:val="single"/>
        </w:rPr>
        <w:t xml:space="preserve">                              </w:t>
      </w:r>
    </w:p>
    <w:p>
      <w:pPr>
        <w:wordWrap w:val="0"/>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单位性质：</w:t>
      </w:r>
      <w:r>
        <w:rPr>
          <w:rFonts w:ascii="宋体" w:hAnsi="宋体" w:cs="宋体"/>
          <w:szCs w:val="21"/>
          <w:highlight w:val="none"/>
          <w:u w:val="single"/>
        </w:rPr>
        <w:t xml:space="preserve">                                </w:t>
      </w:r>
    </w:p>
    <w:p>
      <w:pPr>
        <w:wordWrap w:val="0"/>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地址：</w:t>
      </w:r>
      <w:r>
        <w:rPr>
          <w:rFonts w:ascii="宋体" w:hAnsi="宋体" w:cs="宋体"/>
          <w:szCs w:val="21"/>
          <w:highlight w:val="none"/>
          <w:u w:val="single"/>
        </w:rPr>
        <w:t xml:space="preserve">                                    </w:t>
      </w:r>
    </w:p>
    <w:p>
      <w:pPr>
        <w:wordWrap w:val="0"/>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成立时间：</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hint="eastAsia" w:ascii="宋体" w:hAnsi="宋体" w:cs="宋体"/>
          <w:szCs w:val="21"/>
          <w:highlight w:val="none"/>
        </w:rPr>
        <w:t>月</w:t>
      </w:r>
      <w:r>
        <w:rPr>
          <w:rFonts w:ascii="宋体" w:hAnsi="宋体" w:cs="宋体"/>
          <w:szCs w:val="21"/>
          <w:highlight w:val="none"/>
          <w:u w:val="single"/>
        </w:rPr>
        <w:t xml:space="preserve">       </w:t>
      </w:r>
      <w:r>
        <w:rPr>
          <w:rFonts w:hint="eastAsia" w:ascii="宋体" w:hAnsi="宋体" w:cs="宋体"/>
          <w:szCs w:val="21"/>
          <w:highlight w:val="none"/>
        </w:rPr>
        <w:t>日</w:t>
      </w:r>
    </w:p>
    <w:p>
      <w:pPr>
        <w:wordWrap w:val="0"/>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经营期限：</w:t>
      </w:r>
      <w:r>
        <w:rPr>
          <w:rFonts w:ascii="宋体" w:hAnsi="宋体" w:cs="宋体"/>
          <w:szCs w:val="21"/>
          <w:highlight w:val="none"/>
          <w:u w:val="single"/>
        </w:rPr>
        <w:t xml:space="preserve">          </w:t>
      </w:r>
    </w:p>
    <w:p>
      <w:pPr>
        <w:wordWrap w:val="0"/>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姓名：</w:t>
      </w:r>
      <w:r>
        <w:rPr>
          <w:rFonts w:ascii="宋体" w:hAnsi="宋体" w:cs="宋体"/>
          <w:szCs w:val="21"/>
          <w:highlight w:val="none"/>
          <w:u w:val="single"/>
        </w:rPr>
        <w:t xml:space="preserve">             </w:t>
      </w:r>
      <w:r>
        <w:rPr>
          <w:rFonts w:hint="eastAsia" w:ascii="宋体" w:hAnsi="宋体" w:cs="宋体"/>
          <w:szCs w:val="21"/>
          <w:highlight w:val="none"/>
        </w:rPr>
        <w:t>性别：</w:t>
      </w:r>
      <w:r>
        <w:rPr>
          <w:rFonts w:ascii="宋体" w:hAnsi="宋体" w:cs="宋体"/>
          <w:szCs w:val="21"/>
          <w:highlight w:val="none"/>
          <w:u w:val="single"/>
        </w:rPr>
        <w:t xml:space="preserve">         </w:t>
      </w:r>
      <w:r>
        <w:rPr>
          <w:rFonts w:hint="eastAsia" w:ascii="宋体" w:hAnsi="宋体" w:cs="宋体"/>
          <w:szCs w:val="21"/>
          <w:highlight w:val="none"/>
        </w:rPr>
        <w:t>年龄：</w:t>
      </w:r>
      <w:r>
        <w:rPr>
          <w:rFonts w:ascii="宋体" w:hAnsi="宋体" w:cs="宋体"/>
          <w:szCs w:val="21"/>
          <w:highlight w:val="none"/>
          <w:u w:val="single"/>
        </w:rPr>
        <w:t xml:space="preserve">          </w:t>
      </w:r>
      <w:r>
        <w:rPr>
          <w:rFonts w:hint="eastAsia" w:ascii="宋体" w:hAnsi="宋体" w:cs="宋体"/>
          <w:szCs w:val="21"/>
          <w:highlight w:val="none"/>
        </w:rPr>
        <w:t>职务：</w:t>
      </w:r>
      <w:r>
        <w:rPr>
          <w:rFonts w:ascii="宋体" w:hAnsi="宋体" w:cs="宋体"/>
          <w:szCs w:val="21"/>
          <w:highlight w:val="none"/>
          <w:u w:val="single"/>
        </w:rPr>
        <w:t xml:space="preserve">            </w:t>
      </w:r>
    </w:p>
    <w:p>
      <w:pPr>
        <w:wordWrap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系</w:t>
      </w:r>
      <w:r>
        <w:rPr>
          <w:rFonts w:ascii="宋体" w:hAnsi="宋体" w:cs="宋体"/>
          <w:szCs w:val="21"/>
          <w:highlight w:val="none"/>
          <w:u w:val="single"/>
        </w:rPr>
        <w:t xml:space="preserve">                          </w:t>
      </w:r>
      <w:r>
        <w:rPr>
          <w:rFonts w:hint="eastAsia" w:ascii="宋体" w:hAnsi="宋体" w:cs="宋体"/>
          <w:szCs w:val="21"/>
          <w:highlight w:val="none"/>
        </w:rPr>
        <w:t>（供应商名称）的法定代表人。</w:t>
      </w:r>
    </w:p>
    <w:p>
      <w:pPr>
        <w:wordWrap w:val="0"/>
        <w:adjustRightInd w:val="0"/>
        <w:snapToGrid w:val="0"/>
        <w:spacing w:line="360" w:lineRule="auto"/>
        <w:ind w:firstLine="411" w:firstLineChars="196"/>
        <w:rPr>
          <w:rFonts w:hAnsi="宋体"/>
          <w:szCs w:val="21"/>
          <w:highlight w:val="none"/>
        </w:rPr>
      </w:pPr>
      <w:r>
        <w:rPr>
          <w:rFonts w:hint="eastAsia" w:hAnsi="宋体"/>
          <w:szCs w:val="21"/>
          <w:highlight w:val="none"/>
        </w:rPr>
        <w:t>联系方式（移动电话）：</w:t>
      </w:r>
      <w:r>
        <w:rPr>
          <w:rFonts w:hint="eastAsia" w:hAnsi="宋体"/>
          <w:szCs w:val="21"/>
          <w:highlight w:val="none"/>
          <w:u w:val="single"/>
        </w:rPr>
        <w:t xml:space="preserve">           </w:t>
      </w:r>
      <w:r>
        <w:rPr>
          <w:rFonts w:hint="eastAsia" w:hAnsi="宋体"/>
          <w:szCs w:val="21"/>
          <w:highlight w:val="none"/>
        </w:rPr>
        <w:t>            </w:t>
      </w:r>
    </w:p>
    <w:p>
      <w:pPr>
        <w:wordWrap w:val="0"/>
        <w:adjustRightInd w:val="0"/>
        <w:snapToGrid w:val="0"/>
        <w:spacing w:line="360" w:lineRule="auto"/>
        <w:ind w:firstLine="420" w:firstLineChars="200"/>
        <w:rPr>
          <w:rFonts w:ascii="宋体" w:cs="宋体"/>
          <w:szCs w:val="21"/>
          <w:highlight w:val="none"/>
        </w:rPr>
      </w:pPr>
      <w:r>
        <w:rPr>
          <w:rFonts w:hint="eastAsia" w:hAnsi="宋体"/>
          <w:szCs w:val="21"/>
          <w:highlight w:val="none"/>
        </w:rPr>
        <w:t>电子邮箱：</w:t>
      </w:r>
      <w:r>
        <w:rPr>
          <w:rFonts w:hint="eastAsia" w:hAnsi="宋体"/>
          <w:szCs w:val="21"/>
          <w:highlight w:val="none"/>
          <w:u w:val="single"/>
        </w:rPr>
        <w:t xml:space="preserve">             </w:t>
      </w:r>
      <w:r>
        <w:rPr>
          <w:rFonts w:hint="eastAsia" w:hAnsi="宋体"/>
          <w:szCs w:val="21"/>
          <w:highlight w:val="none"/>
        </w:rPr>
        <w:t> </w:t>
      </w:r>
    </w:p>
    <w:p>
      <w:pPr>
        <w:wordWrap w:val="0"/>
        <w:adjustRightInd w:val="0"/>
        <w:snapToGrid w:val="0"/>
        <w:spacing w:line="360" w:lineRule="auto"/>
        <w:ind w:firstLine="411" w:firstLineChars="196"/>
        <w:rPr>
          <w:rFonts w:hint="eastAsia" w:ascii="宋体" w:hAnsi="宋体" w:cs="宋体"/>
          <w:szCs w:val="21"/>
          <w:highlight w:val="none"/>
        </w:rPr>
      </w:pPr>
      <w:r>
        <w:rPr>
          <w:rFonts w:hint="eastAsia" w:ascii="宋体" w:hAnsi="宋体" w:cs="宋体"/>
          <w:szCs w:val="21"/>
          <w:highlight w:val="none"/>
        </w:rPr>
        <w:t>特此证明。</w:t>
      </w:r>
    </w:p>
    <w:p>
      <w:pPr>
        <w:wordWrap w:val="0"/>
        <w:adjustRightInd w:val="0"/>
        <w:snapToGrid w:val="0"/>
        <w:spacing w:line="360" w:lineRule="auto"/>
        <w:ind w:firstLine="411" w:firstLineChars="196"/>
        <w:rPr>
          <w:rFonts w:hint="eastAsia" w:hAnsi="宋体"/>
          <w:szCs w:val="21"/>
          <w:highlight w:val="none"/>
        </w:rPr>
      </w:pPr>
    </w:p>
    <w:p>
      <w:pPr>
        <w:wordWrap w:val="0"/>
        <w:adjustRightInd w:val="0"/>
        <w:snapToGrid w:val="0"/>
        <w:spacing w:line="360" w:lineRule="auto"/>
        <w:ind w:firstLine="411" w:firstLineChars="196"/>
        <w:rPr>
          <w:rFonts w:hint="eastAsia" w:hAnsi="宋体"/>
          <w:szCs w:val="21"/>
          <w:highlight w:val="none"/>
        </w:rPr>
      </w:pPr>
      <w:r>
        <w:rPr>
          <w:rFonts w:hint="eastAsia" w:hAnsi="宋体"/>
          <w:szCs w:val="21"/>
          <w:highlight w:val="none"/>
        </w:rPr>
        <w:t xml:space="preserve"> 附：法定代表人二代居民身份证影印件或扫描件</w:t>
      </w:r>
    </w:p>
    <w:p>
      <w:pPr>
        <w:wordWrap w:val="0"/>
        <w:adjustRightInd w:val="0"/>
        <w:snapToGrid w:val="0"/>
        <w:spacing w:line="360" w:lineRule="auto"/>
        <w:ind w:firstLine="4137" w:firstLineChars="1970"/>
        <w:rPr>
          <w:rFonts w:hint="eastAsia" w:ascii="宋体" w:hAnsi="宋体" w:cs="宋体"/>
          <w:szCs w:val="21"/>
          <w:highlight w:val="none"/>
        </w:rPr>
      </w:pPr>
    </w:p>
    <w:p>
      <w:pPr>
        <w:wordWrap w:val="0"/>
        <w:adjustRightInd w:val="0"/>
        <w:snapToGrid w:val="0"/>
        <w:spacing w:line="360" w:lineRule="auto"/>
        <w:ind w:firstLine="4137" w:firstLineChars="1970"/>
        <w:rPr>
          <w:rFonts w:ascii="宋体" w:cs="宋体"/>
          <w:szCs w:val="21"/>
          <w:highlight w:val="none"/>
        </w:rPr>
      </w:pPr>
      <w:r>
        <w:rPr>
          <w:rFonts w:hint="eastAsia" w:ascii="宋体" w:hAnsi="宋体" w:cs="宋体"/>
          <w:szCs w:val="21"/>
          <w:highlight w:val="none"/>
        </w:rPr>
        <w:t>供应商：</w:t>
      </w:r>
      <w:r>
        <w:rPr>
          <w:rFonts w:ascii="宋体" w:hAnsi="宋体" w:cs="宋体"/>
          <w:szCs w:val="21"/>
          <w:highlight w:val="none"/>
          <w:u w:val="single"/>
        </w:rPr>
        <w:t xml:space="preserve">                      </w:t>
      </w:r>
      <w:r>
        <w:rPr>
          <w:rFonts w:hint="eastAsia" w:ascii="宋体" w:hAnsi="宋体" w:cs="宋体"/>
          <w:szCs w:val="21"/>
          <w:highlight w:val="none"/>
        </w:rPr>
        <w:t>（盖单位章）</w:t>
      </w:r>
    </w:p>
    <w:p>
      <w:pPr>
        <w:wordWrap w:val="0"/>
        <w:adjustRightInd w:val="0"/>
        <w:snapToGrid w:val="0"/>
        <w:spacing w:line="360" w:lineRule="auto"/>
        <w:ind w:right="360" w:firstLine="4851" w:firstLineChars="2310"/>
        <w:jc w:val="right"/>
        <w:rPr>
          <w:rFonts w:ascii="宋体" w:hAns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hint="eastAsia" w:ascii="宋体" w:hAnsi="宋体" w:cs="宋体"/>
          <w:szCs w:val="21"/>
          <w:highlight w:val="none"/>
        </w:rPr>
        <w:t>月</w:t>
      </w:r>
      <w:r>
        <w:rPr>
          <w:rFonts w:ascii="宋体" w:hAnsi="宋体" w:cs="宋体"/>
          <w:szCs w:val="21"/>
          <w:highlight w:val="none"/>
          <w:u w:val="single"/>
        </w:rPr>
        <w:t xml:space="preserve">      </w:t>
      </w:r>
      <w:r>
        <w:rPr>
          <w:rFonts w:hint="eastAsia" w:ascii="宋体" w:hAnsi="宋体" w:cs="宋体"/>
          <w:szCs w:val="21"/>
          <w:highlight w:val="none"/>
        </w:rPr>
        <w:t>日</w:t>
      </w:r>
    </w:p>
    <w:p>
      <w:pPr>
        <w:adjustRightInd w:val="0"/>
        <w:snapToGrid w:val="0"/>
        <w:spacing w:line="360" w:lineRule="auto"/>
        <w:ind w:right="360" w:firstLine="4851" w:firstLineChars="2310"/>
        <w:jc w:val="right"/>
        <w:rPr>
          <w:rFonts w:ascii="宋体" w:cs="宋体"/>
          <w:szCs w:val="21"/>
          <w:highlight w:val="none"/>
        </w:rPr>
      </w:pPr>
    </w:p>
    <w:p>
      <w:pPr>
        <w:spacing w:line="360" w:lineRule="auto"/>
        <w:ind w:firstLine="1680" w:firstLineChars="800"/>
        <w:rPr>
          <w:rFonts w:ascii="宋体" w:cs="宋体"/>
          <w:szCs w:val="21"/>
          <w:highlight w:val="none"/>
        </w:rPr>
      </w:pPr>
    </w:p>
    <w:p>
      <w:pPr>
        <w:pStyle w:val="24"/>
        <w:rPr>
          <w:rFonts w:ascii="宋体" w:cs="宋体"/>
          <w:szCs w:val="21"/>
          <w:highlight w:val="none"/>
        </w:rPr>
      </w:pPr>
    </w:p>
    <w:p>
      <w:pPr>
        <w:pStyle w:val="24"/>
        <w:rPr>
          <w:rFonts w:ascii="宋体" w:cs="宋体"/>
          <w:szCs w:val="21"/>
          <w:highlight w:val="none"/>
        </w:rPr>
      </w:pPr>
    </w:p>
    <w:p>
      <w:pPr>
        <w:pStyle w:val="24"/>
        <w:rPr>
          <w:rFonts w:ascii="宋体" w:cs="宋体"/>
          <w:szCs w:val="21"/>
          <w:highlight w:val="none"/>
        </w:rPr>
      </w:pPr>
    </w:p>
    <w:p>
      <w:pPr>
        <w:pStyle w:val="24"/>
        <w:rPr>
          <w:rFonts w:ascii="宋体" w:cs="宋体"/>
          <w:szCs w:val="21"/>
          <w:highlight w:val="none"/>
        </w:rPr>
      </w:pPr>
    </w:p>
    <w:p>
      <w:pPr>
        <w:pStyle w:val="24"/>
        <w:rPr>
          <w:rFonts w:ascii="宋体" w:cs="宋体"/>
          <w:szCs w:val="21"/>
          <w:highlight w:val="none"/>
        </w:rPr>
      </w:pPr>
    </w:p>
    <w:p>
      <w:pPr>
        <w:pStyle w:val="24"/>
        <w:rPr>
          <w:rFonts w:ascii="宋体" w:cs="宋体"/>
          <w:szCs w:val="21"/>
          <w:highlight w:val="none"/>
        </w:rPr>
      </w:pPr>
    </w:p>
    <w:p>
      <w:pPr>
        <w:pStyle w:val="24"/>
        <w:rPr>
          <w:rFonts w:ascii="宋体" w:cs="宋体"/>
          <w:szCs w:val="21"/>
          <w:highlight w:val="none"/>
        </w:rPr>
      </w:pPr>
    </w:p>
    <w:p>
      <w:pPr>
        <w:pStyle w:val="24"/>
        <w:rPr>
          <w:rFonts w:ascii="宋体" w:cs="宋体"/>
          <w:szCs w:val="21"/>
          <w:highlight w:val="none"/>
        </w:rPr>
      </w:pPr>
    </w:p>
    <w:p>
      <w:pPr>
        <w:pStyle w:val="24"/>
        <w:rPr>
          <w:rFonts w:ascii="宋体" w:cs="宋体"/>
          <w:szCs w:val="21"/>
          <w:highlight w:val="none"/>
        </w:rPr>
      </w:pPr>
    </w:p>
    <w:p>
      <w:pPr>
        <w:pStyle w:val="24"/>
        <w:rPr>
          <w:rFonts w:ascii="宋体" w:cs="宋体"/>
          <w:szCs w:val="21"/>
          <w:highlight w:val="none"/>
        </w:rPr>
      </w:pPr>
    </w:p>
    <w:p>
      <w:pPr>
        <w:pStyle w:val="24"/>
        <w:rPr>
          <w:rFonts w:ascii="宋体" w:cs="宋体"/>
          <w:szCs w:val="21"/>
          <w:highlight w:val="none"/>
        </w:rPr>
      </w:pPr>
    </w:p>
    <w:p>
      <w:pPr>
        <w:pStyle w:val="24"/>
        <w:rPr>
          <w:rFonts w:ascii="宋体" w:cs="宋体"/>
          <w:szCs w:val="21"/>
          <w:highlight w:val="none"/>
        </w:rPr>
      </w:pPr>
    </w:p>
    <w:p>
      <w:pPr>
        <w:pStyle w:val="24"/>
        <w:rPr>
          <w:rFonts w:ascii="宋体" w:cs="宋体"/>
          <w:szCs w:val="21"/>
          <w:highlight w:val="none"/>
        </w:rPr>
      </w:pPr>
    </w:p>
    <w:p>
      <w:pPr>
        <w:pStyle w:val="24"/>
        <w:rPr>
          <w:rFonts w:ascii="宋体" w:cs="宋体"/>
          <w:szCs w:val="21"/>
          <w:highlight w:val="none"/>
        </w:rPr>
      </w:pPr>
    </w:p>
    <w:p>
      <w:pPr>
        <w:pStyle w:val="24"/>
        <w:rPr>
          <w:rFonts w:ascii="宋体" w:cs="宋体"/>
          <w:szCs w:val="21"/>
          <w:highlight w:val="none"/>
        </w:rPr>
      </w:pPr>
    </w:p>
    <w:p>
      <w:pPr>
        <w:pStyle w:val="24"/>
        <w:rPr>
          <w:rFonts w:ascii="宋体" w:cs="宋体"/>
          <w:szCs w:val="21"/>
          <w:highlight w:val="none"/>
        </w:rPr>
      </w:pPr>
    </w:p>
    <w:p>
      <w:pPr>
        <w:pStyle w:val="24"/>
        <w:rPr>
          <w:rFonts w:ascii="宋体" w:cs="宋体"/>
          <w:szCs w:val="21"/>
          <w:highlight w:val="none"/>
        </w:rPr>
      </w:pPr>
    </w:p>
    <w:p>
      <w:pPr>
        <w:pStyle w:val="24"/>
        <w:rPr>
          <w:rFonts w:ascii="宋体" w:cs="宋体"/>
          <w:szCs w:val="21"/>
          <w:highlight w:val="none"/>
        </w:rPr>
      </w:pPr>
    </w:p>
    <w:p>
      <w:pPr>
        <w:pStyle w:val="24"/>
        <w:rPr>
          <w:rFonts w:ascii="宋体" w:cs="宋体"/>
          <w:szCs w:val="21"/>
          <w:highlight w:val="none"/>
        </w:rPr>
      </w:pPr>
    </w:p>
    <w:p>
      <w:pPr>
        <w:pStyle w:val="24"/>
        <w:rPr>
          <w:rFonts w:ascii="宋体" w:cs="宋体"/>
          <w:szCs w:val="21"/>
          <w:highlight w:val="none"/>
        </w:rPr>
      </w:pPr>
    </w:p>
    <w:p>
      <w:pPr>
        <w:wordWrap w:val="0"/>
        <w:spacing w:line="360" w:lineRule="auto"/>
        <w:jc w:val="center"/>
        <w:rPr>
          <w:rFonts w:ascii="宋体" w:cs="宋体"/>
          <w:b/>
          <w:szCs w:val="21"/>
          <w:highlight w:val="none"/>
        </w:rPr>
      </w:pPr>
      <w:r>
        <w:rPr>
          <w:rFonts w:hint="eastAsia" w:ascii="宋体" w:hAnsi="宋体" w:cs="宋体"/>
          <w:b/>
          <w:szCs w:val="21"/>
          <w:highlight w:val="none"/>
        </w:rPr>
        <w:t>法定代表人授权委托书</w:t>
      </w:r>
    </w:p>
    <w:p>
      <w:pPr>
        <w:wordWrap w:val="0"/>
        <w:spacing w:line="360" w:lineRule="auto"/>
        <w:ind w:firstLine="420" w:firstLineChars="200"/>
        <w:rPr>
          <w:rFonts w:ascii="宋体" w:cs="宋体"/>
          <w:szCs w:val="21"/>
          <w:highlight w:val="none"/>
        </w:rPr>
      </w:pPr>
      <w:r>
        <w:rPr>
          <w:rFonts w:hint="eastAsia" w:ascii="宋体" w:hAnsi="宋体" w:cs="宋体"/>
          <w:szCs w:val="21"/>
          <w:highlight w:val="none"/>
        </w:rPr>
        <w:t>本人</w:t>
      </w:r>
      <w:r>
        <w:rPr>
          <w:rFonts w:ascii="宋体" w:hAnsi="宋体" w:cs="宋体"/>
          <w:szCs w:val="21"/>
          <w:highlight w:val="none"/>
          <w:u w:val="single"/>
        </w:rPr>
        <w:t xml:space="preserve">        </w:t>
      </w:r>
      <w:r>
        <w:rPr>
          <w:rFonts w:hint="eastAsia" w:ascii="宋体" w:hAnsi="宋体" w:cs="宋体"/>
          <w:szCs w:val="21"/>
          <w:highlight w:val="none"/>
        </w:rPr>
        <w:t>（姓名）系</w:t>
      </w:r>
      <w:r>
        <w:rPr>
          <w:rFonts w:ascii="宋体" w:hAnsi="宋体" w:cs="宋体"/>
          <w:szCs w:val="21"/>
          <w:highlight w:val="none"/>
          <w:u w:val="single"/>
        </w:rPr>
        <w:t xml:space="preserve">          </w:t>
      </w:r>
      <w:r>
        <w:rPr>
          <w:rFonts w:hint="eastAsia" w:ascii="宋体" w:hAnsi="宋体" w:cs="宋体"/>
          <w:szCs w:val="21"/>
          <w:highlight w:val="none"/>
        </w:rPr>
        <w:t>（供应商名称）的法定代表人，现委托</w:t>
      </w:r>
      <w:r>
        <w:rPr>
          <w:rFonts w:ascii="宋体" w:hAnsi="宋体" w:cs="宋体"/>
          <w:szCs w:val="21"/>
          <w:highlight w:val="none"/>
          <w:u w:val="single"/>
        </w:rPr>
        <w:t xml:space="preserve">       </w:t>
      </w:r>
      <w:r>
        <w:rPr>
          <w:rFonts w:hint="eastAsia" w:ascii="宋体" w:hAnsi="宋体" w:cs="宋体"/>
          <w:szCs w:val="21"/>
          <w:highlight w:val="none"/>
        </w:rPr>
        <w:t>（姓名）为我方委托代理人。委托代理人根据授权，以我方名义签署、澄清、说明、补正、提交、撤回、修改</w:t>
      </w:r>
      <w:r>
        <w:rPr>
          <w:rFonts w:ascii="宋体" w:hAnsi="宋体" w:cs="宋体"/>
          <w:szCs w:val="21"/>
          <w:highlight w:val="none"/>
          <w:u w:val="single"/>
        </w:rPr>
        <w:t xml:space="preserve">                           </w:t>
      </w:r>
      <w:r>
        <w:rPr>
          <w:rFonts w:hint="eastAsia" w:ascii="宋体" w:hAnsi="宋体" w:cs="宋体"/>
          <w:szCs w:val="21"/>
          <w:highlight w:val="none"/>
        </w:rPr>
        <w:t>（项目名称）响应文件、签订合同等一切事宜，其法律后果由我方承担。</w:t>
      </w:r>
    </w:p>
    <w:p>
      <w:pPr>
        <w:wordWrap w:val="0"/>
        <w:spacing w:line="360" w:lineRule="auto"/>
        <w:ind w:firstLine="420" w:firstLineChars="200"/>
        <w:rPr>
          <w:rFonts w:ascii="宋体" w:cs="宋体"/>
          <w:szCs w:val="21"/>
          <w:highlight w:val="none"/>
        </w:rPr>
      </w:pPr>
      <w:r>
        <w:rPr>
          <w:rFonts w:hint="eastAsia" w:ascii="宋体" w:hAnsi="宋体" w:cs="宋体"/>
          <w:szCs w:val="21"/>
          <w:highlight w:val="none"/>
        </w:rPr>
        <w:t>委托期限：</w:t>
      </w:r>
      <w:r>
        <w:rPr>
          <w:rFonts w:ascii="宋体" w:hAnsi="宋体" w:cs="宋体"/>
          <w:szCs w:val="21"/>
          <w:highlight w:val="none"/>
          <w:u w:val="single"/>
        </w:rPr>
        <w:t xml:space="preserve">                </w:t>
      </w:r>
      <w:r>
        <w:rPr>
          <w:rFonts w:hint="eastAsia" w:ascii="宋体" w:hAnsi="宋体" w:cs="宋体"/>
          <w:szCs w:val="21"/>
          <w:highlight w:val="none"/>
        </w:rPr>
        <w:t>。</w:t>
      </w:r>
    </w:p>
    <w:p>
      <w:pPr>
        <w:wordWrap w:val="0"/>
        <w:spacing w:line="360" w:lineRule="auto"/>
        <w:ind w:firstLine="420" w:firstLineChars="200"/>
        <w:rPr>
          <w:rFonts w:ascii="宋体" w:cs="宋体"/>
          <w:szCs w:val="21"/>
          <w:highlight w:val="none"/>
        </w:rPr>
      </w:pPr>
      <w:r>
        <w:rPr>
          <w:rFonts w:hint="eastAsia" w:ascii="宋体" w:hAnsi="宋体" w:cs="宋体"/>
          <w:szCs w:val="21"/>
          <w:highlight w:val="none"/>
        </w:rPr>
        <w:t>委托代理人无转委托权，特此委托。</w:t>
      </w:r>
    </w:p>
    <w:p>
      <w:pPr>
        <w:wordWrap w:val="0"/>
        <w:spacing w:line="360" w:lineRule="auto"/>
        <w:ind w:firstLine="420" w:firstLineChars="200"/>
        <w:rPr>
          <w:rFonts w:ascii="宋体" w:cs="宋体"/>
          <w:szCs w:val="21"/>
          <w:highlight w:val="none"/>
          <w:u w:val="single"/>
        </w:rPr>
      </w:pPr>
      <w:r>
        <w:rPr>
          <w:rFonts w:hint="eastAsia" w:ascii="宋体" w:hAnsi="宋体" w:cs="宋体"/>
          <w:szCs w:val="21"/>
          <w:highlight w:val="none"/>
        </w:rPr>
        <w:t>委托代理人：</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性别</w:t>
      </w:r>
      <w:r>
        <w:rPr>
          <w:rFonts w:ascii="宋体" w:hAnsi="宋体" w:cs="宋体"/>
          <w:szCs w:val="21"/>
          <w:highlight w:val="none"/>
        </w:rPr>
        <w:t xml:space="preserve"> </w:t>
      </w:r>
      <w:r>
        <w:rPr>
          <w:rFonts w:hint="eastAsia" w:ascii="宋体" w:hAnsi="宋体" w:cs="宋体"/>
          <w:szCs w:val="21"/>
          <w:highlight w:val="none"/>
        </w:rPr>
        <w:t>：</w:t>
      </w:r>
      <w:r>
        <w:rPr>
          <w:rFonts w:ascii="宋体" w:hAnsi="宋体" w:cs="宋体"/>
          <w:szCs w:val="21"/>
          <w:highlight w:val="none"/>
          <w:u w:val="single"/>
        </w:rPr>
        <w:t xml:space="preserve">            </w:t>
      </w:r>
      <w:r>
        <w:rPr>
          <w:rFonts w:hint="eastAsia" w:ascii="宋体" w:hAnsi="宋体" w:cs="宋体"/>
          <w:szCs w:val="21"/>
          <w:highlight w:val="none"/>
        </w:rPr>
        <w:t>年龄：</w:t>
      </w:r>
      <w:r>
        <w:rPr>
          <w:rFonts w:ascii="宋体" w:hAnsi="宋体" w:cs="宋体"/>
          <w:szCs w:val="21"/>
          <w:highlight w:val="none"/>
        </w:rPr>
        <w:t>_______</w:t>
      </w:r>
    </w:p>
    <w:p>
      <w:pPr>
        <w:wordWrap w:val="0"/>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身份证号码：</w:t>
      </w:r>
      <w:r>
        <w:rPr>
          <w:rFonts w:ascii="宋体" w:hAnsi="宋体" w:cs="宋体"/>
          <w:szCs w:val="21"/>
          <w:highlight w:val="none"/>
          <w:u w:val="single"/>
        </w:rPr>
        <w:t xml:space="preserve">                    </w:t>
      </w:r>
      <w:r>
        <w:rPr>
          <w:rFonts w:hint="eastAsia" w:ascii="宋体" w:hAnsi="宋体" w:cs="宋体"/>
          <w:szCs w:val="21"/>
          <w:highlight w:val="none"/>
        </w:rPr>
        <w:t>职务：</w:t>
      </w:r>
      <w:r>
        <w:rPr>
          <w:rFonts w:ascii="宋体" w:hAnsi="宋体" w:cs="宋体"/>
          <w:szCs w:val="21"/>
          <w:highlight w:val="none"/>
          <w:u w:val="single"/>
        </w:rPr>
        <w:t xml:space="preserve">                </w:t>
      </w:r>
    </w:p>
    <w:p>
      <w:pPr>
        <w:wordWrap w:val="0"/>
        <w:adjustRightInd w:val="0"/>
        <w:snapToGrid w:val="0"/>
        <w:spacing w:line="360" w:lineRule="auto"/>
        <w:ind w:firstLine="411" w:firstLineChars="196"/>
        <w:rPr>
          <w:rFonts w:hAnsi="宋体"/>
          <w:szCs w:val="21"/>
          <w:highlight w:val="none"/>
        </w:rPr>
      </w:pPr>
      <w:r>
        <w:rPr>
          <w:rFonts w:hint="eastAsia" w:hAnsi="宋体"/>
          <w:szCs w:val="21"/>
          <w:highlight w:val="none"/>
        </w:rPr>
        <w:t>联系方式（移动电话）：</w:t>
      </w:r>
      <w:r>
        <w:rPr>
          <w:rFonts w:hint="eastAsia" w:hAnsi="宋体"/>
          <w:szCs w:val="21"/>
          <w:highlight w:val="none"/>
          <w:u w:val="single"/>
        </w:rPr>
        <w:t xml:space="preserve">           </w:t>
      </w:r>
      <w:r>
        <w:rPr>
          <w:rFonts w:hint="eastAsia" w:hAnsi="宋体"/>
          <w:szCs w:val="21"/>
          <w:highlight w:val="none"/>
        </w:rPr>
        <w:t>            </w:t>
      </w:r>
    </w:p>
    <w:p>
      <w:pPr>
        <w:wordWrap w:val="0"/>
        <w:spacing w:line="360" w:lineRule="auto"/>
        <w:ind w:firstLine="420" w:firstLineChars="200"/>
        <w:rPr>
          <w:rFonts w:ascii="宋体" w:hAnsi="宋体" w:cs="宋体"/>
          <w:color w:val="000000"/>
          <w:szCs w:val="21"/>
          <w:highlight w:val="none"/>
          <w:u w:val="single"/>
        </w:rPr>
      </w:pPr>
      <w:r>
        <w:rPr>
          <w:rFonts w:hint="eastAsia" w:hAnsi="宋体"/>
          <w:szCs w:val="21"/>
          <w:highlight w:val="none"/>
        </w:rPr>
        <w:t>电子邮箱：</w:t>
      </w:r>
      <w:r>
        <w:rPr>
          <w:rFonts w:hint="eastAsia" w:hAnsi="宋体"/>
          <w:szCs w:val="21"/>
          <w:highlight w:val="none"/>
          <w:u w:val="single"/>
        </w:rPr>
        <w:t xml:space="preserve">             </w:t>
      </w:r>
      <w:r>
        <w:rPr>
          <w:rFonts w:hint="eastAsia" w:hAnsi="宋体"/>
          <w:szCs w:val="21"/>
          <w:highlight w:val="none"/>
        </w:rPr>
        <w:t> </w:t>
      </w:r>
    </w:p>
    <w:p>
      <w:pPr>
        <w:wordWrap w:val="0"/>
        <w:spacing w:line="360" w:lineRule="auto"/>
        <w:ind w:firstLine="420" w:firstLineChars="200"/>
        <w:rPr>
          <w:rFonts w:ascii="宋体" w:cs="宋体"/>
          <w:szCs w:val="21"/>
          <w:highlight w:val="none"/>
        </w:rPr>
      </w:pPr>
      <w:r>
        <w:rPr>
          <w:rFonts w:hint="eastAsia" w:ascii="宋体" w:hAnsi="宋体" w:cs="宋体"/>
          <w:szCs w:val="21"/>
          <w:highlight w:val="none"/>
        </w:rPr>
        <w:t>供应商：</w:t>
      </w:r>
      <w:r>
        <w:rPr>
          <w:rFonts w:ascii="宋体" w:hAnsi="宋体" w:cs="宋体"/>
          <w:szCs w:val="21"/>
          <w:highlight w:val="none"/>
          <w:u w:val="single"/>
        </w:rPr>
        <w:t xml:space="preserve">                                      </w:t>
      </w:r>
      <w:r>
        <w:rPr>
          <w:rFonts w:hint="eastAsia" w:ascii="宋体" w:hAnsi="宋体" w:cs="宋体"/>
          <w:szCs w:val="21"/>
          <w:highlight w:val="none"/>
          <w:u w:val="single"/>
        </w:rPr>
        <w:t>（盖章）</w:t>
      </w:r>
    </w:p>
    <w:p>
      <w:pPr>
        <w:wordWrap w:val="0"/>
        <w:spacing w:line="360" w:lineRule="auto"/>
        <w:ind w:firstLine="420" w:firstLineChars="200"/>
        <w:rPr>
          <w:rFonts w:ascii="宋体" w:cs="宋体"/>
          <w:szCs w:val="21"/>
          <w:highlight w:val="none"/>
        </w:rPr>
      </w:pPr>
      <w:r>
        <w:rPr>
          <w:rFonts w:hint="eastAsia" w:ascii="宋体" w:hAnsi="宋体" w:cs="宋体"/>
          <w:szCs w:val="21"/>
          <w:highlight w:val="none"/>
        </w:rPr>
        <w:t>法定代表人：</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（盖章）</w:t>
      </w:r>
    </w:p>
    <w:p>
      <w:pPr>
        <w:wordWrap w:val="0"/>
        <w:spacing w:line="360" w:lineRule="auto"/>
        <w:ind w:right="480" w:firstLine="420" w:firstLineChars="200"/>
        <w:rPr>
          <w:rFonts w:hint="eastAsia" w:ascii="宋体" w:hAnsi="宋体" w:cs="宋体"/>
          <w:szCs w:val="21"/>
          <w:highlight w:val="none"/>
        </w:rPr>
      </w:pPr>
    </w:p>
    <w:p>
      <w:pPr>
        <w:wordWrap w:val="0"/>
        <w:spacing w:line="360" w:lineRule="auto"/>
        <w:ind w:right="480" w:firstLine="420" w:firstLineChars="200"/>
        <w:rPr>
          <w:rFonts w:hint="eastAsia" w:ascii="宋体" w:hAnsi="宋体" w:cs="宋体"/>
          <w:szCs w:val="21"/>
          <w:highlight w:val="none"/>
        </w:rPr>
      </w:pPr>
      <w:r>
        <w:rPr>
          <w:rFonts w:hint="eastAsia" w:ascii="宋体" w:hAnsi="宋体" w:cs="宋体"/>
          <w:szCs w:val="21"/>
          <w:highlight w:val="none"/>
        </w:rPr>
        <w:t>附：代理人二代居民身份证影印件或扫描件</w:t>
      </w:r>
    </w:p>
    <w:p>
      <w:pPr>
        <w:wordWrap w:val="0"/>
        <w:spacing w:line="360" w:lineRule="auto"/>
        <w:ind w:right="480" w:firstLine="420" w:firstLineChars="200"/>
        <w:jc w:val="right"/>
        <w:rPr>
          <w:rFonts w:hint="eastAsia" w:ascii="宋体" w:hAnsi="宋体" w:cs="宋体"/>
          <w:szCs w:val="21"/>
          <w:highlight w:val="none"/>
        </w:rPr>
      </w:pPr>
    </w:p>
    <w:p>
      <w:pPr>
        <w:wordWrap w:val="0"/>
        <w:spacing w:line="360" w:lineRule="auto"/>
        <w:ind w:right="480" w:firstLine="420" w:firstLineChars="200"/>
        <w:jc w:val="right"/>
        <w:rPr>
          <w:rFonts w:ascii="宋体" w:cs="宋体"/>
          <w:szCs w:val="21"/>
          <w:highlight w:val="none"/>
        </w:rPr>
      </w:pPr>
      <w:r>
        <w:rPr>
          <w:rFonts w:hint="eastAsia" w:ascii="宋体" w:hAnsi="宋体" w:cs="宋体"/>
          <w:szCs w:val="21"/>
          <w:highlight w:val="none"/>
        </w:rPr>
        <w:t>授权委托日期：</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rPr>
        <w:t xml:space="preserve"> </w:t>
      </w:r>
      <w:r>
        <w:rPr>
          <w:rFonts w:ascii="宋体" w:hAnsi="宋体" w:cs="宋体"/>
          <w:szCs w:val="21"/>
          <w:highlight w:val="none"/>
          <w:u w:val="single"/>
        </w:rPr>
        <w:t xml:space="preserve">    </w:t>
      </w:r>
      <w:r>
        <w:rPr>
          <w:rFonts w:hint="eastAsia" w:ascii="宋体" w:hAnsi="宋体" w:cs="宋体"/>
          <w:szCs w:val="21"/>
          <w:highlight w:val="none"/>
        </w:rPr>
        <w:t>月</w:t>
      </w:r>
      <w:r>
        <w:rPr>
          <w:rFonts w:ascii="宋体" w:hAnsi="宋体" w:cs="宋体"/>
          <w:szCs w:val="21"/>
          <w:highlight w:val="none"/>
          <w:u w:val="single"/>
        </w:rPr>
        <w:t xml:space="preserve">     </w:t>
      </w:r>
      <w:r>
        <w:rPr>
          <w:rFonts w:hint="eastAsia" w:ascii="宋体" w:hAnsi="宋体" w:cs="宋体"/>
          <w:szCs w:val="21"/>
          <w:highlight w:val="none"/>
        </w:rPr>
        <w:t>日</w:t>
      </w:r>
    </w:p>
    <w:p>
      <w:pPr>
        <w:ind w:firstLine="482" w:firstLineChars="200"/>
        <w:rPr>
          <w:rFonts w:ascii="宋体" w:cs="宋体"/>
          <w:b/>
          <w:sz w:val="24"/>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3"/>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b/>
          <w:color w:val="auto"/>
          <w:sz w:val="36"/>
          <w:szCs w:val="36"/>
          <w:highlight w:val="none"/>
        </w:rPr>
      </w:pPr>
      <w:bookmarkStart w:id="406" w:name="_Toc7613"/>
      <w:bookmarkStart w:id="407" w:name="_Toc21713"/>
      <w:r>
        <w:rPr>
          <w:rFonts w:hint="eastAsia" w:ascii="宋体" w:hAnsi="宋体" w:eastAsia="宋体" w:cs="宋体"/>
          <w:b/>
          <w:color w:val="auto"/>
          <w:sz w:val="36"/>
          <w:szCs w:val="36"/>
          <w:highlight w:val="none"/>
        </w:rPr>
        <w:t>第五章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工程技术经济要求</w:t>
      </w:r>
      <w:bookmarkEnd w:id="406"/>
      <w:bookmarkEnd w:id="407"/>
    </w:p>
    <w:p>
      <w:pPr>
        <w:pStyle w:val="426"/>
        <w:pageBreakBefore w:val="0"/>
        <w:kinsoku/>
        <w:wordWrap/>
        <w:overflowPunct/>
        <w:topLinePunct w:val="0"/>
        <w:bidi w:val="0"/>
        <w:spacing w:beforeAutospacing="0" w:afterAutospacing="0" w:line="240" w:lineRule="auto"/>
        <w:ind w:firstLine="480" w:firstLineChars="20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详见</w:t>
      </w:r>
      <w:r>
        <w:rPr>
          <w:rFonts w:hint="eastAsia" w:ascii="宋体" w:hAnsi="宋体" w:eastAsia="宋体" w:cs="宋体"/>
          <w:color w:val="auto"/>
          <w:szCs w:val="24"/>
          <w:highlight w:val="none"/>
          <w:lang w:eastAsia="zh-CN"/>
        </w:rPr>
        <w:t>施工图设计文件</w:t>
      </w:r>
      <w:r>
        <w:rPr>
          <w:rFonts w:hint="eastAsia" w:ascii="宋体" w:hAnsi="宋体" w:eastAsia="宋体" w:cs="宋体"/>
          <w:color w:val="auto"/>
          <w:szCs w:val="24"/>
          <w:highlight w:val="none"/>
        </w:rPr>
        <w:t>、相关规范</w:t>
      </w: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3"/>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b/>
          <w:color w:val="auto"/>
          <w:sz w:val="36"/>
          <w:szCs w:val="36"/>
          <w:highlight w:val="none"/>
        </w:rPr>
      </w:pPr>
      <w:bookmarkStart w:id="408" w:name="_Toc15873"/>
      <w:bookmarkStart w:id="409" w:name="_Toc12851_WPSOffice_Level1"/>
      <w:bookmarkStart w:id="410" w:name="_Toc3261"/>
      <w:bookmarkStart w:id="411" w:name="_Toc12770"/>
      <w:bookmarkStart w:id="412" w:name="_Toc12857_WPSOffice_Level1"/>
      <w:r>
        <w:rPr>
          <w:rFonts w:hint="eastAsia" w:ascii="宋体" w:hAnsi="宋体" w:eastAsia="宋体" w:cs="宋体"/>
          <w:b/>
          <w:color w:val="auto"/>
          <w:sz w:val="36"/>
          <w:szCs w:val="36"/>
          <w:highlight w:val="none"/>
        </w:rPr>
        <w:t>第六章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施工图设计文件</w:t>
      </w:r>
      <w:bookmarkEnd w:id="408"/>
      <w:bookmarkEnd w:id="409"/>
      <w:bookmarkEnd w:id="410"/>
      <w:bookmarkEnd w:id="411"/>
      <w:bookmarkEnd w:id="412"/>
    </w:p>
    <w:p>
      <w:pPr>
        <w:pStyle w:val="426"/>
        <w:pageBreakBefore w:val="0"/>
        <w:kinsoku/>
        <w:wordWrap/>
        <w:overflowPunct/>
        <w:topLinePunct w:val="0"/>
        <w:bidi w:val="0"/>
        <w:spacing w:beforeAutospacing="0" w:afterAutospacing="0" w:line="24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hAnsi="宋体" w:eastAsia="宋体" w:cs="宋体"/>
          <w:color w:val="auto"/>
          <w:szCs w:val="24"/>
          <w:highlight w:val="none"/>
          <w:lang w:val="en-US" w:eastAsia="zh-CN"/>
        </w:rPr>
        <w:t>.</w:t>
      </w:r>
      <w:r>
        <w:rPr>
          <w:rFonts w:hint="eastAsia" w:ascii="宋体" w:hAnsi="宋体" w:eastAsia="宋体" w:cs="宋体"/>
          <w:color w:val="auto"/>
          <w:szCs w:val="24"/>
          <w:highlight w:val="none"/>
        </w:rPr>
        <w:t>图纸清单：详见</w:t>
      </w:r>
      <w:r>
        <w:rPr>
          <w:rFonts w:hint="eastAsia" w:hAnsi="宋体" w:cs="宋体"/>
          <w:color w:val="auto"/>
          <w:szCs w:val="24"/>
          <w:highlight w:val="none"/>
          <w:lang w:eastAsia="zh-CN"/>
        </w:rPr>
        <w:t>采购人</w:t>
      </w:r>
      <w:r>
        <w:rPr>
          <w:rFonts w:hint="eastAsia" w:ascii="宋体" w:hAnsi="宋体" w:eastAsia="宋体" w:cs="宋体"/>
          <w:color w:val="auto"/>
          <w:szCs w:val="24"/>
          <w:highlight w:val="none"/>
        </w:rPr>
        <w:t>提供的施工图。</w:t>
      </w:r>
    </w:p>
    <w:p>
      <w:pPr>
        <w:pStyle w:val="426"/>
        <w:pageBreakBefore w:val="0"/>
        <w:kinsoku/>
        <w:wordWrap/>
        <w:overflowPunct/>
        <w:topLinePunct w:val="0"/>
        <w:bidi w:val="0"/>
        <w:spacing w:beforeAutospacing="0" w:afterAutospacing="0" w:line="24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hAnsi="宋体" w:eastAsia="宋体" w:cs="宋体"/>
          <w:color w:val="auto"/>
          <w:szCs w:val="24"/>
          <w:highlight w:val="none"/>
          <w:lang w:val="en-US" w:eastAsia="zh-CN"/>
        </w:rPr>
        <w:t>.</w:t>
      </w:r>
      <w:r>
        <w:rPr>
          <w:rFonts w:hint="eastAsia" w:ascii="宋体" w:hAnsi="宋体" w:eastAsia="宋体" w:cs="宋体"/>
          <w:color w:val="auto"/>
          <w:szCs w:val="24"/>
          <w:highlight w:val="none"/>
        </w:rPr>
        <w:t>工程技术规范清单：详见</w:t>
      </w:r>
      <w:r>
        <w:rPr>
          <w:rFonts w:hint="eastAsia" w:hAnsi="宋体" w:cs="宋体"/>
          <w:color w:val="auto"/>
          <w:szCs w:val="24"/>
          <w:highlight w:val="none"/>
          <w:lang w:eastAsia="zh-CN"/>
        </w:rPr>
        <w:t>采购人</w:t>
      </w:r>
      <w:r>
        <w:rPr>
          <w:rFonts w:hint="eastAsia" w:ascii="宋体" w:hAnsi="宋体" w:eastAsia="宋体" w:cs="宋体"/>
          <w:color w:val="auto"/>
          <w:szCs w:val="24"/>
          <w:highlight w:val="none"/>
        </w:rPr>
        <w:t>提供的施工图中所列。</w:t>
      </w:r>
    </w:p>
    <w:p>
      <w:pPr>
        <w:pStyle w:val="426"/>
        <w:pageBreakBefore w:val="0"/>
        <w:kinsoku/>
        <w:wordWrap/>
        <w:overflowPunct/>
        <w:topLinePunct w:val="0"/>
        <w:bidi w:val="0"/>
        <w:spacing w:beforeAutospacing="0" w:afterAutospacing="0" w:line="24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r>
        <w:rPr>
          <w:rFonts w:hint="eastAsia" w:hAnsi="宋体" w:eastAsia="宋体" w:cs="宋体"/>
          <w:color w:val="auto"/>
          <w:szCs w:val="24"/>
          <w:highlight w:val="none"/>
          <w:lang w:val="en-US" w:eastAsia="zh-CN"/>
        </w:rPr>
        <w:t>.</w:t>
      </w:r>
      <w:r>
        <w:rPr>
          <w:rFonts w:hint="eastAsia" w:ascii="宋体" w:hAnsi="宋体" w:eastAsia="宋体" w:cs="宋体"/>
          <w:color w:val="auto"/>
          <w:szCs w:val="24"/>
          <w:highlight w:val="none"/>
        </w:rPr>
        <w:t>标准图集清单：详见</w:t>
      </w:r>
      <w:r>
        <w:rPr>
          <w:rFonts w:hint="eastAsia" w:hAnsi="宋体" w:cs="宋体"/>
          <w:color w:val="auto"/>
          <w:szCs w:val="24"/>
          <w:highlight w:val="none"/>
          <w:lang w:eastAsia="zh-CN"/>
        </w:rPr>
        <w:t>采购人</w:t>
      </w:r>
      <w:r>
        <w:rPr>
          <w:rFonts w:hint="eastAsia" w:ascii="宋体" w:hAnsi="宋体" w:eastAsia="宋体" w:cs="宋体"/>
          <w:color w:val="auto"/>
          <w:szCs w:val="24"/>
          <w:highlight w:val="none"/>
        </w:rPr>
        <w:t>提供的施工图中所列。</w:t>
      </w:r>
    </w:p>
    <w:p>
      <w:pPr>
        <w:pStyle w:val="3"/>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b/>
          <w:color w:val="auto"/>
          <w:sz w:val="36"/>
          <w:szCs w:val="36"/>
          <w:highlight w:val="none"/>
        </w:rPr>
      </w:pPr>
      <w:bookmarkStart w:id="413" w:name="_Toc12343_WPSOffice_Level1"/>
      <w:bookmarkStart w:id="414" w:name="_Toc11895_WPSOffice_Level1"/>
      <w:bookmarkStart w:id="415" w:name="_Toc10542"/>
      <w:bookmarkStart w:id="416" w:name="_Toc5878"/>
    </w:p>
    <w:p>
      <w:pPr>
        <w:pStyle w:val="3"/>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b/>
          <w:color w:val="auto"/>
          <w:sz w:val="36"/>
          <w:szCs w:val="36"/>
          <w:highlight w:val="none"/>
        </w:rPr>
      </w:pPr>
    </w:p>
    <w:p>
      <w:pPr>
        <w:pStyle w:val="3"/>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b/>
          <w:color w:val="auto"/>
          <w:sz w:val="36"/>
          <w:szCs w:val="36"/>
          <w:highlight w:val="none"/>
        </w:rPr>
      </w:pPr>
    </w:p>
    <w:p>
      <w:pPr>
        <w:pStyle w:val="3"/>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b/>
          <w:color w:val="auto"/>
          <w:sz w:val="36"/>
          <w:szCs w:val="36"/>
          <w:highlight w:val="none"/>
        </w:rPr>
      </w:pPr>
    </w:p>
    <w:p>
      <w:pPr>
        <w:pStyle w:val="3"/>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b/>
          <w:color w:val="auto"/>
          <w:sz w:val="36"/>
          <w:szCs w:val="36"/>
          <w:highlight w:val="none"/>
        </w:rPr>
      </w:pPr>
    </w:p>
    <w:p>
      <w:pPr>
        <w:pStyle w:val="3"/>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b/>
          <w:color w:val="auto"/>
          <w:sz w:val="36"/>
          <w:szCs w:val="36"/>
          <w:highlight w:val="none"/>
        </w:rPr>
      </w:pPr>
    </w:p>
    <w:p>
      <w:pPr>
        <w:pStyle w:val="3"/>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b/>
          <w:color w:val="auto"/>
          <w:sz w:val="36"/>
          <w:szCs w:val="36"/>
          <w:highlight w:val="none"/>
        </w:rPr>
      </w:pPr>
    </w:p>
    <w:p>
      <w:pPr>
        <w:pStyle w:val="3"/>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b/>
          <w:color w:val="auto"/>
          <w:sz w:val="36"/>
          <w:szCs w:val="36"/>
          <w:highlight w:val="none"/>
        </w:rPr>
      </w:pPr>
    </w:p>
    <w:p>
      <w:pPr>
        <w:pStyle w:val="3"/>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b/>
          <w:color w:val="auto"/>
          <w:sz w:val="36"/>
          <w:szCs w:val="36"/>
          <w:highlight w:val="none"/>
        </w:rPr>
      </w:pPr>
    </w:p>
    <w:p>
      <w:pPr>
        <w:pStyle w:val="3"/>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24"/>
        <w:rPr>
          <w:rFonts w:hint="eastAsia"/>
          <w:highlight w:val="none"/>
        </w:rPr>
      </w:pPr>
    </w:p>
    <w:p>
      <w:pPr>
        <w:pStyle w:val="3"/>
        <w:pageBreakBefore w:val="0"/>
        <w:numPr>
          <w:ilvl w:val="0"/>
          <w:numId w:val="0"/>
        </w:numPr>
        <w:kinsoku/>
        <w:wordWrap/>
        <w:overflowPunct/>
        <w:topLinePunct w:val="0"/>
        <w:bidi w:val="0"/>
        <w:spacing w:beforeAutospacing="0" w:afterAutospacing="0" w:line="240" w:lineRule="auto"/>
        <w:jc w:val="center"/>
        <w:rPr>
          <w:rFonts w:hint="eastAsia" w:ascii="宋体" w:hAnsi="宋体" w:eastAsia="宋体" w:cs="宋体"/>
          <w:b/>
          <w:color w:val="auto"/>
          <w:sz w:val="36"/>
          <w:szCs w:val="36"/>
          <w:highlight w:val="none"/>
        </w:rPr>
      </w:pPr>
      <w:bookmarkStart w:id="417" w:name="_Toc6416"/>
      <w:r>
        <w:rPr>
          <w:rFonts w:hint="eastAsia" w:ascii="宋体" w:hAnsi="宋体" w:eastAsia="宋体" w:cs="宋体"/>
          <w:b/>
          <w:color w:val="auto"/>
          <w:sz w:val="36"/>
          <w:szCs w:val="36"/>
          <w:highlight w:val="none"/>
        </w:rPr>
        <w:t>第七章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工程量清单</w:t>
      </w:r>
      <w:bookmarkEnd w:id="413"/>
      <w:bookmarkEnd w:id="414"/>
      <w:bookmarkEnd w:id="415"/>
      <w:bookmarkEnd w:id="416"/>
      <w:bookmarkEnd w:id="417"/>
    </w:p>
    <w:p>
      <w:pPr>
        <w:pStyle w:val="427"/>
        <w:pageBreakBefore w:val="0"/>
        <w:kinsoku/>
        <w:wordWrap/>
        <w:overflowPunct/>
        <w:topLinePunct w:val="0"/>
        <w:bidi w:val="0"/>
        <w:spacing w:beforeAutospacing="0" w:afterAutospacing="0" w:line="240" w:lineRule="auto"/>
        <w:jc w:val="center"/>
        <w:rPr>
          <w:rFonts w:hint="eastAsia" w:ascii="宋体" w:hAnsi="宋体" w:eastAsia="宋体" w:cs="宋体"/>
          <w:color w:val="auto"/>
          <w:highlight w:val="none"/>
          <w:lang w:eastAsia="zh-CN"/>
        </w:rPr>
      </w:pPr>
      <w:bookmarkStart w:id="418" w:name="_Toc7742_WPSOffice_Level1"/>
      <w:bookmarkStart w:id="419" w:name="_Toc20737_WPSOffice_Level1"/>
      <w:r>
        <w:rPr>
          <w:rFonts w:hint="eastAsia" w:ascii="宋体" w:hAnsi="宋体" w:eastAsia="宋体" w:cs="宋体"/>
          <w:color w:val="auto"/>
          <w:highlight w:val="none"/>
          <w:lang w:eastAsia="zh-CN"/>
        </w:rPr>
        <w:t>（另附）</w:t>
      </w:r>
      <w:bookmarkEnd w:id="418"/>
      <w:bookmarkEnd w:id="419"/>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24"/>
        <w:rPr>
          <w:rFonts w:hint="eastAsia" w:ascii="宋体" w:hAnsi="宋体" w:cs="宋体"/>
          <w:color w:val="000000"/>
          <w:szCs w:val="21"/>
          <w:highlight w:val="none"/>
        </w:rPr>
      </w:pPr>
    </w:p>
    <w:p>
      <w:pPr>
        <w:pStyle w:val="3"/>
        <w:spacing w:before="312" w:after="312"/>
        <w:ind w:firstLine="0" w:firstLineChars="0"/>
        <w:jc w:val="center"/>
        <w:rPr>
          <w:highlight w:val="none"/>
        </w:rPr>
      </w:pPr>
      <w:bookmarkStart w:id="420" w:name="_Toc32758"/>
      <w:bookmarkStart w:id="421" w:name="_Toc12703"/>
      <w:bookmarkStart w:id="422" w:name="_Toc14853"/>
      <w:bookmarkStart w:id="423" w:name="_Toc17695"/>
      <w:bookmarkStart w:id="424" w:name="_Toc6084"/>
      <w:bookmarkStart w:id="425" w:name="_Toc22827"/>
      <w:bookmarkStart w:id="426" w:name="_Toc18987"/>
      <w:bookmarkStart w:id="427" w:name="_Toc32741"/>
      <w:r>
        <w:rPr>
          <w:rFonts w:hint="eastAsia"/>
          <w:highlight w:val="none"/>
        </w:rPr>
        <w:t>第</w:t>
      </w:r>
      <w:r>
        <w:rPr>
          <w:rFonts w:hint="eastAsia"/>
          <w:highlight w:val="none"/>
          <w:lang w:val="en-US" w:eastAsia="zh-CN"/>
        </w:rPr>
        <w:t>八</w:t>
      </w:r>
      <w:r>
        <w:rPr>
          <w:rFonts w:hint="eastAsia"/>
          <w:highlight w:val="none"/>
        </w:rPr>
        <w:t>章  政府采购供应商质疑函范本</w:t>
      </w:r>
      <w:bookmarkEnd w:id="420"/>
      <w:bookmarkEnd w:id="421"/>
      <w:bookmarkEnd w:id="422"/>
      <w:bookmarkEnd w:id="423"/>
      <w:bookmarkEnd w:id="424"/>
      <w:bookmarkEnd w:id="425"/>
      <w:bookmarkEnd w:id="426"/>
      <w:bookmarkEnd w:id="427"/>
    </w:p>
    <w:p>
      <w:pPr>
        <w:jc w:val="center"/>
        <w:rPr>
          <w:rFonts w:ascii="仿宋" w:hAnsi="仿宋" w:eastAsia="仿宋" w:cs="仿宋"/>
          <w:b/>
          <w:bCs/>
          <w:sz w:val="32"/>
          <w:szCs w:val="44"/>
          <w:highlight w:val="none"/>
        </w:rPr>
      </w:pPr>
      <w:r>
        <w:rPr>
          <w:rFonts w:hint="eastAsia" w:ascii="仿宋" w:hAnsi="仿宋" w:eastAsia="仿宋" w:cs="仿宋"/>
          <w:b/>
          <w:bCs/>
          <w:sz w:val="32"/>
          <w:szCs w:val="44"/>
          <w:highlight w:val="none"/>
        </w:rPr>
        <w:t>质疑函范本</w:t>
      </w:r>
    </w:p>
    <w:p>
      <w:pPr>
        <w:adjustRightInd w:val="0"/>
        <w:snapToGrid w:val="0"/>
        <w:spacing w:before="312" w:beforeLines="100" w:line="360" w:lineRule="auto"/>
        <w:rPr>
          <w:rFonts w:cs="仿宋" w:asciiTheme="minorEastAsia" w:hAnsiTheme="minorEastAsia" w:eastAsiaTheme="minorEastAsia"/>
          <w:b/>
          <w:bCs/>
          <w:sz w:val="24"/>
          <w:highlight w:val="none"/>
        </w:rPr>
      </w:pPr>
      <w:r>
        <w:rPr>
          <w:rFonts w:hint="eastAsia" w:cs="仿宋" w:asciiTheme="minorEastAsia" w:hAnsiTheme="minorEastAsia" w:eastAsiaTheme="minorEastAsia"/>
          <w:b/>
          <w:bCs/>
          <w:sz w:val="24"/>
          <w:highlight w:val="none"/>
        </w:rPr>
        <w:t>一、质疑供应商基本信息</w:t>
      </w:r>
    </w:p>
    <w:p>
      <w:pPr>
        <w:adjustRightInd w:val="0"/>
        <w:snapToGrid w:val="0"/>
        <w:spacing w:line="360" w:lineRule="auto"/>
        <w:rPr>
          <w:rFonts w:cs="仿宋" w:asciiTheme="minorEastAsia" w:hAnsiTheme="minorEastAsia" w:eastAsiaTheme="minorEastAsia"/>
          <w:sz w:val="24"/>
          <w:highlight w:val="none"/>
          <w:u w:val="dotted"/>
        </w:rPr>
      </w:pPr>
      <w:r>
        <w:rPr>
          <w:rFonts w:hint="eastAsia" w:cs="仿宋" w:asciiTheme="minorEastAsia" w:hAnsiTheme="minorEastAsia" w:eastAsiaTheme="minorEastAsia"/>
          <w:sz w:val="24"/>
          <w:highlight w:val="none"/>
        </w:rPr>
        <w:t>质疑供应商：</w:t>
      </w:r>
      <w:r>
        <w:rPr>
          <w:rFonts w:hint="eastAsia" w:cs="仿宋" w:asciiTheme="minorEastAsia" w:hAnsiTheme="minorEastAsia" w:eastAsiaTheme="minorEastAsia"/>
          <w:sz w:val="24"/>
          <w:highlight w:val="none"/>
          <w:u w:val="dotted"/>
        </w:rPr>
        <w:t xml:space="preserve">                                        </w:t>
      </w:r>
    </w:p>
    <w:p>
      <w:pPr>
        <w:adjustRightInd w:val="0"/>
        <w:snapToGrid w:val="0"/>
        <w:spacing w:line="360" w:lineRule="auto"/>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地址：</w:t>
      </w:r>
      <w:r>
        <w:rPr>
          <w:rFonts w:hint="eastAsia" w:cs="仿宋" w:asciiTheme="minorEastAsia" w:hAnsiTheme="minorEastAsia" w:eastAsiaTheme="minorEastAsia"/>
          <w:sz w:val="24"/>
          <w:highlight w:val="none"/>
          <w:u w:val="dotted"/>
        </w:rPr>
        <w:t xml:space="preserve">                          </w:t>
      </w:r>
      <w:r>
        <w:rPr>
          <w:rFonts w:hint="eastAsia" w:cs="仿宋" w:asciiTheme="minorEastAsia" w:hAnsiTheme="minorEastAsia" w:eastAsiaTheme="minorEastAsia"/>
          <w:sz w:val="24"/>
          <w:highlight w:val="none"/>
        </w:rPr>
        <w:t>邮编：</w:t>
      </w:r>
      <w:r>
        <w:rPr>
          <w:rFonts w:hint="eastAsia" w:cs="仿宋" w:asciiTheme="minorEastAsia" w:hAnsiTheme="minorEastAsia" w:eastAsiaTheme="minorEastAsia"/>
          <w:sz w:val="24"/>
          <w:highlight w:val="none"/>
          <w:u w:val="dotted"/>
        </w:rPr>
        <w:t xml:space="preserve">                                                   </w:t>
      </w:r>
    </w:p>
    <w:p>
      <w:pPr>
        <w:adjustRightInd w:val="0"/>
        <w:snapToGrid w:val="0"/>
        <w:spacing w:line="360" w:lineRule="auto"/>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联系人：</w:t>
      </w:r>
      <w:r>
        <w:rPr>
          <w:rFonts w:hint="eastAsia" w:cs="仿宋" w:asciiTheme="minorEastAsia" w:hAnsiTheme="minorEastAsia" w:eastAsiaTheme="minorEastAsia"/>
          <w:sz w:val="24"/>
          <w:highlight w:val="none"/>
          <w:u w:val="dotted"/>
        </w:rPr>
        <w:t xml:space="preserve">                      </w:t>
      </w:r>
      <w:r>
        <w:rPr>
          <w:rFonts w:hint="eastAsia" w:cs="仿宋" w:asciiTheme="minorEastAsia" w:hAnsiTheme="minorEastAsia" w:eastAsiaTheme="minorEastAsia"/>
          <w:sz w:val="24"/>
          <w:highlight w:val="none"/>
        </w:rPr>
        <w:t>联系电话：</w:t>
      </w:r>
      <w:r>
        <w:rPr>
          <w:rFonts w:hint="eastAsia" w:cs="仿宋" w:asciiTheme="minorEastAsia" w:hAnsiTheme="minorEastAsia" w:eastAsiaTheme="minorEastAsia"/>
          <w:sz w:val="24"/>
          <w:highlight w:val="none"/>
          <w:u w:val="dotted"/>
        </w:rPr>
        <w:t xml:space="preserve">                              </w:t>
      </w:r>
    </w:p>
    <w:p>
      <w:pPr>
        <w:adjustRightInd w:val="0"/>
        <w:snapToGrid w:val="0"/>
        <w:spacing w:line="360" w:lineRule="auto"/>
        <w:rPr>
          <w:rFonts w:cs="仿宋" w:asciiTheme="minorEastAsia" w:hAnsiTheme="minorEastAsia" w:eastAsiaTheme="minorEastAsia"/>
          <w:sz w:val="24"/>
          <w:highlight w:val="none"/>
          <w:u w:val="dotted"/>
        </w:rPr>
      </w:pPr>
      <w:r>
        <w:rPr>
          <w:rFonts w:hint="eastAsia" w:cs="仿宋" w:asciiTheme="minorEastAsia" w:hAnsiTheme="minorEastAsia" w:eastAsiaTheme="minorEastAsia"/>
          <w:sz w:val="24"/>
          <w:highlight w:val="none"/>
        </w:rPr>
        <w:t>授权代表：</w:t>
      </w:r>
      <w:r>
        <w:rPr>
          <w:rFonts w:hint="eastAsia" w:cs="仿宋" w:asciiTheme="minorEastAsia" w:hAnsiTheme="minorEastAsia" w:eastAsiaTheme="minorEastAsia"/>
          <w:sz w:val="24"/>
          <w:highlight w:val="none"/>
          <w:u w:val="dotted"/>
        </w:rPr>
        <w:t xml:space="preserve">                                          </w:t>
      </w:r>
    </w:p>
    <w:p>
      <w:pPr>
        <w:adjustRightInd w:val="0"/>
        <w:snapToGrid w:val="0"/>
        <w:spacing w:line="360" w:lineRule="auto"/>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联系电话：</w:t>
      </w:r>
      <w:r>
        <w:rPr>
          <w:rFonts w:hint="eastAsia" w:cs="仿宋" w:asciiTheme="minorEastAsia" w:hAnsiTheme="minorEastAsia" w:eastAsiaTheme="minorEastAsia"/>
          <w:sz w:val="24"/>
          <w:highlight w:val="none"/>
          <w:u w:val="dotted"/>
        </w:rPr>
        <w:t xml:space="preserve">                                           </w:t>
      </w:r>
      <w:r>
        <w:rPr>
          <w:rFonts w:cs="仿宋" w:asciiTheme="minorEastAsia" w:hAnsiTheme="minorEastAsia" w:eastAsiaTheme="minorEastAsia"/>
          <w:sz w:val="24"/>
          <w:highlight w:val="none"/>
        </w:rPr>
        <w:t xml:space="preserve"> </w:t>
      </w:r>
    </w:p>
    <w:p>
      <w:pPr>
        <w:adjustRightInd w:val="0"/>
        <w:snapToGrid w:val="0"/>
        <w:spacing w:line="360" w:lineRule="auto"/>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地址：</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u w:val="dotted"/>
        </w:rPr>
        <w:t xml:space="preserve">                        </w:t>
      </w:r>
      <w:r>
        <w:rPr>
          <w:rFonts w:hint="eastAsia" w:cs="仿宋" w:asciiTheme="minorEastAsia" w:hAnsiTheme="minorEastAsia" w:eastAsiaTheme="minorEastAsia"/>
          <w:sz w:val="24"/>
          <w:highlight w:val="none"/>
        </w:rPr>
        <w:t>邮编：</w:t>
      </w:r>
      <w:r>
        <w:rPr>
          <w:rFonts w:hint="eastAsia" w:cs="仿宋" w:asciiTheme="minorEastAsia" w:hAnsiTheme="minorEastAsia" w:eastAsiaTheme="minorEastAsia"/>
          <w:sz w:val="24"/>
          <w:highlight w:val="none"/>
          <w:u w:val="dotted"/>
        </w:rPr>
        <w:t xml:space="preserve">                                                </w:t>
      </w:r>
    </w:p>
    <w:p>
      <w:pPr>
        <w:adjustRightInd w:val="0"/>
        <w:snapToGrid w:val="0"/>
        <w:spacing w:line="360" w:lineRule="auto"/>
        <w:rPr>
          <w:rFonts w:cs="仿宋" w:asciiTheme="minorEastAsia" w:hAnsiTheme="minorEastAsia" w:eastAsiaTheme="minorEastAsia"/>
          <w:b/>
          <w:bCs/>
          <w:sz w:val="24"/>
          <w:highlight w:val="none"/>
        </w:rPr>
      </w:pPr>
      <w:r>
        <w:rPr>
          <w:rFonts w:hint="eastAsia" w:cs="仿宋" w:asciiTheme="minorEastAsia" w:hAnsiTheme="minorEastAsia" w:eastAsiaTheme="minorEastAsia"/>
          <w:b/>
          <w:bCs/>
          <w:sz w:val="24"/>
          <w:highlight w:val="none"/>
        </w:rPr>
        <w:t>二、质疑项目基本情况</w:t>
      </w:r>
    </w:p>
    <w:p>
      <w:pPr>
        <w:adjustRightInd w:val="0"/>
        <w:snapToGrid w:val="0"/>
        <w:spacing w:line="360" w:lineRule="auto"/>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质疑项目的名称：</w:t>
      </w:r>
      <w:r>
        <w:rPr>
          <w:rFonts w:hint="eastAsia" w:cs="仿宋" w:asciiTheme="minorEastAsia" w:hAnsiTheme="minorEastAsia" w:eastAsiaTheme="minorEastAsia"/>
          <w:sz w:val="24"/>
          <w:highlight w:val="none"/>
          <w:u w:val="dotted"/>
        </w:rPr>
        <w:t xml:space="preserve">                                      </w:t>
      </w:r>
    </w:p>
    <w:p>
      <w:pPr>
        <w:adjustRightInd w:val="0"/>
        <w:snapToGrid w:val="0"/>
        <w:spacing w:line="360" w:lineRule="auto"/>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质疑项目的编号：</w:t>
      </w:r>
      <w:r>
        <w:rPr>
          <w:rFonts w:hint="eastAsia" w:cs="仿宋" w:asciiTheme="minorEastAsia" w:hAnsiTheme="minorEastAsia" w:eastAsiaTheme="minorEastAsia"/>
          <w:sz w:val="24"/>
          <w:highlight w:val="none"/>
          <w:u w:val="dotted"/>
        </w:rPr>
        <w:t xml:space="preserve">               </w:t>
      </w:r>
      <w:r>
        <w:rPr>
          <w:rFonts w:hint="eastAsia" w:cs="仿宋" w:asciiTheme="minorEastAsia" w:hAnsiTheme="minorEastAsia" w:eastAsiaTheme="minorEastAsia"/>
          <w:sz w:val="24"/>
          <w:highlight w:val="none"/>
        </w:rPr>
        <w:t>包号：</w:t>
      </w:r>
      <w:r>
        <w:rPr>
          <w:rFonts w:hint="eastAsia" w:cs="仿宋" w:asciiTheme="minorEastAsia" w:hAnsiTheme="minorEastAsia" w:eastAsiaTheme="minorEastAsia"/>
          <w:sz w:val="24"/>
          <w:highlight w:val="none"/>
          <w:u w:val="dotted"/>
        </w:rPr>
        <w:t xml:space="preserve">                 </w:t>
      </w:r>
    </w:p>
    <w:p>
      <w:pPr>
        <w:adjustRightInd w:val="0"/>
        <w:snapToGrid w:val="0"/>
        <w:spacing w:line="360" w:lineRule="auto"/>
        <w:rPr>
          <w:rFonts w:cs="仿宋" w:asciiTheme="minorEastAsia" w:hAnsiTheme="minorEastAsia" w:eastAsiaTheme="minorEastAsia"/>
          <w:sz w:val="24"/>
          <w:highlight w:val="none"/>
          <w:u w:val="dotted"/>
        </w:rPr>
      </w:pPr>
      <w:r>
        <w:rPr>
          <w:rFonts w:hint="eastAsia" w:cs="仿宋" w:asciiTheme="minorEastAsia" w:hAnsiTheme="minorEastAsia" w:eastAsiaTheme="minorEastAsia"/>
          <w:sz w:val="24"/>
          <w:highlight w:val="none"/>
        </w:rPr>
        <w:t>采购人名称：</w:t>
      </w:r>
      <w:r>
        <w:rPr>
          <w:rFonts w:hint="eastAsia" w:cs="仿宋" w:asciiTheme="minorEastAsia" w:hAnsiTheme="minorEastAsia" w:eastAsiaTheme="minorEastAsia"/>
          <w:sz w:val="24"/>
          <w:highlight w:val="none"/>
          <w:u w:val="dotted"/>
        </w:rPr>
        <w:t xml:space="preserve">                                         </w:t>
      </w:r>
    </w:p>
    <w:p>
      <w:pPr>
        <w:adjustRightInd w:val="0"/>
        <w:snapToGrid w:val="0"/>
        <w:spacing w:line="360" w:lineRule="auto"/>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采购文件获取日期：</w:t>
      </w:r>
      <w:r>
        <w:rPr>
          <w:rFonts w:hint="eastAsia" w:cs="仿宋" w:asciiTheme="minorEastAsia" w:hAnsiTheme="minorEastAsia" w:eastAsiaTheme="minorEastAsia"/>
          <w:sz w:val="24"/>
          <w:highlight w:val="none"/>
          <w:u w:val="dotted"/>
        </w:rPr>
        <w:t xml:space="preserve">                                           </w:t>
      </w:r>
    </w:p>
    <w:p>
      <w:pPr>
        <w:adjustRightInd w:val="0"/>
        <w:snapToGrid w:val="0"/>
        <w:spacing w:line="360" w:lineRule="auto"/>
        <w:rPr>
          <w:rFonts w:cs="仿宋" w:asciiTheme="minorEastAsia" w:hAnsiTheme="minorEastAsia" w:eastAsiaTheme="minorEastAsia"/>
          <w:b/>
          <w:bCs/>
          <w:sz w:val="24"/>
          <w:highlight w:val="none"/>
        </w:rPr>
      </w:pPr>
      <w:r>
        <w:rPr>
          <w:rFonts w:hint="eastAsia" w:cs="仿宋" w:asciiTheme="minorEastAsia" w:hAnsiTheme="minorEastAsia" w:eastAsiaTheme="minorEastAsia"/>
          <w:b/>
          <w:bCs/>
          <w:sz w:val="24"/>
          <w:highlight w:val="none"/>
        </w:rPr>
        <w:t>三、质疑事项具体内容</w:t>
      </w:r>
    </w:p>
    <w:p>
      <w:pPr>
        <w:adjustRightInd w:val="0"/>
        <w:snapToGrid w:val="0"/>
        <w:spacing w:line="360" w:lineRule="auto"/>
        <w:rPr>
          <w:rFonts w:cs="仿宋" w:asciiTheme="minorEastAsia" w:hAnsiTheme="minorEastAsia" w:eastAsiaTheme="minorEastAsia"/>
          <w:sz w:val="24"/>
          <w:highlight w:val="none"/>
          <w:u w:val="dotted"/>
        </w:rPr>
      </w:pPr>
      <w:r>
        <w:rPr>
          <w:rFonts w:hint="eastAsia" w:cs="仿宋" w:asciiTheme="minorEastAsia" w:hAnsiTheme="minorEastAsia" w:eastAsiaTheme="minorEastAsia"/>
          <w:sz w:val="24"/>
          <w:highlight w:val="none"/>
        </w:rPr>
        <w:t>质疑事项1：</w:t>
      </w:r>
      <w:r>
        <w:rPr>
          <w:rFonts w:hint="eastAsia" w:cs="仿宋" w:asciiTheme="minorEastAsia" w:hAnsiTheme="minorEastAsia" w:eastAsiaTheme="minorEastAsia"/>
          <w:sz w:val="24"/>
          <w:highlight w:val="none"/>
          <w:u w:val="dotted"/>
        </w:rPr>
        <w:t xml:space="preserve">                                         </w:t>
      </w:r>
    </w:p>
    <w:p>
      <w:pPr>
        <w:adjustRightInd w:val="0"/>
        <w:snapToGrid w:val="0"/>
        <w:spacing w:line="360" w:lineRule="auto"/>
        <w:rPr>
          <w:rFonts w:cs="仿宋" w:asciiTheme="minorEastAsia" w:hAnsiTheme="minorEastAsia" w:eastAsiaTheme="minorEastAsia"/>
          <w:sz w:val="24"/>
          <w:highlight w:val="none"/>
          <w:u w:val="dotted"/>
        </w:rPr>
      </w:pPr>
      <w:r>
        <w:rPr>
          <w:rFonts w:hint="eastAsia" w:cs="仿宋" w:asciiTheme="minorEastAsia" w:hAnsiTheme="minorEastAsia" w:eastAsiaTheme="minorEastAsia"/>
          <w:sz w:val="24"/>
          <w:highlight w:val="none"/>
        </w:rPr>
        <w:t>事实依据：</w:t>
      </w:r>
      <w:r>
        <w:rPr>
          <w:rFonts w:hint="eastAsia" w:cs="仿宋" w:asciiTheme="minorEastAsia" w:hAnsiTheme="minorEastAsia" w:eastAsiaTheme="minorEastAsia"/>
          <w:sz w:val="24"/>
          <w:highlight w:val="none"/>
          <w:u w:val="dotted"/>
        </w:rPr>
        <w:t xml:space="preserve">                                          </w:t>
      </w:r>
    </w:p>
    <w:p>
      <w:pPr>
        <w:adjustRightInd w:val="0"/>
        <w:snapToGrid w:val="0"/>
        <w:spacing w:line="360" w:lineRule="auto"/>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u w:val="dotted"/>
        </w:rPr>
        <w:t xml:space="preserve">                                                       </w:t>
      </w:r>
    </w:p>
    <w:p>
      <w:pPr>
        <w:adjustRightInd w:val="0"/>
        <w:snapToGrid w:val="0"/>
        <w:spacing w:line="360" w:lineRule="auto"/>
        <w:rPr>
          <w:rFonts w:cs="仿宋" w:asciiTheme="minorEastAsia" w:hAnsiTheme="minorEastAsia" w:eastAsiaTheme="minorEastAsia"/>
          <w:sz w:val="24"/>
          <w:highlight w:val="none"/>
          <w:u w:val="dotted"/>
        </w:rPr>
      </w:pPr>
      <w:r>
        <w:rPr>
          <w:rFonts w:hint="eastAsia" w:cs="仿宋" w:asciiTheme="minorEastAsia" w:hAnsiTheme="minorEastAsia" w:eastAsiaTheme="minorEastAsia"/>
          <w:sz w:val="24"/>
          <w:highlight w:val="none"/>
        </w:rPr>
        <w:t>法律依据：</w:t>
      </w:r>
      <w:r>
        <w:rPr>
          <w:rFonts w:hint="eastAsia" w:cs="仿宋" w:asciiTheme="minorEastAsia" w:hAnsiTheme="minorEastAsia" w:eastAsiaTheme="minorEastAsia"/>
          <w:sz w:val="24"/>
          <w:highlight w:val="none"/>
          <w:u w:val="dotted"/>
        </w:rPr>
        <w:t xml:space="preserve">                                          </w:t>
      </w:r>
    </w:p>
    <w:p>
      <w:pPr>
        <w:adjustRightInd w:val="0"/>
        <w:snapToGrid w:val="0"/>
        <w:spacing w:line="360" w:lineRule="auto"/>
        <w:rPr>
          <w:rFonts w:cs="仿宋" w:asciiTheme="minorEastAsia" w:hAnsiTheme="minorEastAsia" w:eastAsiaTheme="minorEastAsia"/>
          <w:sz w:val="24"/>
          <w:highlight w:val="none"/>
          <w:u w:val="dotted"/>
        </w:rPr>
      </w:pPr>
      <w:r>
        <w:rPr>
          <w:rFonts w:hint="eastAsia" w:cs="仿宋" w:asciiTheme="minorEastAsia" w:hAnsiTheme="minorEastAsia" w:eastAsiaTheme="minorEastAsia"/>
          <w:sz w:val="24"/>
          <w:highlight w:val="none"/>
          <w:u w:val="dotted"/>
        </w:rPr>
        <w:t xml:space="preserve">                                                     </w:t>
      </w:r>
    </w:p>
    <w:p>
      <w:pPr>
        <w:adjustRightInd w:val="0"/>
        <w:snapToGrid w:val="0"/>
        <w:spacing w:line="360" w:lineRule="auto"/>
        <w:rPr>
          <w:rFonts w:cs="仿宋" w:asciiTheme="minorEastAsia" w:hAnsiTheme="minorEastAsia" w:eastAsiaTheme="minorEastAsia"/>
          <w:sz w:val="24"/>
          <w:highlight w:val="none"/>
          <w:u w:val="dotted"/>
        </w:rPr>
      </w:pPr>
      <w:r>
        <w:rPr>
          <w:rFonts w:hint="eastAsia" w:cs="仿宋" w:asciiTheme="minorEastAsia" w:hAnsiTheme="minorEastAsia" w:eastAsiaTheme="minorEastAsia"/>
          <w:sz w:val="24"/>
          <w:highlight w:val="none"/>
        </w:rPr>
        <w:t>质疑事项2</w:t>
      </w:r>
    </w:p>
    <w:p>
      <w:pPr>
        <w:adjustRightInd w:val="0"/>
        <w:snapToGrid w:val="0"/>
        <w:spacing w:line="360" w:lineRule="auto"/>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w:t>
      </w:r>
    </w:p>
    <w:p>
      <w:pPr>
        <w:adjustRightInd w:val="0"/>
        <w:snapToGrid w:val="0"/>
        <w:spacing w:line="360" w:lineRule="auto"/>
        <w:rPr>
          <w:rFonts w:cs="仿宋" w:asciiTheme="minorEastAsia" w:hAnsiTheme="minorEastAsia" w:eastAsiaTheme="minorEastAsia"/>
          <w:b/>
          <w:bCs/>
          <w:sz w:val="24"/>
          <w:highlight w:val="none"/>
        </w:rPr>
      </w:pPr>
      <w:r>
        <w:rPr>
          <w:rFonts w:hint="eastAsia" w:cs="仿宋" w:asciiTheme="minorEastAsia" w:hAnsiTheme="minorEastAsia" w:eastAsiaTheme="minorEastAsia"/>
          <w:b/>
          <w:bCs/>
          <w:sz w:val="24"/>
          <w:highlight w:val="none"/>
        </w:rPr>
        <w:t>四、与质疑事项相关的质疑请求</w:t>
      </w:r>
    </w:p>
    <w:p>
      <w:pPr>
        <w:adjustRightInd w:val="0"/>
        <w:snapToGrid w:val="0"/>
        <w:spacing w:line="360" w:lineRule="auto"/>
        <w:rPr>
          <w:rFonts w:cs="仿宋" w:asciiTheme="minorEastAsia" w:hAnsiTheme="minorEastAsia" w:eastAsiaTheme="minorEastAsia"/>
          <w:sz w:val="24"/>
          <w:highlight w:val="none"/>
          <w:u w:val="dotted"/>
        </w:rPr>
      </w:pPr>
      <w:r>
        <w:rPr>
          <w:rFonts w:hint="eastAsia" w:cs="仿宋" w:asciiTheme="minorEastAsia" w:hAnsiTheme="minorEastAsia" w:eastAsiaTheme="minorEastAsia"/>
          <w:sz w:val="24"/>
          <w:highlight w:val="none"/>
        </w:rPr>
        <w:t>请求：</w:t>
      </w:r>
      <w:r>
        <w:rPr>
          <w:rFonts w:hint="eastAsia" w:cs="仿宋" w:asciiTheme="minorEastAsia" w:hAnsiTheme="minorEastAsia" w:eastAsiaTheme="minorEastAsia"/>
          <w:sz w:val="24"/>
          <w:highlight w:val="none"/>
          <w:u w:val="dotted"/>
        </w:rPr>
        <w:t xml:space="preserve">                                               </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签字(签章)：                   公章：                      </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日期：    </w:t>
      </w:r>
    </w:p>
    <w:p>
      <w:pPr>
        <w:widowControl/>
        <w:jc w:val="left"/>
        <w:rPr>
          <w:rFonts w:ascii="仿宋" w:hAnsi="仿宋" w:eastAsia="仿宋" w:cs="仿宋"/>
          <w:sz w:val="32"/>
          <w:szCs w:val="32"/>
          <w:highlight w:val="none"/>
        </w:rPr>
      </w:pPr>
      <w:r>
        <w:rPr>
          <w:rFonts w:ascii="仿宋" w:hAnsi="仿宋" w:eastAsia="仿宋" w:cs="仿宋"/>
          <w:sz w:val="32"/>
          <w:szCs w:val="32"/>
          <w:highlight w:val="none"/>
        </w:rPr>
        <w:br w:type="page"/>
      </w:r>
    </w:p>
    <w:p>
      <w:pPr>
        <w:rPr>
          <w:rFonts w:asciiTheme="minorEastAsia" w:hAnsiTheme="minorEastAsia" w:eastAsiaTheme="minorEastAsia"/>
          <w:b/>
          <w:sz w:val="28"/>
          <w:szCs w:val="32"/>
          <w:highlight w:val="none"/>
        </w:rPr>
      </w:pPr>
      <w:r>
        <w:rPr>
          <w:rFonts w:hint="eastAsia" w:asciiTheme="minorEastAsia" w:hAnsiTheme="minorEastAsia" w:eastAsiaTheme="minorEastAsia"/>
          <w:b/>
          <w:sz w:val="28"/>
          <w:szCs w:val="32"/>
          <w:highlight w:val="none"/>
        </w:rPr>
        <w:t>质疑函制作说明：</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1.供应商提出质疑时，应提交质疑函和必要的证明材料。</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3.质疑供应商若对项目的某一分包进行质疑，质疑函中应列明具体分包号。</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4.质疑函的质疑事项应具体、明确，并有必要的事实依据和法律依据。</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5.质疑函的质疑请求应与质疑事项相关。</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6.质疑供应商为自然人的，质疑函应由本人签字；质疑供应商为法人或者其他组织的，质疑函应由法定代表人、主要负责人，或者其授权代表签字或者盖章，并加盖公章。</w:t>
      </w:r>
    </w:p>
    <w:p>
      <w:pPr>
        <w:spacing w:line="360" w:lineRule="auto"/>
        <w:ind w:firstLine="630" w:firstLineChars="300"/>
        <w:rPr>
          <w:rFonts w:ascii="宋体" w:hAnsi="宋体" w:cs="宋体"/>
          <w:color w:val="000000"/>
          <w:szCs w:val="21"/>
          <w:highlight w:val="none"/>
        </w:rPr>
      </w:pPr>
    </w:p>
    <w:p/>
    <w:sectPr>
      <w:headerReference r:id="rId7" w:type="default"/>
      <w:footerReference r:id="rId8" w:type="default"/>
      <w:pgSz w:w="11906" w:h="16838"/>
      <w:pgMar w:top="1440" w:right="1463" w:bottom="1440" w:left="1463"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2010600000101010101"/>
    <w:charset w:val="86"/>
    <w:family w:val="auto"/>
    <w:pitch w:val="default"/>
    <w:sig w:usb0="00000000" w:usb1="00000000" w:usb2="00000002"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Dotum">
    <w:altName w:val="Malgun Gothic"/>
    <w:panose1 w:val="020B0600000101010101"/>
    <w:charset w:val="81"/>
    <w:family w:val="swiss"/>
    <w:pitch w:val="default"/>
    <w:sig w:usb0="00000000" w:usb1="00000000" w:usb2="00000030" w:usb3="00000000" w:csb0="4008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center" w:y="1"/>
      <w:rPr>
        <w:rStyle w:val="68"/>
      </w:rPr>
    </w:pPr>
    <w:r>
      <w:fldChar w:fldCharType="begin"/>
    </w:r>
    <w:r>
      <w:rPr>
        <w:rStyle w:val="68"/>
      </w:rPr>
      <w:instrText xml:space="preserve">PAGE  </w:instrText>
    </w:r>
    <w:r>
      <w:fldChar w:fldCharType="separate"/>
    </w:r>
    <w:r>
      <w:rPr>
        <w:rStyle w:val="68"/>
      </w:rPr>
      <w:t>1</w:t>
    </w:r>
    <w:r>
      <w:fldChar w:fldCharType="end"/>
    </w:r>
  </w:p>
  <w:p>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三</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三</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right"/>
      <w:rPr>
        <w:rFonts w:hint="default" w:eastAsia="楷体_GB2312"/>
        <w:i/>
        <w:spacing w:val="-11"/>
        <w:sz w:val="21"/>
        <w:lang w:val="en-US" w:eastAsia="zh-CN"/>
      </w:rPr>
    </w:pPr>
    <w:r>
      <w:rPr>
        <w:rFonts w:hint="eastAsia" w:eastAsia="楷体_GB2312"/>
        <w:b/>
        <w:iCs/>
        <w:spacing w:val="-11"/>
        <w:sz w:val="21"/>
        <w:lang w:val="en-US" w:eastAsia="zh-CN"/>
      </w:rPr>
      <w:t>安庆职业技术学院篮球场和排球场改造项目竞争性磋商文件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3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2"/>
    <w:multiLevelType w:val="singleLevel"/>
    <w:tmpl w:val="00000002"/>
    <w:lvl w:ilvl="0" w:tentative="0">
      <w:start w:val="1"/>
      <w:numFmt w:val="bullet"/>
      <w:pStyle w:val="366"/>
      <w:lvlText w:val=""/>
      <w:lvlJc w:val="left"/>
      <w:pPr>
        <w:tabs>
          <w:tab w:val="left" w:pos="360"/>
        </w:tabs>
        <w:ind w:left="360" w:hanging="360"/>
      </w:pPr>
      <w:rPr>
        <w:rFonts w:hint="default" w:ascii="Symbol" w:hAnsi="Symbol"/>
      </w:rPr>
    </w:lvl>
  </w:abstractNum>
  <w:abstractNum w:abstractNumId="2">
    <w:nsid w:val="0000000A"/>
    <w:multiLevelType w:val="singleLevel"/>
    <w:tmpl w:val="0000000A"/>
    <w:lvl w:ilvl="0" w:tentative="0">
      <w:start w:val="3"/>
      <w:numFmt w:val="chineseCounting"/>
      <w:suff w:val="nothing"/>
      <w:lvlText w:val="%1、"/>
      <w:lvlJc w:val="left"/>
      <w:rPr>
        <w:rFonts w:cs="Times New Roman"/>
      </w:rPr>
    </w:lvl>
  </w:abstractNum>
  <w:abstractNum w:abstractNumId="3">
    <w:nsid w:val="00000011"/>
    <w:multiLevelType w:val="multilevel"/>
    <w:tmpl w:val="00000011"/>
    <w:lvl w:ilvl="0" w:tentative="0">
      <w:start w:val="1"/>
      <w:numFmt w:val="decimal"/>
      <w:pStyle w:val="35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81"/>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17"/>
    <w:multiLevelType w:val="singleLevel"/>
    <w:tmpl w:val="00000017"/>
    <w:lvl w:ilvl="0" w:tentative="0">
      <w:start w:val="11"/>
      <w:numFmt w:val="decimal"/>
      <w:suff w:val="nothing"/>
      <w:lvlText w:val="%1、"/>
      <w:lvlJc w:val="left"/>
      <w:rPr>
        <w:rFonts w:cs="Times New Roman"/>
      </w:rPr>
    </w:lvl>
  </w:abstractNum>
  <w:abstractNum w:abstractNumId="5">
    <w:nsid w:val="24366283"/>
    <w:multiLevelType w:val="multilevel"/>
    <w:tmpl w:val="24366283"/>
    <w:lvl w:ilvl="0" w:tentative="0">
      <w:start w:val="1"/>
      <w:numFmt w:val="decimal"/>
      <w:pStyle w:val="358"/>
      <w:lvlText w:val="%1"/>
      <w:lvlJc w:val="left"/>
      <w:pPr>
        <w:tabs>
          <w:tab w:val="left" w:pos="567"/>
        </w:tabs>
        <w:ind w:left="567" w:hanging="567"/>
      </w:pPr>
      <w:rPr>
        <w:rFonts w:hint="eastAsia" w:cs="Times New Roman"/>
      </w:rPr>
    </w:lvl>
    <w:lvl w:ilvl="1" w:tentative="0">
      <w:start w:val="1"/>
      <w:numFmt w:val="decimal"/>
      <w:pStyle w:val="355"/>
      <w:lvlText w:val="%1.%2"/>
      <w:lvlJc w:val="left"/>
      <w:pPr>
        <w:tabs>
          <w:tab w:val="left" w:pos="1004"/>
        </w:tabs>
        <w:ind w:left="567" w:hanging="283"/>
      </w:pPr>
      <w:rPr>
        <w:rFonts w:hint="eastAsia" w:cs="Times New Roman"/>
      </w:rPr>
    </w:lvl>
    <w:lvl w:ilvl="2" w:tentative="0">
      <w:start w:val="1"/>
      <w:numFmt w:val="decimal"/>
      <w:pStyle w:val="354"/>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6">
    <w:nsid w:val="28684E3B"/>
    <w:multiLevelType w:val="singleLevel"/>
    <w:tmpl w:val="28684E3B"/>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7">
    <w:nsid w:val="54FE4B3A"/>
    <w:multiLevelType w:val="singleLevel"/>
    <w:tmpl w:val="54FE4B3A"/>
    <w:lvl w:ilvl="0" w:tentative="0">
      <w:start w:val="1"/>
      <w:numFmt w:val="decimal"/>
      <w:suff w:val="nothing"/>
      <w:lvlText w:val="%1."/>
      <w:lvlJc w:val="left"/>
    </w:lvl>
  </w:abstractNum>
  <w:abstractNum w:abstractNumId="8">
    <w:nsid w:val="55697878"/>
    <w:multiLevelType w:val="singleLevel"/>
    <w:tmpl w:val="55697878"/>
    <w:lvl w:ilvl="0" w:tentative="0">
      <w:start w:val="1"/>
      <w:numFmt w:val="chineseCounting"/>
      <w:suff w:val="space"/>
      <w:lvlText w:val="第%1章"/>
      <w:lvlJc w:val="left"/>
    </w:lvl>
  </w:abstractNum>
  <w:abstractNum w:abstractNumId="9">
    <w:nsid w:val="58FC10EF"/>
    <w:multiLevelType w:val="singleLevel"/>
    <w:tmpl w:val="58FC10EF"/>
    <w:lvl w:ilvl="0" w:tentative="0">
      <w:start w:val="1"/>
      <w:numFmt w:val="decimalEnclosedCircleChinese"/>
      <w:suff w:val="nothing"/>
      <w:lvlText w:val="%1　"/>
      <w:lvlJc w:val="left"/>
      <w:pPr>
        <w:ind w:left="0" w:firstLine="400"/>
      </w:pPr>
      <w:rPr>
        <w:rFonts w:hint="eastAsia"/>
      </w:rPr>
    </w:lvl>
  </w:abstractNum>
  <w:abstractNum w:abstractNumId="10">
    <w:nsid w:val="58FC1119"/>
    <w:multiLevelType w:val="singleLevel"/>
    <w:tmpl w:val="58FC1119"/>
    <w:lvl w:ilvl="0" w:tentative="0">
      <w:start w:val="1"/>
      <w:numFmt w:val="decimalEnclosedCircleChinese"/>
      <w:suff w:val="nothing"/>
      <w:lvlText w:val="%1　"/>
      <w:lvlJc w:val="left"/>
      <w:pPr>
        <w:ind w:left="0" w:firstLine="400"/>
      </w:pPr>
      <w:rPr>
        <w:rFonts w:hint="eastAsia"/>
      </w:rPr>
    </w:lvl>
  </w:abstractNum>
  <w:num w:numId="1">
    <w:abstractNumId w:val="6"/>
  </w:num>
  <w:num w:numId="2">
    <w:abstractNumId w:val="0"/>
  </w:num>
  <w:num w:numId="3">
    <w:abstractNumId w:val="3"/>
  </w:num>
  <w:num w:numId="4">
    <w:abstractNumId w:val="5"/>
  </w:num>
  <w:num w:numId="5">
    <w:abstractNumId w:val="1"/>
  </w:num>
  <w:num w:numId="6">
    <w:abstractNumId w:val="9"/>
  </w:num>
  <w:num w:numId="7">
    <w:abstractNumId w:val="10"/>
  </w:num>
  <w:num w:numId="8">
    <w:abstractNumId w:val="2"/>
  </w:num>
  <w:num w:numId="9">
    <w:abstractNumId w:val="4"/>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3OGFiYWIyNWQ1NWNkNzYzMDkwMWQ5OWMxMjM1YmEifQ=="/>
  </w:docVars>
  <w:rsids>
    <w:rsidRoot w:val="00172A27"/>
    <w:rsid w:val="00010694"/>
    <w:rsid w:val="000235B5"/>
    <w:rsid w:val="0002413E"/>
    <w:rsid w:val="00024F9F"/>
    <w:rsid w:val="000370E3"/>
    <w:rsid w:val="000507E8"/>
    <w:rsid w:val="00054A66"/>
    <w:rsid w:val="00064474"/>
    <w:rsid w:val="00064AE1"/>
    <w:rsid w:val="00073044"/>
    <w:rsid w:val="0007476A"/>
    <w:rsid w:val="00087987"/>
    <w:rsid w:val="00093C41"/>
    <w:rsid w:val="000B6F75"/>
    <w:rsid w:val="000C1ABF"/>
    <w:rsid w:val="000C7F29"/>
    <w:rsid w:val="000D3ED7"/>
    <w:rsid w:val="001025CA"/>
    <w:rsid w:val="0011028C"/>
    <w:rsid w:val="001108AC"/>
    <w:rsid w:val="00116DDE"/>
    <w:rsid w:val="001238B8"/>
    <w:rsid w:val="00125483"/>
    <w:rsid w:val="00126CB2"/>
    <w:rsid w:val="001277C9"/>
    <w:rsid w:val="0012783F"/>
    <w:rsid w:val="001347C2"/>
    <w:rsid w:val="001434CE"/>
    <w:rsid w:val="001509DE"/>
    <w:rsid w:val="00153D99"/>
    <w:rsid w:val="00157A32"/>
    <w:rsid w:val="00160F44"/>
    <w:rsid w:val="0016586D"/>
    <w:rsid w:val="00171D5E"/>
    <w:rsid w:val="00172A27"/>
    <w:rsid w:val="00186A56"/>
    <w:rsid w:val="001A2433"/>
    <w:rsid w:val="001B1EF8"/>
    <w:rsid w:val="001B3868"/>
    <w:rsid w:val="001B6DBE"/>
    <w:rsid w:val="001C2583"/>
    <w:rsid w:val="001D7738"/>
    <w:rsid w:val="001E606E"/>
    <w:rsid w:val="001F1418"/>
    <w:rsid w:val="00220D4C"/>
    <w:rsid w:val="00225FE3"/>
    <w:rsid w:val="00232BD2"/>
    <w:rsid w:val="0025055D"/>
    <w:rsid w:val="00252D15"/>
    <w:rsid w:val="00257B90"/>
    <w:rsid w:val="00261B95"/>
    <w:rsid w:val="002663B5"/>
    <w:rsid w:val="00294358"/>
    <w:rsid w:val="002978A1"/>
    <w:rsid w:val="002C07F7"/>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761AE"/>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32F86"/>
    <w:rsid w:val="004430CB"/>
    <w:rsid w:val="004439D2"/>
    <w:rsid w:val="004474A8"/>
    <w:rsid w:val="004477BC"/>
    <w:rsid w:val="00450D0D"/>
    <w:rsid w:val="004531A3"/>
    <w:rsid w:val="00455A96"/>
    <w:rsid w:val="0047383D"/>
    <w:rsid w:val="00480FA5"/>
    <w:rsid w:val="00491D34"/>
    <w:rsid w:val="00492186"/>
    <w:rsid w:val="004932CF"/>
    <w:rsid w:val="004957EB"/>
    <w:rsid w:val="004B3E89"/>
    <w:rsid w:val="004D6BFF"/>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774CE"/>
    <w:rsid w:val="00585656"/>
    <w:rsid w:val="00587AAA"/>
    <w:rsid w:val="00593381"/>
    <w:rsid w:val="00593490"/>
    <w:rsid w:val="00596137"/>
    <w:rsid w:val="005A2494"/>
    <w:rsid w:val="005A440D"/>
    <w:rsid w:val="005A5824"/>
    <w:rsid w:val="005A7B77"/>
    <w:rsid w:val="005B05C6"/>
    <w:rsid w:val="005B1EB0"/>
    <w:rsid w:val="005B5D0C"/>
    <w:rsid w:val="005C793D"/>
    <w:rsid w:val="005D4A9A"/>
    <w:rsid w:val="005F1476"/>
    <w:rsid w:val="005F2A9D"/>
    <w:rsid w:val="00602580"/>
    <w:rsid w:val="00624C59"/>
    <w:rsid w:val="00625F94"/>
    <w:rsid w:val="00627215"/>
    <w:rsid w:val="00631E06"/>
    <w:rsid w:val="006443D9"/>
    <w:rsid w:val="00660ECC"/>
    <w:rsid w:val="006729F3"/>
    <w:rsid w:val="00693ACE"/>
    <w:rsid w:val="006A479F"/>
    <w:rsid w:val="006B1B74"/>
    <w:rsid w:val="006B3D08"/>
    <w:rsid w:val="006B43C0"/>
    <w:rsid w:val="006C09C6"/>
    <w:rsid w:val="006C6A6D"/>
    <w:rsid w:val="006D61A6"/>
    <w:rsid w:val="006E68C8"/>
    <w:rsid w:val="006F7843"/>
    <w:rsid w:val="007218F9"/>
    <w:rsid w:val="00721FCA"/>
    <w:rsid w:val="007230C0"/>
    <w:rsid w:val="00723B64"/>
    <w:rsid w:val="00726AD2"/>
    <w:rsid w:val="0072738C"/>
    <w:rsid w:val="00730754"/>
    <w:rsid w:val="00730852"/>
    <w:rsid w:val="00741C13"/>
    <w:rsid w:val="007430F0"/>
    <w:rsid w:val="0075613D"/>
    <w:rsid w:val="00757D5F"/>
    <w:rsid w:val="00760525"/>
    <w:rsid w:val="007674B8"/>
    <w:rsid w:val="0078109C"/>
    <w:rsid w:val="00797C5C"/>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D5EF4"/>
    <w:rsid w:val="008E54CF"/>
    <w:rsid w:val="008E5BB6"/>
    <w:rsid w:val="008F4221"/>
    <w:rsid w:val="00904018"/>
    <w:rsid w:val="00912972"/>
    <w:rsid w:val="00915FF4"/>
    <w:rsid w:val="00924828"/>
    <w:rsid w:val="00933B4D"/>
    <w:rsid w:val="00936F7B"/>
    <w:rsid w:val="0093793B"/>
    <w:rsid w:val="00955923"/>
    <w:rsid w:val="00967E98"/>
    <w:rsid w:val="009717B8"/>
    <w:rsid w:val="00975C53"/>
    <w:rsid w:val="00990227"/>
    <w:rsid w:val="009A6E10"/>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13B93"/>
    <w:rsid w:val="00A22C96"/>
    <w:rsid w:val="00A22DD7"/>
    <w:rsid w:val="00A237A5"/>
    <w:rsid w:val="00A31F68"/>
    <w:rsid w:val="00A40E26"/>
    <w:rsid w:val="00A63F08"/>
    <w:rsid w:val="00A70A3D"/>
    <w:rsid w:val="00A8009F"/>
    <w:rsid w:val="00A828AE"/>
    <w:rsid w:val="00A86320"/>
    <w:rsid w:val="00AA4034"/>
    <w:rsid w:val="00AB0660"/>
    <w:rsid w:val="00AB4713"/>
    <w:rsid w:val="00AB5EDD"/>
    <w:rsid w:val="00AE5910"/>
    <w:rsid w:val="00B03542"/>
    <w:rsid w:val="00B0507A"/>
    <w:rsid w:val="00B058E8"/>
    <w:rsid w:val="00B07DD3"/>
    <w:rsid w:val="00B1159D"/>
    <w:rsid w:val="00B12DDB"/>
    <w:rsid w:val="00B20DA9"/>
    <w:rsid w:val="00B27A8E"/>
    <w:rsid w:val="00B30C14"/>
    <w:rsid w:val="00B425D7"/>
    <w:rsid w:val="00B45ABB"/>
    <w:rsid w:val="00B701B7"/>
    <w:rsid w:val="00B70CF3"/>
    <w:rsid w:val="00B71E7C"/>
    <w:rsid w:val="00B74E46"/>
    <w:rsid w:val="00B85725"/>
    <w:rsid w:val="00B903F4"/>
    <w:rsid w:val="00B93271"/>
    <w:rsid w:val="00B93AE2"/>
    <w:rsid w:val="00B93CB1"/>
    <w:rsid w:val="00B96146"/>
    <w:rsid w:val="00B96409"/>
    <w:rsid w:val="00B96BED"/>
    <w:rsid w:val="00BA2710"/>
    <w:rsid w:val="00BA6247"/>
    <w:rsid w:val="00BA791D"/>
    <w:rsid w:val="00BC0B72"/>
    <w:rsid w:val="00BD7EBA"/>
    <w:rsid w:val="00BE0AB0"/>
    <w:rsid w:val="00BE43CC"/>
    <w:rsid w:val="00C00A93"/>
    <w:rsid w:val="00C04F27"/>
    <w:rsid w:val="00C16558"/>
    <w:rsid w:val="00C17674"/>
    <w:rsid w:val="00C213A0"/>
    <w:rsid w:val="00C26F7E"/>
    <w:rsid w:val="00C34E1A"/>
    <w:rsid w:val="00C3720F"/>
    <w:rsid w:val="00C50391"/>
    <w:rsid w:val="00C52220"/>
    <w:rsid w:val="00C70C5B"/>
    <w:rsid w:val="00C80A64"/>
    <w:rsid w:val="00C82587"/>
    <w:rsid w:val="00CA1E14"/>
    <w:rsid w:val="00CA1E22"/>
    <w:rsid w:val="00CA5BBE"/>
    <w:rsid w:val="00CB1DDE"/>
    <w:rsid w:val="00CB3ADB"/>
    <w:rsid w:val="00CB3CCA"/>
    <w:rsid w:val="00CB4690"/>
    <w:rsid w:val="00CC165F"/>
    <w:rsid w:val="00CC1A8B"/>
    <w:rsid w:val="00CC1B1A"/>
    <w:rsid w:val="00CC27E5"/>
    <w:rsid w:val="00CC6D72"/>
    <w:rsid w:val="00CE2ABB"/>
    <w:rsid w:val="00D07D7D"/>
    <w:rsid w:val="00D248BB"/>
    <w:rsid w:val="00D25DBD"/>
    <w:rsid w:val="00D308B3"/>
    <w:rsid w:val="00D47E57"/>
    <w:rsid w:val="00D5782D"/>
    <w:rsid w:val="00D63918"/>
    <w:rsid w:val="00D85AC8"/>
    <w:rsid w:val="00D94D5B"/>
    <w:rsid w:val="00D95AF3"/>
    <w:rsid w:val="00DB376D"/>
    <w:rsid w:val="00DB380C"/>
    <w:rsid w:val="00DB4D62"/>
    <w:rsid w:val="00DB61C7"/>
    <w:rsid w:val="00DB7A4F"/>
    <w:rsid w:val="00DD336F"/>
    <w:rsid w:val="00DD419A"/>
    <w:rsid w:val="00DF30F4"/>
    <w:rsid w:val="00DF3FD2"/>
    <w:rsid w:val="00DF4E36"/>
    <w:rsid w:val="00DF7284"/>
    <w:rsid w:val="00E03082"/>
    <w:rsid w:val="00E10AEA"/>
    <w:rsid w:val="00E12D33"/>
    <w:rsid w:val="00E15E75"/>
    <w:rsid w:val="00E168C4"/>
    <w:rsid w:val="00E2639A"/>
    <w:rsid w:val="00E27F44"/>
    <w:rsid w:val="00E45139"/>
    <w:rsid w:val="00E476BB"/>
    <w:rsid w:val="00E51A63"/>
    <w:rsid w:val="00E60F28"/>
    <w:rsid w:val="00E7469E"/>
    <w:rsid w:val="00E768D2"/>
    <w:rsid w:val="00E776E4"/>
    <w:rsid w:val="00E81C4E"/>
    <w:rsid w:val="00E86C08"/>
    <w:rsid w:val="00E91570"/>
    <w:rsid w:val="00EA2046"/>
    <w:rsid w:val="00EA24FB"/>
    <w:rsid w:val="00EA50D0"/>
    <w:rsid w:val="00EB230D"/>
    <w:rsid w:val="00EB6CC4"/>
    <w:rsid w:val="00EC000B"/>
    <w:rsid w:val="00EC1E1E"/>
    <w:rsid w:val="00EC2DCD"/>
    <w:rsid w:val="00EC4D04"/>
    <w:rsid w:val="00ED22A1"/>
    <w:rsid w:val="00EE37CA"/>
    <w:rsid w:val="00EE5BB5"/>
    <w:rsid w:val="00EF2567"/>
    <w:rsid w:val="00F04AD7"/>
    <w:rsid w:val="00F23563"/>
    <w:rsid w:val="00F350B4"/>
    <w:rsid w:val="00F4261A"/>
    <w:rsid w:val="00F46EA7"/>
    <w:rsid w:val="00F629E7"/>
    <w:rsid w:val="00F7647B"/>
    <w:rsid w:val="00F9508F"/>
    <w:rsid w:val="00FA728E"/>
    <w:rsid w:val="00FB57EE"/>
    <w:rsid w:val="00FB654E"/>
    <w:rsid w:val="00FC682E"/>
    <w:rsid w:val="00FD138A"/>
    <w:rsid w:val="00FE506C"/>
    <w:rsid w:val="00FF22A3"/>
    <w:rsid w:val="00FF323D"/>
    <w:rsid w:val="014A70A1"/>
    <w:rsid w:val="01814321"/>
    <w:rsid w:val="01BF16D0"/>
    <w:rsid w:val="01CC0D2E"/>
    <w:rsid w:val="02251150"/>
    <w:rsid w:val="027C16B8"/>
    <w:rsid w:val="029B25E3"/>
    <w:rsid w:val="02D823E8"/>
    <w:rsid w:val="0320217A"/>
    <w:rsid w:val="034B4BE6"/>
    <w:rsid w:val="036D2DAF"/>
    <w:rsid w:val="03800D34"/>
    <w:rsid w:val="03960557"/>
    <w:rsid w:val="0397607D"/>
    <w:rsid w:val="03A74512"/>
    <w:rsid w:val="042042C5"/>
    <w:rsid w:val="04500CD8"/>
    <w:rsid w:val="045301F6"/>
    <w:rsid w:val="045F11AA"/>
    <w:rsid w:val="04787C5D"/>
    <w:rsid w:val="04952722"/>
    <w:rsid w:val="04A65A23"/>
    <w:rsid w:val="04CF03DE"/>
    <w:rsid w:val="04D8192A"/>
    <w:rsid w:val="04EA6DAD"/>
    <w:rsid w:val="0543026B"/>
    <w:rsid w:val="057274FF"/>
    <w:rsid w:val="05750F50"/>
    <w:rsid w:val="05777F14"/>
    <w:rsid w:val="058101E9"/>
    <w:rsid w:val="05B13EEE"/>
    <w:rsid w:val="05DD4740"/>
    <w:rsid w:val="05EA6938"/>
    <w:rsid w:val="06135229"/>
    <w:rsid w:val="065344DE"/>
    <w:rsid w:val="066B5890"/>
    <w:rsid w:val="06B833C2"/>
    <w:rsid w:val="07373DFF"/>
    <w:rsid w:val="07593281"/>
    <w:rsid w:val="075B5D40"/>
    <w:rsid w:val="07603356"/>
    <w:rsid w:val="07BF65A4"/>
    <w:rsid w:val="07C26242"/>
    <w:rsid w:val="07DA2F78"/>
    <w:rsid w:val="082D0D5E"/>
    <w:rsid w:val="08517166"/>
    <w:rsid w:val="085D5AE7"/>
    <w:rsid w:val="086A29F9"/>
    <w:rsid w:val="08873E29"/>
    <w:rsid w:val="08A059D4"/>
    <w:rsid w:val="08E81855"/>
    <w:rsid w:val="08FB2C0B"/>
    <w:rsid w:val="08FE7BA5"/>
    <w:rsid w:val="093323A4"/>
    <w:rsid w:val="09497E1A"/>
    <w:rsid w:val="094B3B92"/>
    <w:rsid w:val="096E17BA"/>
    <w:rsid w:val="09727371"/>
    <w:rsid w:val="0A193C90"/>
    <w:rsid w:val="0A344D55"/>
    <w:rsid w:val="0B095AB3"/>
    <w:rsid w:val="0B195D46"/>
    <w:rsid w:val="0B230A84"/>
    <w:rsid w:val="0B4F775C"/>
    <w:rsid w:val="0B7A075E"/>
    <w:rsid w:val="0B9A1EFF"/>
    <w:rsid w:val="0BB25A4B"/>
    <w:rsid w:val="0C0A3890"/>
    <w:rsid w:val="0C1977CA"/>
    <w:rsid w:val="0C6A30AA"/>
    <w:rsid w:val="0CB757EC"/>
    <w:rsid w:val="0CC06645"/>
    <w:rsid w:val="0D605732"/>
    <w:rsid w:val="0D7C79A1"/>
    <w:rsid w:val="0D844B1B"/>
    <w:rsid w:val="0D904B48"/>
    <w:rsid w:val="0DAC2D80"/>
    <w:rsid w:val="0DB42649"/>
    <w:rsid w:val="0DD57ECE"/>
    <w:rsid w:val="0E1A1D85"/>
    <w:rsid w:val="0E2B5D40"/>
    <w:rsid w:val="0E5A03D3"/>
    <w:rsid w:val="0E963B01"/>
    <w:rsid w:val="0EB61AAE"/>
    <w:rsid w:val="0F31382A"/>
    <w:rsid w:val="0F712210"/>
    <w:rsid w:val="0FB00BF3"/>
    <w:rsid w:val="0FC41FA8"/>
    <w:rsid w:val="0FE268D2"/>
    <w:rsid w:val="0FE32D76"/>
    <w:rsid w:val="1025693D"/>
    <w:rsid w:val="1035036E"/>
    <w:rsid w:val="10830351"/>
    <w:rsid w:val="10D7502F"/>
    <w:rsid w:val="10EA3C90"/>
    <w:rsid w:val="11036B00"/>
    <w:rsid w:val="11561326"/>
    <w:rsid w:val="119513BB"/>
    <w:rsid w:val="11E46AA9"/>
    <w:rsid w:val="11EB5F12"/>
    <w:rsid w:val="12274A70"/>
    <w:rsid w:val="130F79DE"/>
    <w:rsid w:val="131274CE"/>
    <w:rsid w:val="13151109"/>
    <w:rsid w:val="13392CAD"/>
    <w:rsid w:val="134578A4"/>
    <w:rsid w:val="13893C35"/>
    <w:rsid w:val="13B642FE"/>
    <w:rsid w:val="13B65E3E"/>
    <w:rsid w:val="13B81C82"/>
    <w:rsid w:val="13BE783C"/>
    <w:rsid w:val="13D36C5E"/>
    <w:rsid w:val="14003740"/>
    <w:rsid w:val="14221995"/>
    <w:rsid w:val="14264FE0"/>
    <w:rsid w:val="143A5CB7"/>
    <w:rsid w:val="146C3C63"/>
    <w:rsid w:val="14A5684C"/>
    <w:rsid w:val="14AE27FE"/>
    <w:rsid w:val="14B03EB0"/>
    <w:rsid w:val="14C11897"/>
    <w:rsid w:val="14F0383F"/>
    <w:rsid w:val="15053D99"/>
    <w:rsid w:val="1525798D"/>
    <w:rsid w:val="152E4A94"/>
    <w:rsid w:val="155913E5"/>
    <w:rsid w:val="156D6C3E"/>
    <w:rsid w:val="157224A6"/>
    <w:rsid w:val="15836462"/>
    <w:rsid w:val="15E24861"/>
    <w:rsid w:val="160B0931"/>
    <w:rsid w:val="161D0664"/>
    <w:rsid w:val="16361726"/>
    <w:rsid w:val="167F54A3"/>
    <w:rsid w:val="17485BB5"/>
    <w:rsid w:val="1776627E"/>
    <w:rsid w:val="17884241"/>
    <w:rsid w:val="17BB0135"/>
    <w:rsid w:val="17C23271"/>
    <w:rsid w:val="18210708"/>
    <w:rsid w:val="18376899"/>
    <w:rsid w:val="18507693"/>
    <w:rsid w:val="1858180A"/>
    <w:rsid w:val="1890336F"/>
    <w:rsid w:val="18A74E4B"/>
    <w:rsid w:val="193B777F"/>
    <w:rsid w:val="19477DD7"/>
    <w:rsid w:val="19641853"/>
    <w:rsid w:val="197F5A9B"/>
    <w:rsid w:val="19930995"/>
    <w:rsid w:val="19972F01"/>
    <w:rsid w:val="19975303"/>
    <w:rsid w:val="19CE1487"/>
    <w:rsid w:val="19F82AA3"/>
    <w:rsid w:val="19FA3B72"/>
    <w:rsid w:val="1A183487"/>
    <w:rsid w:val="1AAB57EB"/>
    <w:rsid w:val="1ABA4CF6"/>
    <w:rsid w:val="1AE14343"/>
    <w:rsid w:val="1B1F6C2C"/>
    <w:rsid w:val="1B522ECD"/>
    <w:rsid w:val="1B8423C3"/>
    <w:rsid w:val="1B900DED"/>
    <w:rsid w:val="1BC3591D"/>
    <w:rsid w:val="1BC80A07"/>
    <w:rsid w:val="1C142509"/>
    <w:rsid w:val="1C161DDD"/>
    <w:rsid w:val="1C5A616E"/>
    <w:rsid w:val="1C60574F"/>
    <w:rsid w:val="1C832CB9"/>
    <w:rsid w:val="1CB8239E"/>
    <w:rsid w:val="1CEE4B08"/>
    <w:rsid w:val="1D21657E"/>
    <w:rsid w:val="1D605FE0"/>
    <w:rsid w:val="1D900790"/>
    <w:rsid w:val="1DC25D24"/>
    <w:rsid w:val="1DD778C1"/>
    <w:rsid w:val="1DDC1162"/>
    <w:rsid w:val="1DFA2681"/>
    <w:rsid w:val="1E0B2E56"/>
    <w:rsid w:val="1E3429EF"/>
    <w:rsid w:val="1E3E386E"/>
    <w:rsid w:val="1F272D83"/>
    <w:rsid w:val="1F4E69DC"/>
    <w:rsid w:val="1F642118"/>
    <w:rsid w:val="1F7C289F"/>
    <w:rsid w:val="1F8D1FA7"/>
    <w:rsid w:val="1F9E2816"/>
    <w:rsid w:val="1FAB2877"/>
    <w:rsid w:val="1FB77434"/>
    <w:rsid w:val="203E7B55"/>
    <w:rsid w:val="208F03B0"/>
    <w:rsid w:val="20BD2964"/>
    <w:rsid w:val="20CA3197"/>
    <w:rsid w:val="20F22F8D"/>
    <w:rsid w:val="210D6AF8"/>
    <w:rsid w:val="21224D81"/>
    <w:rsid w:val="213B5E42"/>
    <w:rsid w:val="213B6468"/>
    <w:rsid w:val="21415B4F"/>
    <w:rsid w:val="21DC7625"/>
    <w:rsid w:val="21EE0628"/>
    <w:rsid w:val="221768AF"/>
    <w:rsid w:val="22255811"/>
    <w:rsid w:val="223C3874"/>
    <w:rsid w:val="22884471"/>
    <w:rsid w:val="22F95FB5"/>
    <w:rsid w:val="230A1F70"/>
    <w:rsid w:val="23231248"/>
    <w:rsid w:val="233C5E2B"/>
    <w:rsid w:val="234F74DA"/>
    <w:rsid w:val="238F79C2"/>
    <w:rsid w:val="23A14EBC"/>
    <w:rsid w:val="23B51EDC"/>
    <w:rsid w:val="23F073B8"/>
    <w:rsid w:val="2430365E"/>
    <w:rsid w:val="247F027C"/>
    <w:rsid w:val="249064A5"/>
    <w:rsid w:val="24A81A41"/>
    <w:rsid w:val="24AB32DF"/>
    <w:rsid w:val="24B623B0"/>
    <w:rsid w:val="24EF58C2"/>
    <w:rsid w:val="24F9229C"/>
    <w:rsid w:val="250D7AF6"/>
    <w:rsid w:val="25270BB7"/>
    <w:rsid w:val="25545725"/>
    <w:rsid w:val="25873673"/>
    <w:rsid w:val="25981AB5"/>
    <w:rsid w:val="25C96113"/>
    <w:rsid w:val="25DA20CE"/>
    <w:rsid w:val="26981E89"/>
    <w:rsid w:val="26E00C03"/>
    <w:rsid w:val="27117D71"/>
    <w:rsid w:val="275027EC"/>
    <w:rsid w:val="27D86AE1"/>
    <w:rsid w:val="27DB3EDB"/>
    <w:rsid w:val="27F21951"/>
    <w:rsid w:val="280F14ED"/>
    <w:rsid w:val="28173165"/>
    <w:rsid w:val="28D50DF9"/>
    <w:rsid w:val="291D7D66"/>
    <w:rsid w:val="291E6775"/>
    <w:rsid w:val="29912F65"/>
    <w:rsid w:val="29A46C7B"/>
    <w:rsid w:val="29C2456E"/>
    <w:rsid w:val="29CC7539"/>
    <w:rsid w:val="29CE71F1"/>
    <w:rsid w:val="29DD3F3B"/>
    <w:rsid w:val="29E65E68"/>
    <w:rsid w:val="2A2052A5"/>
    <w:rsid w:val="2A570191"/>
    <w:rsid w:val="2A585CB7"/>
    <w:rsid w:val="2A6147B1"/>
    <w:rsid w:val="2A952913"/>
    <w:rsid w:val="2AB90504"/>
    <w:rsid w:val="2AC670C5"/>
    <w:rsid w:val="2AD74E2E"/>
    <w:rsid w:val="2B055E54"/>
    <w:rsid w:val="2B20786D"/>
    <w:rsid w:val="2B4E3C62"/>
    <w:rsid w:val="2B683CD8"/>
    <w:rsid w:val="2B6A7A50"/>
    <w:rsid w:val="2BD82C0B"/>
    <w:rsid w:val="2C1840D0"/>
    <w:rsid w:val="2C365820"/>
    <w:rsid w:val="2C5379A3"/>
    <w:rsid w:val="2C6E531E"/>
    <w:rsid w:val="2CBB2BBF"/>
    <w:rsid w:val="2CC3566A"/>
    <w:rsid w:val="2CD77367"/>
    <w:rsid w:val="2CDD10B0"/>
    <w:rsid w:val="2CFC2D0C"/>
    <w:rsid w:val="2D235F51"/>
    <w:rsid w:val="2D2B320F"/>
    <w:rsid w:val="2D4F1E09"/>
    <w:rsid w:val="2D585055"/>
    <w:rsid w:val="2D7245D7"/>
    <w:rsid w:val="2DBF0B60"/>
    <w:rsid w:val="2DC25921"/>
    <w:rsid w:val="2DF751F3"/>
    <w:rsid w:val="2E7806D6"/>
    <w:rsid w:val="2E891740"/>
    <w:rsid w:val="2EC13E2B"/>
    <w:rsid w:val="2ED75A9F"/>
    <w:rsid w:val="2EE43FBD"/>
    <w:rsid w:val="2F01691D"/>
    <w:rsid w:val="2F4131BE"/>
    <w:rsid w:val="2F5176F4"/>
    <w:rsid w:val="2F5842D0"/>
    <w:rsid w:val="2F7D2448"/>
    <w:rsid w:val="2F911A4F"/>
    <w:rsid w:val="2FB568D8"/>
    <w:rsid w:val="301B6ABB"/>
    <w:rsid w:val="30444D13"/>
    <w:rsid w:val="306233EC"/>
    <w:rsid w:val="30A532D8"/>
    <w:rsid w:val="30A734F4"/>
    <w:rsid w:val="30CF397A"/>
    <w:rsid w:val="314B586D"/>
    <w:rsid w:val="31523460"/>
    <w:rsid w:val="317008F8"/>
    <w:rsid w:val="3180477F"/>
    <w:rsid w:val="318B2DE8"/>
    <w:rsid w:val="319603E0"/>
    <w:rsid w:val="31CE0296"/>
    <w:rsid w:val="31DA771B"/>
    <w:rsid w:val="31F462B5"/>
    <w:rsid w:val="31FD161E"/>
    <w:rsid w:val="32034DFD"/>
    <w:rsid w:val="32236BAB"/>
    <w:rsid w:val="32333292"/>
    <w:rsid w:val="32427031"/>
    <w:rsid w:val="325E7BE3"/>
    <w:rsid w:val="32734AB3"/>
    <w:rsid w:val="32B67A1F"/>
    <w:rsid w:val="32CF177B"/>
    <w:rsid w:val="330E785B"/>
    <w:rsid w:val="332208C5"/>
    <w:rsid w:val="33245516"/>
    <w:rsid w:val="332A12A6"/>
    <w:rsid w:val="332E1CAB"/>
    <w:rsid w:val="335E60EC"/>
    <w:rsid w:val="336E20A7"/>
    <w:rsid w:val="339A780E"/>
    <w:rsid w:val="33A45AC9"/>
    <w:rsid w:val="33C7466E"/>
    <w:rsid w:val="33F341D0"/>
    <w:rsid w:val="33FB52BF"/>
    <w:rsid w:val="3483314F"/>
    <w:rsid w:val="348E350D"/>
    <w:rsid w:val="34A51AF9"/>
    <w:rsid w:val="34A924E6"/>
    <w:rsid w:val="34DD1634"/>
    <w:rsid w:val="34EF173F"/>
    <w:rsid w:val="34F85693"/>
    <w:rsid w:val="35150A2C"/>
    <w:rsid w:val="35675000"/>
    <w:rsid w:val="358D4674"/>
    <w:rsid w:val="35A65B28"/>
    <w:rsid w:val="35AF70D3"/>
    <w:rsid w:val="35BD418B"/>
    <w:rsid w:val="35F8221C"/>
    <w:rsid w:val="36394BEF"/>
    <w:rsid w:val="366B28CE"/>
    <w:rsid w:val="37321483"/>
    <w:rsid w:val="375743B3"/>
    <w:rsid w:val="37985AD8"/>
    <w:rsid w:val="37A328ED"/>
    <w:rsid w:val="37AD13F0"/>
    <w:rsid w:val="37CB124E"/>
    <w:rsid w:val="37DF3574"/>
    <w:rsid w:val="38193C21"/>
    <w:rsid w:val="385755ED"/>
    <w:rsid w:val="386C4120"/>
    <w:rsid w:val="3885236D"/>
    <w:rsid w:val="38C24857"/>
    <w:rsid w:val="38C369F1"/>
    <w:rsid w:val="38C649FE"/>
    <w:rsid w:val="390C2146"/>
    <w:rsid w:val="39111E53"/>
    <w:rsid w:val="393079B7"/>
    <w:rsid w:val="393B2A2C"/>
    <w:rsid w:val="393F251C"/>
    <w:rsid w:val="398E5251"/>
    <w:rsid w:val="39A35BBB"/>
    <w:rsid w:val="39AF66BF"/>
    <w:rsid w:val="39C50CD2"/>
    <w:rsid w:val="3A192D6D"/>
    <w:rsid w:val="3A5C2DAD"/>
    <w:rsid w:val="3A9E4562"/>
    <w:rsid w:val="3AA355F5"/>
    <w:rsid w:val="3ABE1D50"/>
    <w:rsid w:val="3AC86541"/>
    <w:rsid w:val="3AD82C28"/>
    <w:rsid w:val="3AFD443D"/>
    <w:rsid w:val="3B221E4C"/>
    <w:rsid w:val="3B42536A"/>
    <w:rsid w:val="3B490D13"/>
    <w:rsid w:val="3B6D2B65"/>
    <w:rsid w:val="3B8E76B3"/>
    <w:rsid w:val="3BBF1F9C"/>
    <w:rsid w:val="3C464B9A"/>
    <w:rsid w:val="3C4D6CFE"/>
    <w:rsid w:val="3C805325"/>
    <w:rsid w:val="3CAB2861"/>
    <w:rsid w:val="3CC40C81"/>
    <w:rsid w:val="3D2A0C8E"/>
    <w:rsid w:val="3D4A5933"/>
    <w:rsid w:val="3D713C61"/>
    <w:rsid w:val="3DCB1202"/>
    <w:rsid w:val="3E0B71A4"/>
    <w:rsid w:val="3E447E06"/>
    <w:rsid w:val="3ECB1845"/>
    <w:rsid w:val="3F8A0269"/>
    <w:rsid w:val="3F9D7F9C"/>
    <w:rsid w:val="3FC217B1"/>
    <w:rsid w:val="4001677D"/>
    <w:rsid w:val="40094B23"/>
    <w:rsid w:val="40381097"/>
    <w:rsid w:val="409F41D0"/>
    <w:rsid w:val="40AF38B0"/>
    <w:rsid w:val="40B737CE"/>
    <w:rsid w:val="40C7080B"/>
    <w:rsid w:val="40CD20CB"/>
    <w:rsid w:val="40DA4210"/>
    <w:rsid w:val="413B7A6D"/>
    <w:rsid w:val="413C3FE6"/>
    <w:rsid w:val="41A25D5E"/>
    <w:rsid w:val="41D96DC7"/>
    <w:rsid w:val="41E579D9"/>
    <w:rsid w:val="42276243"/>
    <w:rsid w:val="422E137F"/>
    <w:rsid w:val="42510F1E"/>
    <w:rsid w:val="4257689B"/>
    <w:rsid w:val="425979EA"/>
    <w:rsid w:val="42642FF3"/>
    <w:rsid w:val="42984A4A"/>
    <w:rsid w:val="434444D3"/>
    <w:rsid w:val="43F7210E"/>
    <w:rsid w:val="446B0669"/>
    <w:rsid w:val="4493196E"/>
    <w:rsid w:val="44A11E3A"/>
    <w:rsid w:val="44DC36D4"/>
    <w:rsid w:val="44E170F6"/>
    <w:rsid w:val="451E2C13"/>
    <w:rsid w:val="4530540F"/>
    <w:rsid w:val="45BA2812"/>
    <w:rsid w:val="45C049E4"/>
    <w:rsid w:val="45E9546A"/>
    <w:rsid w:val="464E2801"/>
    <w:rsid w:val="467A1037"/>
    <w:rsid w:val="46B57F9F"/>
    <w:rsid w:val="472B40E0"/>
    <w:rsid w:val="472D60AA"/>
    <w:rsid w:val="4791366F"/>
    <w:rsid w:val="47B16ED3"/>
    <w:rsid w:val="4816231D"/>
    <w:rsid w:val="482173AE"/>
    <w:rsid w:val="484136AD"/>
    <w:rsid w:val="484C255F"/>
    <w:rsid w:val="486755EB"/>
    <w:rsid w:val="48900CEB"/>
    <w:rsid w:val="4893018E"/>
    <w:rsid w:val="489F2FD7"/>
    <w:rsid w:val="48E0542F"/>
    <w:rsid w:val="4902001F"/>
    <w:rsid w:val="492D2391"/>
    <w:rsid w:val="494616A5"/>
    <w:rsid w:val="498560FB"/>
    <w:rsid w:val="49AD34D2"/>
    <w:rsid w:val="49B760FE"/>
    <w:rsid w:val="49C10D2B"/>
    <w:rsid w:val="4A0846EE"/>
    <w:rsid w:val="4A34774F"/>
    <w:rsid w:val="4A5676C5"/>
    <w:rsid w:val="4A722025"/>
    <w:rsid w:val="4A835FE1"/>
    <w:rsid w:val="4A9B77CE"/>
    <w:rsid w:val="4AC26B09"/>
    <w:rsid w:val="4AFD616C"/>
    <w:rsid w:val="4B0C4228"/>
    <w:rsid w:val="4B367F93"/>
    <w:rsid w:val="4B73144C"/>
    <w:rsid w:val="4BD17077"/>
    <w:rsid w:val="4BDD5BE0"/>
    <w:rsid w:val="4BE86A43"/>
    <w:rsid w:val="4C325F10"/>
    <w:rsid w:val="4C356EDA"/>
    <w:rsid w:val="4C5440F5"/>
    <w:rsid w:val="4C9269AF"/>
    <w:rsid w:val="4CA4502D"/>
    <w:rsid w:val="4CE0771A"/>
    <w:rsid w:val="4CF32B22"/>
    <w:rsid w:val="4D1F46E6"/>
    <w:rsid w:val="4D640B9B"/>
    <w:rsid w:val="4D6E2635"/>
    <w:rsid w:val="4D907392"/>
    <w:rsid w:val="4DA27269"/>
    <w:rsid w:val="4DA70238"/>
    <w:rsid w:val="4DBB4542"/>
    <w:rsid w:val="4DCD4142"/>
    <w:rsid w:val="4E3B47E2"/>
    <w:rsid w:val="4EB96475"/>
    <w:rsid w:val="4ECC43FA"/>
    <w:rsid w:val="4EF179BD"/>
    <w:rsid w:val="4F203965"/>
    <w:rsid w:val="4F2A1121"/>
    <w:rsid w:val="4F5B1A36"/>
    <w:rsid w:val="4FBB03E3"/>
    <w:rsid w:val="4FE53EE9"/>
    <w:rsid w:val="4FE60998"/>
    <w:rsid w:val="50083210"/>
    <w:rsid w:val="500C7B50"/>
    <w:rsid w:val="502D0199"/>
    <w:rsid w:val="509C604E"/>
    <w:rsid w:val="50D17AA6"/>
    <w:rsid w:val="50D852D8"/>
    <w:rsid w:val="50DB448D"/>
    <w:rsid w:val="50F7236D"/>
    <w:rsid w:val="50F814D6"/>
    <w:rsid w:val="50F961CB"/>
    <w:rsid w:val="5107796B"/>
    <w:rsid w:val="510C31D4"/>
    <w:rsid w:val="512B026F"/>
    <w:rsid w:val="51416F08"/>
    <w:rsid w:val="516861FD"/>
    <w:rsid w:val="518266FB"/>
    <w:rsid w:val="51856AE2"/>
    <w:rsid w:val="51986815"/>
    <w:rsid w:val="521F11F2"/>
    <w:rsid w:val="528374C6"/>
    <w:rsid w:val="52D715BF"/>
    <w:rsid w:val="52EC506B"/>
    <w:rsid w:val="53187089"/>
    <w:rsid w:val="534045C6"/>
    <w:rsid w:val="53984ED9"/>
    <w:rsid w:val="53C03E02"/>
    <w:rsid w:val="53E83EFF"/>
    <w:rsid w:val="53FA6682"/>
    <w:rsid w:val="54092DFC"/>
    <w:rsid w:val="541128AF"/>
    <w:rsid w:val="544F0538"/>
    <w:rsid w:val="546220D4"/>
    <w:rsid w:val="547759FD"/>
    <w:rsid w:val="54F63F7F"/>
    <w:rsid w:val="55116BE9"/>
    <w:rsid w:val="55713605"/>
    <w:rsid w:val="55A41948"/>
    <w:rsid w:val="55B856D8"/>
    <w:rsid w:val="55D342C0"/>
    <w:rsid w:val="560E52F8"/>
    <w:rsid w:val="5627572A"/>
    <w:rsid w:val="56432532"/>
    <w:rsid w:val="56713F6D"/>
    <w:rsid w:val="56BD287A"/>
    <w:rsid w:val="56E4170E"/>
    <w:rsid w:val="570D735E"/>
    <w:rsid w:val="572F19CA"/>
    <w:rsid w:val="57680A38"/>
    <w:rsid w:val="57793128"/>
    <w:rsid w:val="579F706F"/>
    <w:rsid w:val="57A001D2"/>
    <w:rsid w:val="57EC1669"/>
    <w:rsid w:val="5818420C"/>
    <w:rsid w:val="58626891"/>
    <w:rsid w:val="58703EC0"/>
    <w:rsid w:val="58896EB8"/>
    <w:rsid w:val="58AE5938"/>
    <w:rsid w:val="58C3061C"/>
    <w:rsid w:val="58C44394"/>
    <w:rsid w:val="58E95BA9"/>
    <w:rsid w:val="58EB1921"/>
    <w:rsid w:val="59097FF9"/>
    <w:rsid w:val="59177DD3"/>
    <w:rsid w:val="591E2032"/>
    <w:rsid w:val="592941F7"/>
    <w:rsid w:val="59605E6B"/>
    <w:rsid w:val="59A26483"/>
    <w:rsid w:val="59BE7035"/>
    <w:rsid w:val="59CC52AE"/>
    <w:rsid w:val="5A0C6D14"/>
    <w:rsid w:val="5A2A57A8"/>
    <w:rsid w:val="5A317655"/>
    <w:rsid w:val="5A334F63"/>
    <w:rsid w:val="5B06732C"/>
    <w:rsid w:val="5B24736C"/>
    <w:rsid w:val="5B2829B8"/>
    <w:rsid w:val="5B40082B"/>
    <w:rsid w:val="5BD7E436"/>
    <w:rsid w:val="5C153A6D"/>
    <w:rsid w:val="5C8C4ABC"/>
    <w:rsid w:val="5C992CB7"/>
    <w:rsid w:val="5CAF08D6"/>
    <w:rsid w:val="5CE22611"/>
    <w:rsid w:val="5DA54794"/>
    <w:rsid w:val="5DEE3CCB"/>
    <w:rsid w:val="5E1C432A"/>
    <w:rsid w:val="5E856373"/>
    <w:rsid w:val="5EDC48AA"/>
    <w:rsid w:val="5EFA466C"/>
    <w:rsid w:val="5F2931A3"/>
    <w:rsid w:val="5F353A87"/>
    <w:rsid w:val="5F773F0E"/>
    <w:rsid w:val="5FA81E73"/>
    <w:rsid w:val="5FB17120"/>
    <w:rsid w:val="5FEB14C7"/>
    <w:rsid w:val="6023301C"/>
    <w:rsid w:val="604202B7"/>
    <w:rsid w:val="606D4E02"/>
    <w:rsid w:val="60912DAE"/>
    <w:rsid w:val="60BA6EBD"/>
    <w:rsid w:val="60CE7381"/>
    <w:rsid w:val="61151C31"/>
    <w:rsid w:val="611F03B9"/>
    <w:rsid w:val="612D0161"/>
    <w:rsid w:val="614F7E1C"/>
    <w:rsid w:val="616E29A4"/>
    <w:rsid w:val="61C947C9"/>
    <w:rsid w:val="621C643B"/>
    <w:rsid w:val="623747A6"/>
    <w:rsid w:val="62854B94"/>
    <w:rsid w:val="62C3659D"/>
    <w:rsid w:val="62D022B3"/>
    <w:rsid w:val="62DB7426"/>
    <w:rsid w:val="62DC29EF"/>
    <w:rsid w:val="639826A5"/>
    <w:rsid w:val="63AB23D8"/>
    <w:rsid w:val="63B76FCF"/>
    <w:rsid w:val="63CD0D09"/>
    <w:rsid w:val="63D61F02"/>
    <w:rsid w:val="64D92F75"/>
    <w:rsid w:val="65562818"/>
    <w:rsid w:val="65635DBB"/>
    <w:rsid w:val="65714B40"/>
    <w:rsid w:val="659375C8"/>
    <w:rsid w:val="65DD1BAC"/>
    <w:rsid w:val="660D737A"/>
    <w:rsid w:val="66312D2C"/>
    <w:rsid w:val="6635067F"/>
    <w:rsid w:val="66652D12"/>
    <w:rsid w:val="66D52C05"/>
    <w:rsid w:val="66F66060"/>
    <w:rsid w:val="672C7B66"/>
    <w:rsid w:val="67401089"/>
    <w:rsid w:val="67E71B6D"/>
    <w:rsid w:val="682E35D8"/>
    <w:rsid w:val="684D3A5E"/>
    <w:rsid w:val="684F3C7A"/>
    <w:rsid w:val="6874548F"/>
    <w:rsid w:val="69112CDD"/>
    <w:rsid w:val="695E1834"/>
    <w:rsid w:val="69760181"/>
    <w:rsid w:val="69DD742D"/>
    <w:rsid w:val="69F14322"/>
    <w:rsid w:val="6A3F5393"/>
    <w:rsid w:val="6AA81420"/>
    <w:rsid w:val="6B0A20DA"/>
    <w:rsid w:val="6B5C045C"/>
    <w:rsid w:val="6B6F4633"/>
    <w:rsid w:val="6B8B6300"/>
    <w:rsid w:val="6B8E1AE6"/>
    <w:rsid w:val="6BC06C3D"/>
    <w:rsid w:val="6BF6265F"/>
    <w:rsid w:val="6C9D193B"/>
    <w:rsid w:val="6CA81BAB"/>
    <w:rsid w:val="6CAF118B"/>
    <w:rsid w:val="6CE460BF"/>
    <w:rsid w:val="6D2F5E28"/>
    <w:rsid w:val="6D54763D"/>
    <w:rsid w:val="6D9C0627"/>
    <w:rsid w:val="6DBE0F5A"/>
    <w:rsid w:val="6DC02F24"/>
    <w:rsid w:val="6DC34565"/>
    <w:rsid w:val="6DC76061"/>
    <w:rsid w:val="6E3B25AB"/>
    <w:rsid w:val="6E414065"/>
    <w:rsid w:val="6EBB7EF2"/>
    <w:rsid w:val="6ECB0CC0"/>
    <w:rsid w:val="6F1352D6"/>
    <w:rsid w:val="6F4F27B2"/>
    <w:rsid w:val="6F511CB2"/>
    <w:rsid w:val="6F5371D5"/>
    <w:rsid w:val="6F5D2DB6"/>
    <w:rsid w:val="6F6F2A05"/>
    <w:rsid w:val="6F91445A"/>
    <w:rsid w:val="6F9704F2"/>
    <w:rsid w:val="6FBB10C2"/>
    <w:rsid w:val="6FD44A65"/>
    <w:rsid w:val="6FDB730A"/>
    <w:rsid w:val="700A4B8C"/>
    <w:rsid w:val="704E4817"/>
    <w:rsid w:val="70525B30"/>
    <w:rsid w:val="70562C20"/>
    <w:rsid w:val="706909BC"/>
    <w:rsid w:val="70836636"/>
    <w:rsid w:val="708F623C"/>
    <w:rsid w:val="70D23371"/>
    <w:rsid w:val="714D7563"/>
    <w:rsid w:val="71B66C66"/>
    <w:rsid w:val="71FA5AA8"/>
    <w:rsid w:val="72633288"/>
    <w:rsid w:val="72767946"/>
    <w:rsid w:val="72C472CE"/>
    <w:rsid w:val="72D66D46"/>
    <w:rsid w:val="73011552"/>
    <w:rsid w:val="73025D8D"/>
    <w:rsid w:val="731A76E0"/>
    <w:rsid w:val="73493046"/>
    <w:rsid w:val="73613512"/>
    <w:rsid w:val="736B748E"/>
    <w:rsid w:val="73876782"/>
    <w:rsid w:val="73927111"/>
    <w:rsid w:val="73A017A5"/>
    <w:rsid w:val="74054476"/>
    <w:rsid w:val="740873D3"/>
    <w:rsid w:val="750E6F11"/>
    <w:rsid w:val="7521074C"/>
    <w:rsid w:val="75223394"/>
    <w:rsid w:val="75265D63"/>
    <w:rsid w:val="754423A4"/>
    <w:rsid w:val="754D3C88"/>
    <w:rsid w:val="755778E6"/>
    <w:rsid w:val="756676A9"/>
    <w:rsid w:val="75671ED7"/>
    <w:rsid w:val="75774810"/>
    <w:rsid w:val="7584082B"/>
    <w:rsid w:val="758E56B6"/>
    <w:rsid w:val="75AC3F78"/>
    <w:rsid w:val="75C16B30"/>
    <w:rsid w:val="760D34E9"/>
    <w:rsid w:val="761A519B"/>
    <w:rsid w:val="76397D18"/>
    <w:rsid w:val="76B4114C"/>
    <w:rsid w:val="76DB2B7D"/>
    <w:rsid w:val="76DD2BE9"/>
    <w:rsid w:val="76EC4D8A"/>
    <w:rsid w:val="77057BFA"/>
    <w:rsid w:val="7746449A"/>
    <w:rsid w:val="77802E20"/>
    <w:rsid w:val="77AD276B"/>
    <w:rsid w:val="77D469A2"/>
    <w:rsid w:val="77DA2E34"/>
    <w:rsid w:val="77E340C1"/>
    <w:rsid w:val="78CE5900"/>
    <w:rsid w:val="78F26A43"/>
    <w:rsid w:val="78FD74BC"/>
    <w:rsid w:val="795804B5"/>
    <w:rsid w:val="79757CE4"/>
    <w:rsid w:val="798E037A"/>
    <w:rsid w:val="79E678D8"/>
    <w:rsid w:val="7A291E51"/>
    <w:rsid w:val="7A5E7D4D"/>
    <w:rsid w:val="7A8552D9"/>
    <w:rsid w:val="7AB21E46"/>
    <w:rsid w:val="7ACA7190"/>
    <w:rsid w:val="7AE13BD4"/>
    <w:rsid w:val="7AEA3EDE"/>
    <w:rsid w:val="7AFD4FEE"/>
    <w:rsid w:val="7B272834"/>
    <w:rsid w:val="7B424F4D"/>
    <w:rsid w:val="7BD55DED"/>
    <w:rsid w:val="7C55517F"/>
    <w:rsid w:val="7C5D4F21"/>
    <w:rsid w:val="7C7C270C"/>
    <w:rsid w:val="7C8C3EAE"/>
    <w:rsid w:val="7CB62F91"/>
    <w:rsid w:val="7CC67FAC"/>
    <w:rsid w:val="7CDF66A3"/>
    <w:rsid w:val="7D07647A"/>
    <w:rsid w:val="7D241EA7"/>
    <w:rsid w:val="7DA71A0B"/>
    <w:rsid w:val="7DB008BF"/>
    <w:rsid w:val="7DD50326"/>
    <w:rsid w:val="7DDB3462"/>
    <w:rsid w:val="7DE14F1D"/>
    <w:rsid w:val="7E470AF8"/>
    <w:rsid w:val="7E490921"/>
    <w:rsid w:val="7E652573"/>
    <w:rsid w:val="7E7E276B"/>
    <w:rsid w:val="7E9B46C6"/>
    <w:rsid w:val="7F177E9D"/>
    <w:rsid w:val="7F4C286A"/>
    <w:rsid w:val="7F792F33"/>
    <w:rsid w:val="7F9A6D72"/>
    <w:rsid w:val="7FAA7590"/>
    <w:rsid w:val="7FE60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9"/>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1"/>
    <w:link w:val="168"/>
    <w:qFormat/>
    <w:uiPriority w:val="0"/>
    <w:pPr>
      <w:keepNext/>
      <w:keepLines/>
      <w:spacing w:before="120" w:after="120" w:line="360" w:lineRule="exact"/>
      <w:jc w:val="center"/>
      <w:outlineLvl w:val="1"/>
    </w:pPr>
    <w:rPr>
      <w:rFonts w:ascii="宋体" w:hAnsi="宋体"/>
      <w:b/>
      <w:sz w:val="24"/>
      <w:szCs w:val="24"/>
    </w:rPr>
  </w:style>
  <w:style w:type="paragraph" w:styleId="5">
    <w:name w:val="heading 3"/>
    <w:basedOn w:val="1"/>
    <w:next w:val="6"/>
    <w:link w:val="212"/>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7">
    <w:name w:val="heading 4"/>
    <w:basedOn w:val="1"/>
    <w:next w:val="1"/>
    <w:link w:val="97"/>
    <w:qFormat/>
    <w:uiPriority w:val="0"/>
    <w:pPr>
      <w:keepNext/>
      <w:keepLines/>
      <w:spacing w:before="120" w:after="120"/>
      <w:outlineLvl w:val="3"/>
    </w:pPr>
    <w:rPr>
      <w:rFonts w:ascii="Arial" w:hAnsi="Arial" w:eastAsia="黑体"/>
      <w:b/>
      <w:sz w:val="20"/>
    </w:rPr>
  </w:style>
  <w:style w:type="paragraph" w:styleId="8">
    <w:name w:val="heading 5"/>
    <w:basedOn w:val="1"/>
    <w:next w:val="6"/>
    <w:link w:val="87"/>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9">
    <w:name w:val="heading 6"/>
    <w:basedOn w:val="1"/>
    <w:next w:val="1"/>
    <w:link w:val="131"/>
    <w:qFormat/>
    <w:uiPriority w:val="0"/>
    <w:pPr>
      <w:keepNext/>
      <w:keepLines/>
      <w:spacing w:before="240" w:after="64" w:line="319" w:lineRule="auto"/>
      <w:outlineLvl w:val="5"/>
    </w:pPr>
    <w:rPr>
      <w:rFonts w:ascii="Arial" w:hAnsi="Arial" w:eastAsia="黑体"/>
      <w:b/>
      <w:bCs/>
      <w:sz w:val="24"/>
      <w:szCs w:val="24"/>
    </w:rPr>
  </w:style>
  <w:style w:type="paragraph" w:styleId="10">
    <w:name w:val="heading 7"/>
    <w:basedOn w:val="1"/>
    <w:next w:val="1"/>
    <w:link w:val="146"/>
    <w:qFormat/>
    <w:uiPriority w:val="0"/>
    <w:pPr>
      <w:keepNext/>
      <w:keepLines/>
      <w:spacing w:before="240" w:after="64" w:line="319" w:lineRule="auto"/>
      <w:outlineLvl w:val="6"/>
    </w:pPr>
    <w:rPr>
      <w:b/>
      <w:bCs/>
      <w:sz w:val="24"/>
      <w:szCs w:val="24"/>
    </w:rPr>
  </w:style>
  <w:style w:type="paragraph" w:styleId="11">
    <w:name w:val="heading 8"/>
    <w:basedOn w:val="1"/>
    <w:next w:val="1"/>
    <w:link w:val="160"/>
    <w:qFormat/>
    <w:uiPriority w:val="0"/>
    <w:pPr>
      <w:keepNext/>
      <w:keepLines/>
      <w:spacing w:before="240" w:after="64" w:line="319" w:lineRule="auto"/>
      <w:outlineLvl w:val="7"/>
    </w:pPr>
    <w:rPr>
      <w:rFonts w:ascii="Arial" w:hAnsi="Arial" w:eastAsia="黑体"/>
      <w:sz w:val="24"/>
      <w:szCs w:val="24"/>
    </w:rPr>
  </w:style>
  <w:style w:type="paragraph" w:styleId="12">
    <w:name w:val="heading 9"/>
    <w:basedOn w:val="1"/>
    <w:next w:val="1"/>
    <w:link w:val="166"/>
    <w:qFormat/>
    <w:uiPriority w:val="0"/>
    <w:pPr>
      <w:keepNext/>
      <w:keepLines/>
      <w:spacing w:before="240" w:after="64" w:line="319" w:lineRule="auto"/>
      <w:outlineLvl w:val="8"/>
    </w:pPr>
    <w:rPr>
      <w:rFonts w:ascii="Arial" w:hAnsi="Arial" w:eastAsia="黑体"/>
      <w:szCs w:val="21"/>
    </w:rPr>
  </w:style>
  <w:style w:type="character" w:default="1" w:styleId="65">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6">
    <w:name w:val="Normal Indent"/>
    <w:basedOn w:val="1"/>
    <w:qFormat/>
    <w:uiPriority w:val="0"/>
    <w:pPr>
      <w:ind w:firstLine="420"/>
    </w:pPr>
  </w:style>
  <w:style w:type="paragraph" w:styleId="13">
    <w:name w:val="List 3"/>
    <w:basedOn w:val="1"/>
    <w:qFormat/>
    <w:uiPriority w:val="0"/>
    <w:pPr>
      <w:ind w:left="1260" w:hanging="420"/>
    </w:pPr>
  </w:style>
  <w:style w:type="paragraph" w:styleId="14">
    <w:name w:val="toc 7"/>
    <w:basedOn w:val="1"/>
    <w:next w:val="1"/>
    <w:qFormat/>
    <w:uiPriority w:val="0"/>
    <w:pPr>
      <w:ind w:left="1260"/>
      <w:jc w:val="left"/>
    </w:pPr>
    <w:rPr>
      <w:sz w:val="18"/>
    </w:rPr>
  </w:style>
  <w:style w:type="paragraph" w:styleId="15">
    <w:name w:val="List Number 2"/>
    <w:basedOn w:val="1"/>
    <w:qFormat/>
    <w:uiPriority w:val="0"/>
    <w:pPr>
      <w:tabs>
        <w:tab w:val="left" w:pos="1440"/>
      </w:tabs>
      <w:spacing w:line="360" w:lineRule="auto"/>
      <w:ind w:left="1440" w:hanging="1440"/>
    </w:pPr>
    <w:rPr>
      <w:sz w:val="24"/>
      <w:szCs w:val="24"/>
    </w:rPr>
  </w:style>
  <w:style w:type="paragraph" w:styleId="16">
    <w:name w:val="index 8"/>
    <w:basedOn w:val="1"/>
    <w:next w:val="1"/>
    <w:qFormat/>
    <w:uiPriority w:val="0"/>
    <w:pPr>
      <w:ind w:left="2940"/>
    </w:pPr>
  </w:style>
  <w:style w:type="paragraph" w:styleId="17">
    <w:name w:val="List Number"/>
    <w:basedOn w:val="1"/>
    <w:qFormat/>
    <w:uiPriority w:val="0"/>
    <w:pPr>
      <w:tabs>
        <w:tab w:val="left" w:pos="2952"/>
      </w:tabs>
      <w:ind w:left="2952" w:hanging="432"/>
    </w:pPr>
    <w:rPr>
      <w:szCs w:val="24"/>
    </w:rPr>
  </w:style>
  <w:style w:type="paragraph" w:styleId="18">
    <w:name w:val="index 5"/>
    <w:basedOn w:val="1"/>
    <w:next w:val="1"/>
    <w:qFormat/>
    <w:uiPriority w:val="0"/>
    <w:pPr>
      <w:ind w:left="1680"/>
    </w:pPr>
  </w:style>
  <w:style w:type="paragraph" w:styleId="19">
    <w:name w:val="Document Map"/>
    <w:basedOn w:val="1"/>
    <w:link w:val="205"/>
    <w:qFormat/>
    <w:uiPriority w:val="0"/>
    <w:pPr>
      <w:shd w:val="clear" w:color="auto" w:fill="000080"/>
    </w:pPr>
    <w:rPr>
      <w:rFonts w:ascii="宋体"/>
      <w:sz w:val="18"/>
      <w:szCs w:val="18"/>
    </w:rPr>
  </w:style>
  <w:style w:type="paragraph" w:styleId="20">
    <w:name w:val="annotation text"/>
    <w:basedOn w:val="1"/>
    <w:link w:val="137"/>
    <w:qFormat/>
    <w:uiPriority w:val="99"/>
    <w:pPr>
      <w:jc w:val="left"/>
    </w:pPr>
    <w:rPr>
      <w:sz w:val="20"/>
    </w:rPr>
  </w:style>
  <w:style w:type="paragraph" w:styleId="21">
    <w:name w:val="index 6"/>
    <w:basedOn w:val="1"/>
    <w:next w:val="1"/>
    <w:qFormat/>
    <w:uiPriority w:val="0"/>
    <w:pPr>
      <w:ind w:left="2100"/>
    </w:pPr>
  </w:style>
  <w:style w:type="paragraph" w:styleId="22">
    <w:name w:val="Salutation"/>
    <w:basedOn w:val="1"/>
    <w:next w:val="1"/>
    <w:link w:val="201"/>
    <w:qFormat/>
    <w:uiPriority w:val="0"/>
    <w:rPr>
      <w:rFonts w:ascii="仿宋_GB2312" w:eastAsia="仿宋_GB2312"/>
      <w:sz w:val="20"/>
    </w:rPr>
  </w:style>
  <w:style w:type="paragraph" w:styleId="23">
    <w:name w:val="Body Text 3"/>
    <w:basedOn w:val="1"/>
    <w:link w:val="98"/>
    <w:qFormat/>
    <w:uiPriority w:val="0"/>
    <w:rPr>
      <w:rFonts w:ascii="仿宋_GB2312" w:hAnsi="Arial" w:eastAsia="仿宋_GB2312"/>
      <w:sz w:val="20"/>
    </w:rPr>
  </w:style>
  <w:style w:type="paragraph" w:styleId="24">
    <w:name w:val="Body Text"/>
    <w:basedOn w:val="1"/>
    <w:next w:val="25"/>
    <w:link w:val="85"/>
    <w:qFormat/>
    <w:uiPriority w:val="0"/>
    <w:rPr>
      <w:rFonts w:ascii="楷体_GB2312" w:hAnsi="Arial" w:eastAsia="楷体_GB2312"/>
      <w:sz w:val="20"/>
    </w:r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6">
    <w:name w:val="Body Text Indent"/>
    <w:basedOn w:val="1"/>
    <w:next w:val="27"/>
    <w:link w:val="178"/>
    <w:qFormat/>
    <w:uiPriority w:val="0"/>
    <w:pPr>
      <w:ind w:firstLine="645"/>
    </w:pPr>
    <w:rPr>
      <w:sz w:val="20"/>
    </w:rPr>
  </w:style>
  <w:style w:type="paragraph" w:styleId="27">
    <w:name w:val="envelope return"/>
    <w:basedOn w:val="1"/>
    <w:next w:val="28"/>
    <w:qFormat/>
    <w:uiPriority w:val="0"/>
    <w:pPr>
      <w:snapToGrid w:val="0"/>
    </w:pPr>
    <w:rPr>
      <w:rFonts w:ascii="Arial" w:hAnsi="Arial"/>
    </w:rPr>
  </w:style>
  <w:style w:type="paragraph" w:styleId="28">
    <w:name w:val="Title"/>
    <w:basedOn w:val="1"/>
    <w:next w:val="1"/>
    <w:link w:val="179"/>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29">
    <w:name w:val="List Bullet 2"/>
    <w:basedOn w:val="1"/>
    <w:semiHidden/>
    <w:unhideWhenUsed/>
    <w:qFormat/>
    <w:uiPriority w:val="99"/>
    <w:pPr>
      <w:numPr>
        <w:ilvl w:val="0"/>
        <w:numId w:val="1"/>
      </w:numPr>
    </w:pPr>
  </w:style>
  <w:style w:type="paragraph" w:styleId="30">
    <w:name w:val="index 4"/>
    <w:basedOn w:val="1"/>
    <w:next w:val="1"/>
    <w:qFormat/>
    <w:uiPriority w:val="0"/>
    <w:pPr>
      <w:ind w:left="1260"/>
    </w:pPr>
  </w:style>
  <w:style w:type="paragraph" w:styleId="31">
    <w:name w:val="toc 5"/>
    <w:basedOn w:val="1"/>
    <w:next w:val="1"/>
    <w:qFormat/>
    <w:uiPriority w:val="0"/>
    <w:pPr>
      <w:ind w:left="840"/>
      <w:jc w:val="left"/>
    </w:pPr>
    <w:rPr>
      <w:sz w:val="18"/>
    </w:rPr>
  </w:style>
  <w:style w:type="paragraph" w:styleId="32">
    <w:name w:val="toc 3"/>
    <w:basedOn w:val="1"/>
    <w:next w:val="1"/>
    <w:qFormat/>
    <w:uiPriority w:val="39"/>
    <w:pPr>
      <w:ind w:left="420"/>
      <w:jc w:val="left"/>
    </w:pPr>
    <w:rPr>
      <w:i/>
      <w:sz w:val="20"/>
    </w:rPr>
  </w:style>
  <w:style w:type="paragraph" w:styleId="33">
    <w:name w:val="Plain Text"/>
    <w:basedOn w:val="1"/>
    <w:link w:val="130"/>
    <w:qFormat/>
    <w:uiPriority w:val="99"/>
    <w:rPr>
      <w:rFonts w:ascii="宋体" w:hAnsi="Courier New" w:cs="Courier New"/>
      <w:szCs w:val="21"/>
    </w:rPr>
  </w:style>
  <w:style w:type="paragraph" w:styleId="34">
    <w:name w:val="toc 8"/>
    <w:basedOn w:val="1"/>
    <w:next w:val="1"/>
    <w:qFormat/>
    <w:uiPriority w:val="0"/>
    <w:pPr>
      <w:ind w:left="1470"/>
      <w:jc w:val="left"/>
    </w:pPr>
    <w:rPr>
      <w:sz w:val="18"/>
    </w:rPr>
  </w:style>
  <w:style w:type="paragraph" w:styleId="35">
    <w:name w:val="index 3"/>
    <w:basedOn w:val="1"/>
    <w:next w:val="1"/>
    <w:qFormat/>
    <w:uiPriority w:val="0"/>
    <w:pPr>
      <w:ind w:left="840"/>
    </w:pPr>
  </w:style>
  <w:style w:type="paragraph" w:styleId="36">
    <w:name w:val="Date"/>
    <w:basedOn w:val="1"/>
    <w:next w:val="1"/>
    <w:link w:val="149"/>
    <w:qFormat/>
    <w:uiPriority w:val="0"/>
    <w:pPr>
      <w:ind w:left="100" w:leftChars="2500"/>
    </w:pPr>
    <w:rPr>
      <w:sz w:val="20"/>
    </w:rPr>
  </w:style>
  <w:style w:type="paragraph" w:styleId="37">
    <w:name w:val="Body Text Indent 2"/>
    <w:basedOn w:val="1"/>
    <w:link w:val="172"/>
    <w:qFormat/>
    <w:uiPriority w:val="0"/>
    <w:pPr>
      <w:ind w:left="630" w:firstLine="645"/>
    </w:pPr>
    <w:rPr>
      <w:sz w:val="20"/>
    </w:rPr>
  </w:style>
  <w:style w:type="paragraph" w:styleId="38">
    <w:name w:val="endnote text"/>
    <w:basedOn w:val="1"/>
    <w:link w:val="215"/>
    <w:qFormat/>
    <w:uiPriority w:val="0"/>
    <w:pPr>
      <w:snapToGrid w:val="0"/>
      <w:jc w:val="left"/>
    </w:pPr>
    <w:rPr>
      <w:kern w:val="0"/>
      <w:sz w:val="24"/>
      <w:szCs w:val="24"/>
    </w:rPr>
  </w:style>
  <w:style w:type="paragraph" w:styleId="39">
    <w:name w:val="Balloon Text"/>
    <w:basedOn w:val="1"/>
    <w:link w:val="214"/>
    <w:qFormat/>
    <w:uiPriority w:val="0"/>
    <w:rPr>
      <w:sz w:val="18"/>
      <w:szCs w:val="18"/>
    </w:rPr>
  </w:style>
  <w:style w:type="paragraph" w:styleId="40">
    <w:name w:val="footer"/>
    <w:basedOn w:val="1"/>
    <w:link w:val="207"/>
    <w:qFormat/>
    <w:uiPriority w:val="0"/>
    <w:pPr>
      <w:tabs>
        <w:tab w:val="center" w:pos="4153"/>
        <w:tab w:val="right" w:pos="8306"/>
      </w:tabs>
      <w:snapToGrid w:val="0"/>
      <w:jc w:val="left"/>
    </w:pPr>
    <w:rPr>
      <w:sz w:val="18"/>
      <w:szCs w:val="18"/>
    </w:rPr>
  </w:style>
  <w:style w:type="paragraph" w:styleId="41">
    <w:name w:val="header"/>
    <w:basedOn w:val="1"/>
    <w:link w:val="143"/>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140"/>
    <w:qFormat/>
    <w:uiPriority w:val="0"/>
    <w:pPr>
      <w:adjustRightInd w:val="0"/>
      <w:spacing w:after="600" w:line="312" w:lineRule="atLeast"/>
      <w:jc w:val="center"/>
      <w:textAlignment w:val="baseline"/>
    </w:pPr>
    <w:rPr>
      <w:rFonts w:eastAsia="仿宋_GB2312"/>
      <w:kern w:val="0"/>
      <w:sz w:val="20"/>
    </w:rPr>
  </w:style>
  <w:style w:type="paragraph" w:styleId="43">
    <w:name w:val="toc 1"/>
    <w:basedOn w:val="1"/>
    <w:next w:val="1"/>
    <w:qFormat/>
    <w:uiPriority w:val="39"/>
    <w:pPr>
      <w:spacing w:before="120" w:after="120"/>
      <w:jc w:val="left"/>
    </w:pPr>
    <w:rPr>
      <w:b/>
      <w:caps/>
      <w:sz w:val="20"/>
    </w:rPr>
  </w:style>
  <w:style w:type="paragraph" w:styleId="44">
    <w:name w:val="toc 4"/>
    <w:basedOn w:val="1"/>
    <w:next w:val="1"/>
    <w:qFormat/>
    <w:uiPriority w:val="0"/>
    <w:pPr>
      <w:ind w:left="630"/>
      <w:jc w:val="left"/>
    </w:pPr>
    <w:rPr>
      <w:sz w:val="18"/>
    </w:rPr>
  </w:style>
  <w:style w:type="paragraph" w:styleId="45">
    <w:name w:val="index heading"/>
    <w:basedOn w:val="1"/>
    <w:next w:val="46"/>
    <w:qFormat/>
    <w:uiPriority w:val="0"/>
  </w:style>
  <w:style w:type="paragraph" w:styleId="46">
    <w:name w:val="index 1"/>
    <w:basedOn w:val="1"/>
    <w:next w:val="1"/>
    <w:qFormat/>
    <w:uiPriority w:val="0"/>
    <w:rPr>
      <w:rFonts w:ascii="仿宋_GB2312" w:hAnsi="宋体" w:eastAsia="仿宋_GB2312"/>
      <w:sz w:val="30"/>
      <w:szCs w:val="24"/>
    </w:rPr>
  </w:style>
  <w:style w:type="paragraph" w:styleId="47">
    <w:name w:val="Subtitle"/>
    <w:basedOn w:val="1"/>
    <w:next w:val="1"/>
    <w:link w:val="89"/>
    <w:qFormat/>
    <w:uiPriority w:val="0"/>
    <w:pPr>
      <w:widowControl/>
      <w:spacing w:after="600" w:line="276" w:lineRule="auto"/>
      <w:jc w:val="left"/>
    </w:pPr>
    <w:rPr>
      <w:rFonts w:ascii="Cambria" w:hAnsi="Cambria"/>
      <w:i/>
      <w:iCs/>
      <w:spacing w:val="13"/>
      <w:kern w:val="0"/>
      <w:sz w:val="24"/>
      <w:szCs w:val="24"/>
      <w:lang w:eastAsia="en-US"/>
    </w:rPr>
  </w:style>
  <w:style w:type="paragraph" w:styleId="48">
    <w:name w:val="footnote text"/>
    <w:basedOn w:val="1"/>
    <w:link w:val="142"/>
    <w:qFormat/>
    <w:uiPriority w:val="0"/>
    <w:pPr>
      <w:snapToGrid w:val="0"/>
      <w:jc w:val="left"/>
    </w:pPr>
    <w:rPr>
      <w:sz w:val="18"/>
      <w:szCs w:val="18"/>
    </w:rPr>
  </w:style>
  <w:style w:type="paragraph" w:styleId="49">
    <w:name w:val="toc 6"/>
    <w:basedOn w:val="1"/>
    <w:next w:val="1"/>
    <w:qFormat/>
    <w:uiPriority w:val="0"/>
    <w:pPr>
      <w:ind w:left="1050"/>
      <w:jc w:val="left"/>
    </w:pPr>
    <w:rPr>
      <w:sz w:val="18"/>
    </w:rPr>
  </w:style>
  <w:style w:type="paragraph" w:styleId="50">
    <w:name w:val="Body Text Indent 3"/>
    <w:basedOn w:val="1"/>
    <w:link w:val="122"/>
    <w:qFormat/>
    <w:uiPriority w:val="0"/>
    <w:pPr>
      <w:ind w:left="645" w:firstLine="645"/>
    </w:pPr>
    <w:rPr>
      <w:sz w:val="16"/>
      <w:szCs w:val="16"/>
    </w:rPr>
  </w:style>
  <w:style w:type="paragraph" w:styleId="51">
    <w:name w:val="index 7"/>
    <w:basedOn w:val="1"/>
    <w:next w:val="1"/>
    <w:qFormat/>
    <w:uiPriority w:val="0"/>
    <w:pPr>
      <w:ind w:left="2520"/>
    </w:pPr>
  </w:style>
  <w:style w:type="paragraph" w:styleId="52">
    <w:name w:val="index 9"/>
    <w:basedOn w:val="1"/>
    <w:next w:val="1"/>
    <w:qFormat/>
    <w:uiPriority w:val="0"/>
    <w:pPr>
      <w:ind w:left="3360"/>
    </w:pPr>
  </w:style>
  <w:style w:type="paragraph" w:styleId="53">
    <w:name w:val="table of figures"/>
    <w:basedOn w:val="1"/>
    <w:next w:val="1"/>
    <w:qFormat/>
    <w:uiPriority w:val="0"/>
    <w:pPr>
      <w:ind w:left="840" w:hanging="420"/>
    </w:pPr>
  </w:style>
  <w:style w:type="paragraph" w:styleId="54">
    <w:name w:val="toc 2"/>
    <w:basedOn w:val="1"/>
    <w:next w:val="1"/>
    <w:qFormat/>
    <w:uiPriority w:val="0"/>
    <w:pPr>
      <w:ind w:left="210"/>
      <w:jc w:val="left"/>
    </w:pPr>
    <w:rPr>
      <w:smallCaps/>
      <w:sz w:val="20"/>
    </w:rPr>
  </w:style>
  <w:style w:type="paragraph" w:styleId="55">
    <w:name w:val="toc 9"/>
    <w:basedOn w:val="1"/>
    <w:next w:val="1"/>
    <w:qFormat/>
    <w:uiPriority w:val="0"/>
    <w:pPr>
      <w:ind w:left="1680"/>
      <w:jc w:val="left"/>
    </w:pPr>
    <w:rPr>
      <w:sz w:val="18"/>
    </w:rPr>
  </w:style>
  <w:style w:type="paragraph" w:styleId="56">
    <w:name w:val="Body Text 2"/>
    <w:basedOn w:val="1"/>
    <w:link w:val="182"/>
    <w:qFormat/>
    <w:uiPriority w:val="0"/>
    <w:pPr>
      <w:widowControl/>
      <w:jc w:val="center"/>
    </w:pPr>
    <w:rPr>
      <w:rFonts w:ascii="楷体_GB2312" w:eastAsia="楷体_GB2312"/>
      <w:sz w:val="20"/>
    </w:rPr>
  </w:style>
  <w:style w:type="paragraph" w:styleId="57">
    <w:name w:val="HTML Preformatted"/>
    <w:basedOn w:val="1"/>
    <w:link w:val="17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8">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9">
    <w:name w:val="index 2"/>
    <w:basedOn w:val="1"/>
    <w:next w:val="1"/>
    <w:qFormat/>
    <w:uiPriority w:val="0"/>
    <w:pPr>
      <w:ind w:left="420"/>
    </w:pPr>
  </w:style>
  <w:style w:type="paragraph" w:styleId="60">
    <w:name w:val="annotation subject"/>
    <w:basedOn w:val="20"/>
    <w:next w:val="20"/>
    <w:link w:val="153"/>
    <w:qFormat/>
    <w:uiPriority w:val="0"/>
    <w:rPr>
      <w:b/>
      <w:bCs/>
    </w:rPr>
  </w:style>
  <w:style w:type="paragraph" w:styleId="61">
    <w:name w:val="Body Text First Indent"/>
    <w:basedOn w:val="24"/>
    <w:link w:val="114"/>
    <w:qFormat/>
    <w:uiPriority w:val="0"/>
    <w:pPr>
      <w:spacing w:after="120"/>
      <w:ind w:firstLine="420" w:firstLineChars="100"/>
    </w:pPr>
    <w:rPr>
      <w:rFonts w:ascii="Times New Roman" w:hAnsi="Times New Roman" w:eastAsia="宋体"/>
      <w:sz w:val="24"/>
      <w:szCs w:val="24"/>
    </w:rPr>
  </w:style>
  <w:style w:type="paragraph" w:styleId="62">
    <w:name w:val="Body Text First Indent 2"/>
    <w:basedOn w:val="26"/>
    <w:next w:val="24"/>
    <w:qFormat/>
    <w:uiPriority w:val="0"/>
    <w:pPr>
      <w:ind w:firstLine="420" w:firstLineChars="200"/>
    </w:pPr>
  </w:style>
  <w:style w:type="table" w:styleId="64">
    <w:name w:val="Table Grid"/>
    <w:basedOn w:val="6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6">
    <w:name w:val="Strong"/>
    <w:basedOn w:val="65"/>
    <w:qFormat/>
    <w:uiPriority w:val="0"/>
    <w:rPr>
      <w:b/>
      <w:bCs/>
      <w:bdr w:val="single" w:color="EBEBEB" w:sz="6" w:space="0"/>
      <w:shd w:val="clear" w:fill="FFFFFF"/>
    </w:rPr>
  </w:style>
  <w:style w:type="character" w:styleId="67">
    <w:name w:val="endnote reference"/>
    <w:basedOn w:val="65"/>
    <w:qFormat/>
    <w:uiPriority w:val="0"/>
    <w:rPr>
      <w:vertAlign w:val="superscript"/>
    </w:rPr>
  </w:style>
  <w:style w:type="character" w:styleId="68">
    <w:name w:val="page number"/>
    <w:basedOn w:val="65"/>
    <w:qFormat/>
    <w:uiPriority w:val="0"/>
    <w:rPr>
      <w:rFonts w:cs="Times New Roman"/>
    </w:rPr>
  </w:style>
  <w:style w:type="character" w:styleId="69">
    <w:name w:val="FollowedHyperlink"/>
    <w:basedOn w:val="65"/>
    <w:qFormat/>
    <w:uiPriority w:val="0"/>
    <w:rPr>
      <w:color w:val="800080"/>
      <w:u w:val="single"/>
    </w:rPr>
  </w:style>
  <w:style w:type="character" w:styleId="70">
    <w:name w:val="Emphasis"/>
    <w:basedOn w:val="65"/>
    <w:qFormat/>
    <w:uiPriority w:val="0"/>
    <w:rPr>
      <w:b/>
      <w:i/>
      <w:spacing w:val="10"/>
      <w:shd w:val="clear" w:color="auto" w:fill="auto"/>
    </w:rPr>
  </w:style>
  <w:style w:type="character" w:styleId="71">
    <w:name w:val="line number"/>
    <w:basedOn w:val="65"/>
    <w:qFormat/>
    <w:uiPriority w:val="0"/>
    <w:rPr>
      <w:rFonts w:cs="Times New Roman"/>
    </w:rPr>
  </w:style>
  <w:style w:type="character" w:styleId="72">
    <w:name w:val="HTML Definition"/>
    <w:basedOn w:val="65"/>
    <w:semiHidden/>
    <w:unhideWhenUsed/>
    <w:qFormat/>
    <w:uiPriority w:val="99"/>
  </w:style>
  <w:style w:type="character" w:styleId="73">
    <w:name w:val="HTML Typewriter"/>
    <w:basedOn w:val="65"/>
    <w:qFormat/>
    <w:uiPriority w:val="0"/>
    <w:rPr>
      <w:rFonts w:ascii="宋体" w:hAnsi="宋体" w:eastAsia="宋体"/>
      <w:sz w:val="24"/>
    </w:rPr>
  </w:style>
  <w:style w:type="character" w:styleId="74">
    <w:name w:val="HTML Acronym"/>
    <w:basedOn w:val="65"/>
    <w:semiHidden/>
    <w:unhideWhenUsed/>
    <w:qFormat/>
    <w:uiPriority w:val="99"/>
  </w:style>
  <w:style w:type="character" w:styleId="75">
    <w:name w:val="HTML Variable"/>
    <w:basedOn w:val="65"/>
    <w:semiHidden/>
    <w:unhideWhenUsed/>
    <w:qFormat/>
    <w:uiPriority w:val="99"/>
  </w:style>
  <w:style w:type="character" w:styleId="76">
    <w:name w:val="Hyperlink"/>
    <w:basedOn w:val="65"/>
    <w:qFormat/>
    <w:uiPriority w:val="99"/>
    <w:rPr>
      <w:color w:val="0000FF"/>
      <w:u w:val="single"/>
    </w:rPr>
  </w:style>
  <w:style w:type="character" w:styleId="77">
    <w:name w:val="HTML Code"/>
    <w:basedOn w:val="65"/>
    <w:semiHidden/>
    <w:unhideWhenUsed/>
    <w:qFormat/>
    <w:uiPriority w:val="99"/>
    <w:rPr>
      <w:rFonts w:hint="default" w:ascii="monospace" w:hAnsi="monospace" w:eastAsia="monospace" w:cs="monospace"/>
      <w:sz w:val="20"/>
    </w:rPr>
  </w:style>
  <w:style w:type="character" w:styleId="78">
    <w:name w:val="annotation reference"/>
    <w:basedOn w:val="65"/>
    <w:qFormat/>
    <w:uiPriority w:val="99"/>
    <w:rPr>
      <w:sz w:val="21"/>
    </w:rPr>
  </w:style>
  <w:style w:type="character" w:styleId="79">
    <w:name w:val="HTML Cite"/>
    <w:basedOn w:val="65"/>
    <w:semiHidden/>
    <w:unhideWhenUsed/>
    <w:qFormat/>
    <w:uiPriority w:val="99"/>
  </w:style>
  <w:style w:type="character" w:styleId="80">
    <w:name w:val="footnote reference"/>
    <w:basedOn w:val="65"/>
    <w:qFormat/>
    <w:uiPriority w:val="0"/>
    <w:rPr>
      <w:vertAlign w:val="superscript"/>
    </w:rPr>
  </w:style>
  <w:style w:type="character" w:styleId="81">
    <w:name w:val="HTML Keyboard"/>
    <w:basedOn w:val="65"/>
    <w:semiHidden/>
    <w:unhideWhenUsed/>
    <w:qFormat/>
    <w:uiPriority w:val="99"/>
    <w:rPr>
      <w:rFonts w:ascii="monospace" w:hAnsi="monospace" w:eastAsia="monospace" w:cs="monospace"/>
      <w:sz w:val="20"/>
    </w:rPr>
  </w:style>
  <w:style w:type="character" w:styleId="82">
    <w:name w:val="HTML Sample"/>
    <w:basedOn w:val="65"/>
    <w:qFormat/>
    <w:uiPriority w:val="0"/>
    <w:rPr>
      <w:rFonts w:ascii="Courier New" w:hAnsi="宋体" w:eastAsia="宋体"/>
    </w:rPr>
  </w:style>
  <w:style w:type="paragraph" w:customStyle="1" w:styleId="83">
    <w:name w:val="模板普通正文"/>
    <w:basedOn w:val="26"/>
    <w:qFormat/>
    <w:uiPriority w:val="0"/>
    <w:pPr>
      <w:spacing w:beforeLines="50" w:after="10"/>
      <w:ind w:firstLine="490" w:firstLineChars="175"/>
      <w:jc w:val="left"/>
    </w:pPr>
  </w:style>
  <w:style w:type="character" w:customStyle="1" w:styleId="84">
    <w:name w:val="页脚 Char1"/>
    <w:basedOn w:val="65"/>
    <w:qFormat/>
    <w:uiPriority w:val="0"/>
    <w:rPr>
      <w:rFonts w:cs="Times New Roman"/>
      <w:kern w:val="2"/>
      <w:sz w:val="18"/>
      <w:szCs w:val="18"/>
    </w:rPr>
  </w:style>
  <w:style w:type="character" w:customStyle="1" w:styleId="85">
    <w:name w:val="正文文本 字符"/>
    <w:basedOn w:val="65"/>
    <w:link w:val="24"/>
    <w:qFormat/>
    <w:uiPriority w:val="0"/>
    <w:rPr>
      <w:rFonts w:ascii="楷体_GB2312" w:hAnsi="Arial" w:eastAsia="楷体_GB2312" w:cs="Times New Roman"/>
      <w:sz w:val="20"/>
      <w:szCs w:val="20"/>
    </w:rPr>
  </w:style>
  <w:style w:type="character" w:customStyle="1" w:styleId="86">
    <w:name w:val="Body Text Indent 2 Char"/>
    <w:qFormat/>
    <w:uiPriority w:val="0"/>
    <w:rPr>
      <w:rFonts w:ascii="Arial" w:hAnsi="Arial" w:eastAsia="仿宋_GB2312"/>
      <w:sz w:val="32"/>
    </w:rPr>
  </w:style>
  <w:style w:type="character" w:customStyle="1" w:styleId="87">
    <w:name w:val="标题 5 字符"/>
    <w:basedOn w:val="65"/>
    <w:link w:val="8"/>
    <w:qFormat/>
    <w:uiPriority w:val="0"/>
    <w:rPr>
      <w:rFonts w:ascii="黑体" w:hAnsi="Times New Roman" w:eastAsia="黑体" w:cs="Times New Roman"/>
      <w:b/>
      <w:color w:val="000000"/>
      <w:kern w:val="0"/>
      <w:sz w:val="20"/>
      <w:szCs w:val="20"/>
    </w:rPr>
  </w:style>
  <w:style w:type="character" w:customStyle="1" w:styleId="88">
    <w:name w:val="Body Text Indent 3 Char1"/>
    <w:basedOn w:val="65"/>
    <w:qFormat/>
    <w:uiPriority w:val="0"/>
    <w:rPr>
      <w:rFonts w:ascii="Times New Roman" w:hAnsi="Times New Roman"/>
      <w:kern w:val="2"/>
      <w:sz w:val="16"/>
      <w:szCs w:val="16"/>
    </w:rPr>
  </w:style>
  <w:style w:type="character" w:customStyle="1" w:styleId="89">
    <w:name w:val="副标题 字符"/>
    <w:basedOn w:val="65"/>
    <w:link w:val="47"/>
    <w:qFormat/>
    <w:uiPriority w:val="0"/>
    <w:rPr>
      <w:rFonts w:ascii="Cambria" w:hAnsi="Cambria" w:eastAsia="宋体" w:cs="Times New Roman"/>
      <w:i/>
      <w:iCs/>
      <w:spacing w:val="13"/>
      <w:kern w:val="0"/>
      <w:sz w:val="24"/>
      <w:szCs w:val="24"/>
      <w:lang w:eastAsia="en-US"/>
    </w:rPr>
  </w:style>
  <w:style w:type="character" w:customStyle="1" w:styleId="90">
    <w:name w:val="listbenefit"/>
    <w:qFormat/>
    <w:uiPriority w:val="0"/>
  </w:style>
  <w:style w:type="character" w:customStyle="1" w:styleId="91">
    <w:name w:val="Char Char27"/>
    <w:qFormat/>
    <w:uiPriority w:val="0"/>
    <w:rPr>
      <w:b/>
      <w:kern w:val="44"/>
      <w:sz w:val="44"/>
    </w:rPr>
  </w:style>
  <w:style w:type="character" w:customStyle="1" w:styleId="92">
    <w:name w:val="param-value"/>
    <w:basedOn w:val="65"/>
    <w:qFormat/>
    <w:uiPriority w:val="0"/>
    <w:rPr>
      <w:rFonts w:cs="Times New Roman"/>
    </w:rPr>
  </w:style>
  <w:style w:type="character" w:customStyle="1" w:styleId="93">
    <w:name w:val="纯文本 Char Char Char1"/>
    <w:qFormat/>
    <w:uiPriority w:val="0"/>
    <w:rPr>
      <w:rFonts w:ascii="宋体" w:hAnsi="Courier New" w:eastAsia="宋体"/>
      <w:kern w:val="2"/>
      <w:sz w:val="21"/>
      <w:lang w:val="en-US" w:eastAsia="zh-CN"/>
    </w:rPr>
  </w:style>
  <w:style w:type="character" w:customStyle="1" w:styleId="94">
    <w:name w:val="apple-converted-space"/>
    <w:basedOn w:val="65"/>
    <w:qFormat/>
    <w:uiPriority w:val="0"/>
    <w:rPr>
      <w:rFonts w:cs="Times New Roman"/>
    </w:rPr>
  </w:style>
  <w:style w:type="character" w:customStyle="1" w:styleId="95">
    <w:name w:val="Char Char29"/>
    <w:qFormat/>
    <w:uiPriority w:val="0"/>
    <w:rPr>
      <w:rFonts w:ascii="Times New Roman" w:hAnsi="Times New Roman" w:eastAsia="宋体"/>
      <w:b/>
      <w:kern w:val="44"/>
      <w:sz w:val="44"/>
    </w:rPr>
  </w:style>
  <w:style w:type="character" w:customStyle="1" w:styleId="96">
    <w:name w:val="标题 3 Char"/>
    <w:basedOn w:val="65"/>
    <w:qFormat/>
    <w:uiPriority w:val="0"/>
    <w:rPr>
      <w:rFonts w:ascii="Times New Roman" w:hAnsi="Times New Roman" w:eastAsia="宋体" w:cs="Times New Roman"/>
      <w:b/>
      <w:bCs/>
      <w:sz w:val="32"/>
      <w:szCs w:val="32"/>
    </w:rPr>
  </w:style>
  <w:style w:type="character" w:customStyle="1" w:styleId="97">
    <w:name w:val="标题 4 字符"/>
    <w:basedOn w:val="65"/>
    <w:link w:val="7"/>
    <w:qFormat/>
    <w:uiPriority w:val="0"/>
    <w:rPr>
      <w:rFonts w:ascii="Arial" w:hAnsi="Arial" w:eastAsia="黑体" w:cs="Times New Roman"/>
      <w:b/>
      <w:sz w:val="20"/>
      <w:szCs w:val="20"/>
    </w:rPr>
  </w:style>
  <w:style w:type="character" w:customStyle="1" w:styleId="98">
    <w:name w:val="正文文本 3 字符"/>
    <w:basedOn w:val="65"/>
    <w:link w:val="23"/>
    <w:qFormat/>
    <w:uiPriority w:val="0"/>
    <w:rPr>
      <w:rFonts w:ascii="仿宋_GB2312" w:hAnsi="Arial" w:eastAsia="仿宋_GB2312" w:cs="Times New Roman"/>
      <w:sz w:val="20"/>
      <w:szCs w:val="20"/>
    </w:rPr>
  </w:style>
  <w:style w:type="character" w:customStyle="1" w:styleId="99">
    <w:name w:val="正文文本缩进 Char"/>
    <w:basedOn w:val="65"/>
    <w:qFormat/>
    <w:uiPriority w:val="0"/>
    <w:rPr>
      <w:rFonts w:ascii="Times New Roman" w:hAnsi="Times New Roman" w:eastAsia="宋体" w:cs="Times New Roman"/>
      <w:sz w:val="20"/>
      <w:szCs w:val="20"/>
    </w:rPr>
  </w:style>
  <w:style w:type="character" w:customStyle="1" w:styleId="100">
    <w:name w:val="Plain Text Char"/>
    <w:qFormat/>
    <w:uiPriority w:val="0"/>
    <w:rPr>
      <w:rFonts w:ascii="宋体" w:hAnsi="Courier New"/>
    </w:rPr>
  </w:style>
  <w:style w:type="character" w:customStyle="1" w:styleId="101">
    <w:name w:val="HTML 预设格式 Char"/>
    <w:basedOn w:val="65"/>
    <w:qFormat/>
    <w:uiPriority w:val="0"/>
    <w:rPr>
      <w:rFonts w:ascii="Courier New" w:hAnsi="Courier New" w:eastAsia="宋体" w:cs="Courier New"/>
      <w:sz w:val="20"/>
      <w:szCs w:val="20"/>
    </w:rPr>
  </w:style>
  <w:style w:type="character" w:customStyle="1" w:styleId="102">
    <w:name w:val="批注文字 Char Char"/>
    <w:qFormat/>
    <w:uiPriority w:val="0"/>
    <w:rPr>
      <w:rFonts w:eastAsia="宋体"/>
      <w:kern w:val="2"/>
      <w:sz w:val="21"/>
      <w:lang w:val="en-US" w:eastAsia="zh-CN"/>
    </w:rPr>
  </w:style>
  <w:style w:type="character" w:customStyle="1" w:styleId="103">
    <w:name w:val="Body Text Indent Char"/>
    <w:qFormat/>
    <w:uiPriority w:val="0"/>
    <w:rPr>
      <w:rFonts w:ascii="楷体_GB2312" w:eastAsia="楷体_GB2312"/>
      <w:sz w:val="32"/>
    </w:rPr>
  </w:style>
  <w:style w:type="character" w:customStyle="1" w:styleId="104">
    <w:name w:val="已访问的超链接1"/>
    <w:qFormat/>
    <w:uiPriority w:val="0"/>
    <w:rPr>
      <w:color w:val="auto"/>
      <w:u w:val="none"/>
    </w:rPr>
  </w:style>
  <w:style w:type="character" w:customStyle="1" w:styleId="105">
    <w:name w:val="纯文本 Char Char Char"/>
    <w:qFormat/>
    <w:uiPriority w:val="0"/>
    <w:rPr>
      <w:rFonts w:ascii="宋体" w:hAnsi="Courier New" w:eastAsia="宋体"/>
      <w:kern w:val="2"/>
      <w:sz w:val="21"/>
      <w:lang w:val="en-US" w:eastAsia="zh-CN"/>
    </w:rPr>
  </w:style>
  <w:style w:type="character" w:customStyle="1" w:styleId="106">
    <w:name w:val="普通文字1 Char"/>
    <w:qFormat/>
    <w:uiPriority w:val="0"/>
    <w:rPr>
      <w:rFonts w:ascii="宋体" w:eastAsia="宋体"/>
      <w:kern w:val="2"/>
      <w:sz w:val="21"/>
      <w:lang w:val="en-US" w:eastAsia="zh-CN"/>
    </w:rPr>
  </w:style>
  <w:style w:type="character" w:customStyle="1" w:styleId="107">
    <w:name w:val="Comment Subject Char"/>
    <w:qFormat/>
    <w:uiPriority w:val="0"/>
    <w:rPr>
      <w:b/>
    </w:rPr>
  </w:style>
  <w:style w:type="character" w:customStyle="1" w:styleId="108">
    <w:name w:val="Char Char28"/>
    <w:qFormat/>
    <w:uiPriority w:val="0"/>
    <w:rPr>
      <w:rFonts w:ascii="Arial" w:hAnsi="Arial" w:eastAsia="黑体"/>
      <w:b/>
      <w:sz w:val="32"/>
    </w:rPr>
  </w:style>
  <w:style w:type="character" w:customStyle="1" w:styleId="109">
    <w:name w:val="Char Char23"/>
    <w:qFormat/>
    <w:uiPriority w:val="0"/>
    <w:rPr>
      <w:rFonts w:ascii="Arial" w:hAnsi="Arial" w:eastAsia="黑体"/>
      <w:b/>
      <w:kern w:val="2"/>
      <w:sz w:val="24"/>
    </w:rPr>
  </w:style>
  <w:style w:type="character" w:customStyle="1" w:styleId="110">
    <w:name w:val="Char Char21"/>
    <w:qFormat/>
    <w:uiPriority w:val="0"/>
    <w:rPr>
      <w:rFonts w:ascii="Arial" w:hAnsi="Arial" w:eastAsia="黑体"/>
      <w:kern w:val="2"/>
      <w:sz w:val="24"/>
    </w:rPr>
  </w:style>
  <w:style w:type="character" w:customStyle="1" w:styleId="111">
    <w:name w:val="Char Char2"/>
    <w:qFormat/>
    <w:uiPriority w:val="0"/>
    <w:rPr>
      <w:rFonts w:ascii="宋体" w:hAnsi="Courier New" w:eastAsia="宋体"/>
      <w:kern w:val="2"/>
      <w:sz w:val="21"/>
      <w:lang w:val="en-US" w:eastAsia="zh-CN"/>
    </w:rPr>
  </w:style>
  <w:style w:type="character" w:customStyle="1" w:styleId="112">
    <w:name w:val="t1"/>
    <w:qFormat/>
    <w:uiPriority w:val="0"/>
  </w:style>
  <w:style w:type="character" w:customStyle="1" w:styleId="113">
    <w:name w:val="华宇段落1 Char Char Char"/>
    <w:qFormat/>
    <w:uiPriority w:val="0"/>
    <w:rPr>
      <w:rFonts w:eastAsia="宋体"/>
      <w:kern w:val="2"/>
      <w:sz w:val="24"/>
      <w:lang w:val="en-US" w:eastAsia="zh-CN"/>
    </w:rPr>
  </w:style>
  <w:style w:type="character" w:customStyle="1" w:styleId="114">
    <w:name w:val="正文首行缩进 字符"/>
    <w:basedOn w:val="85"/>
    <w:link w:val="61"/>
    <w:qFormat/>
    <w:uiPriority w:val="0"/>
    <w:rPr>
      <w:rFonts w:ascii="Times New Roman" w:hAnsi="Times New Roman" w:eastAsia="宋体" w:cs="Times New Roman"/>
      <w:sz w:val="24"/>
      <w:szCs w:val="24"/>
    </w:rPr>
  </w:style>
  <w:style w:type="character" w:customStyle="1" w:styleId="115">
    <w:name w:val="纯文本 Char1"/>
    <w:qFormat/>
    <w:uiPriority w:val="0"/>
    <w:rPr>
      <w:rFonts w:ascii="宋体" w:hAnsi="Courier New"/>
      <w:kern w:val="2"/>
      <w:sz w:val="21"/>
    </w:rPr>
  </w:style>
  <w:style w:type="character" w:customStyle="1" w:styleId="116">
    <w:name w:val="textcontents"/>
    <w:basedOn w:val="65"/>
    <w:qFormat/>
    <w:uiPriority w:val="0"/>
    <w:rPr>
      <w:rFonts w:cs="Times New Roman"/>
    </w:rPr>
  </w:style>
  <w:style w:type="character" w:customStyle="1" w:styleId="117">
    <w:name w:val="Intense Quote Char2"/>
    <w:basedOn w:val="65"/>
    <w:qFormat/>
    <w:uiPriority w:val="0"/>
    <w:rPr>
      <w:rFonts w:ascii="Times New Roman" w:hAnsi="Times New Roman" w:eastAsia="宋体" w:cs="Times New Roman"/>
      <w:b/>
      <w:bCs/>
      <w:i/>
      <w:iCs/>
      <w:color w:val="4F81BD"/>
      <w:sz w:val="20"/>
      <w:szCs w:val="20"/>
    </w:rPr>
  </w:style>
  <w:style w:type="character" w:customStyle="1" w:styleId="118">
    <w:name w:val="纯文本 Char"/>
    <w:basedOn w:val="65"/>
    <w:qFormat/>
    <w:uiPriority w:val="0"/>
    <w:rPr>
      <w:rFonts w:ascii="宋体" w:hAnsi="Courier New" w:eastAsia="宋体" w:cs="Courier New"/>
      <w:sz w:val="21"/>
      <w:szCs w:val="21"/>
    </w:rPr>
  </w:style>
  <w:style w:type="character" w:customStyle="1" w:styleId="119">
    <w:name w:val="我的正文 Char Char"/>
    <w:link w:val="120"/>
    <w:qFormat/>
    <w:uiPriority w:val="0"/>
    <w:rPr>
      <w:rFonts w:ascii="宋体" w:eastAsia="宋体"/>
      <w:sz w:val="21"/>
    </w:rPr>
  </w:style>
  <w:style w:type="paragraph" w:customStyle="1" w:styleId="120">
    <w:name w:val="我的正文"/>
    <w:basedOn w:val="1"/>
    <w:link w:val="119"/>
    <w:qFormat/>
    <w:uiPriority w:val="0"/>
    <w:pPr>
      <w:widowControl/>
      <w:spacing w:line="360" w:lineRule="auto"/>
      <w:ind w:firstLine="420"/>
      <w:jc w:val="left"/>
    </w:pPr>
    <w:rPr>
      <w:rFonts w:ascii="宋体" w:hAnsi="Calibri"/>
      <w:kern w:val="0"/>
    </w:rPr>
  </w:style>
  <w:style w:type="character" w:customStyle="1" w:styleId="121">
    <w:name w:val="Title Char"/>
    <w:qFormat/>
    <w:uiPriority w:val="0"/>
    <w:rPr>
      <w:rFonts w:eastAsia="黑体"/>
      <w:b/>
      <w:sz w:val="28"/>
      <w:lang w:val="en-GB"/>
    </w:rPr>
  </w:style>
  <w:style w:type="character" w:customStyle="1" w:styleId="122">
    <w:name w:val="正文文本缩进 3 字符"/>
    <w:basedOn w:val="65"/>
    <w:link w:val="50"/>
    <w:qFormat/>
    <w:uiPriority w:val="0"/>
    <w:rPr>
      <w:rFonts w:ascii="Times New Roman" w:hAnsi="Times New Roman" w:eastAsia="宋体" w:cs="Times New Roman"/>
      <w:sz w:val="16"/>
      <w:szCs w:val="16"/>
    </w:rPr>
  </w:style>
  <w:style w:type="character" w:customStyle="1" w:styleId="123">
    <w:name w:val="Title1 Char"/>
    <w:qFormat/>
    <w:uiPriority w:val="0"/>
    <w:rPr>
      <w:rFonts w:eastAsia="宋体"/>
      <w:b/>
      <w:kern w:val="44"/>
      <w:sz w:val="44"/>
      <w:lang w:val="en-US" w:eastAsia="zh-CN"/>
    </w:rPr>
  </w:style>
  <w:style w:type="character" w:customStyle="1" w:styleId="124">
    <w:name w:val="content"/>
    <w:basedOn w:val="65"/>
    <w:qFormat/>
    <w:uiPriority w:val="0"/>
    <w:rPr>
      <w:rFonts w:cs="Times New Roman"/>
    </w:rPr>
  </w:style>
  <w:style w:type="character" w:customStyle="1" w:styleId="125">
    <w:name w:val="Char Char17"/>
    <w:qFormat/>
    <w:uiPriority w:val="0"/>
    <w:rPr>
      <w:rFonts w:ascii="宋体" w:hAnsi="Courier New"/>
      <w:kern w:val="2"/>
      <w:sz w:val="21"/>
    </w:rPr>
  </w:style>
  <w:style w:type="character" w:customStyle="1" w:styleId="126">
    <w:name w:val="标准小四 Char Char"/>
    <w:qFormat/>
    <w:uiPriority w:val="0"/>
    <w:rPr>
      <w:rFonts w:ascii="Arial" w:hAnsi="Arial" w:eastAsia="宋体"/>
      <w:kern w:val="2"/>
      <w:sz w:val="21"/>
      <w:lang w:val="en-US" w:eastAsia="zh-CN"/>
    </w:rPr>
  </w:style>
  <w:style w:type="character" w:customStyle="1" w:styleId="127">
    <w:name w:val="样式 宋体 小四"/>
    <w:qFormat/>
    <w:uiPriority w:val="0"/>
    <w:rPr>
      <w:rFonts w:ascii="宋体" w:eastAsia="宋体"/>
      <w:sz w:val="24"/>
    </w:rPr>
  </w:style>
  <w:style w:type="character" w:customStyle="1" w:styleId="128">
    <w:name w:val="ih151"/>
    <w:qFormat/>
    <w:uiPriority w:val="0"/>
    <w:rPr>
      <w:color w:val="666666"/>
      <w:sz w:val="18"/>
      <w:u w:val="none"/>
    </w:rPr>
  </w:style>
  <w:style w:type="character" w:customStyle="1" w:styleId="129">
    <w:name w:val="style13"/>
    <w:qFormat/>
    <w:uiPriority w:val="0"/>
    <w:rPr>
      <w:sz w:val="18"/>
    </w:rPr>
  </w:style>
  <w:style w:type="character" w:customStyle="1" w:styleId="130">
    <w:name w:val="纯文本 字符"/>
    <w:basedOn w:val="65"/>
    <w:link w:val="33"/>
    <w:qFormat/>
    <w:uiPriority w:val="99"/>
    <w:rPr>
      <w:rFonts w:ascii="宋体" w:hAnsi="Courier New" w:cs="Courier New"/>
      <w:kern w:val="2"/>
      <w:sz w:val="21"/>
      <w:szCs w:val="21"/>
    </w:rPr>
  </w:style>
  <w:style w:type="character" w:customStyle="1" w:styleId="131">
    <w:name w:val="标题 6 字符"/>
    <w:basedOn w:val="65"/>
    <w:link w:val="9"/>
    <w:qFormat/>
    <w:uiPriority w:val="0"/>
    <w:rPr>
      <w:rFonts w:ascii="Arial" w:hAnsi="Arial" w:eastAsia="黑体" w:cs="Times New Roman"/>
      <w:b/>
      <w:bCs/>
      <w:sz w:val="24"/>
      <w:szCs w:val="24"/>
    </w:rPr>
  </w:style>
  <w:style w:type="character" w:customStyle="1" w:styleId="132">
    <w:name w:val="style131"/>
    <w:qFormat/>
    <w:uiPriority w:val="0"/>
    <w:rPr>
      <w:sz w:val="18"/>
    </w:rPr>
  </w:style>
  <w:style w:type="character" w:customStyle="1" w:styleId="133">
    <w:name w:val="Char Char25"/>
    <w:qFormat/>
    <w:uiPriority w:val="0"/>
    <w:rPr>
      <w:rFonts w:ascii="Arial" w:hAnsi="Arial" w:eastAsia="黑体"/>
      <w:b/>
      <w:kern w:val="2"/>
      <w:sz w:val="28"/>
    </w:rPr>
  </w:style>
  <w:style w:type="character" w:customStyle="1" w:styleId="134">
    <w:name w:val="不明显强调1"/>
    <w:basedOn w:val="65"/>
    <w:qFormat/>
    <w:uiPriority w:val="0"/>
    <w:rPr>
      <w:i/>
    </w:rPr>
  </w:style>
  <w:style w:type="character" w:customStyle="1" w:styleId="135">
    <w:name w:val="标准文本 Char Char"/>
    <w:qFormat/>
    <w:uiPriority w:val="0"/>
    <w:rPr>
      <w:rFonts w:eastAsia="宋体"/>
      <w:kern w:val="2"/>
      <w:sz w:val="24"/>
      <w:lang w:val="en-US" w:eastAsia="zh-CN"/>
    </w:rPr>
  </w:style>
  <w:style w:type="character" w:customStyle="1" w:styleId="136">
    <w:name w:val="Comment Subject Char1"/>
    <w:basedOn w:val="137"/>
    <w:qFormat/>
    <w:uiPriority w:val="0"/>
    <w:rPr>
      <w:rFonts w:ascii="Times New Roman" w:hAnsi="Times New Roman" w:eastAsia="宋体" w:cs="Times New Roman"/>
      <w:b/>
      <w:bCs/>
      <w:kern w:val="2"/>
      <w:sz w:val="21"/>
      <w:szCs w:val="20"/>
    </w:rPr>
  </w:style>
  <w:style w:type="character" w:customStyle="1" w:styleId="137">
    <w:name w:val="批注文字 字符"/>
    <w:basedOn w:val="65"/>
    <w:link w:val="20"/>
    <w:qFormat/>
    <w:uiPriority w:val="99"/>
    <w:rPr>
      <w:rFonts w:ascii="Times New Roman" w:hAnsi="Times New Roman" w:eastAsia="宋体" w:cs="Times New Roman"/>
      <w:sz w:val="20"/>
      <w:szCs w:val="20"/>
    </w:rPr>
  </w:style>
  <w:style w:type="character" w:customStyle="1" w:styleId="138">
    <w:name w:val="normalfont1"/>
    <w:qFormat/>
    <w:uiPriority w:val="0"/>
    <w:rPr>
      <w:rFonts w:ascii="??" w:hAnsi="??"/>
      <w:sz w:val="18"/>
      <w:u w:val="none"/>
    </w:rPr>
  </w:style>
  <w:style w:type="character" w:customStyle="1" w:styleId="139">
    <w:name w:val="小四 段落 宋体 Char Char Char Char Char Char Char Char"/>
    <w:qFormat/>
    <w:uiPriority w:val="0"/>
    <w:rPr>
      <w:rFonts w:eastAsia="宋体"/>
      <w:kern w:val="2"/>
      <w:sz w:val="24"/>
      <w:lang w:val="en-US" w:eastAsia="zh-CN"/>
    </w:rPr>
  </w:style>
  <w:style w:type="character" w:customStyle="1" w:styleId="140">
    <w:name w:val="签名 字符"/>
    <w:basedOn w:val="65"/>
    <w:link w:val="42"/>
    <w:qFormat/>
    <w:uiPriority w:val="0"/>
    <w:rPr>
      <w:rFonts w:ascii="Times New Roman" w:hAnsi="Times New Roman" w:eastAsia="仿宋_GB2312" w:cs="Times New Roman"/>
      <w:kern w:val="0"/>
      <w:sz w:val="20"/>
      <w:szCs w:val="20"/>
    </w:rPr>
  </w:style>
  <w:style w:type="character" w:customStyle="1" w:styleId="141">
    <w:name w:val="标题 Char1"/>
    <w:qFormat/>
    <w:uiPriority w:val="0"/>
    <w:rPr>
      <w:rFonts w:ascii="Cambria" w:eastAsia="宋体"/>
      <w:b/>
      <w:sz w:val="32"/>
    </w:rPr>
  </w:style>
  <w:style w:type="character" w:customStyle="1" w:styleId="142">
    <w:name w:val="脚注文本 字符"/>
    <w:basedOn w:val="65"/>
    <w:link w:val="48"/>
    <w:qFormat/>
    <w:uiPriority w:val="0"/>
    <w:rPr>
      <w:rFonts w:ascii="Times New Roman" w:hAnsi="Times New Roman" w:eastAsia="宋体" w:cs="Times New Roman"/>
      <w:sz w:val="18"/>
      <w:szCs w:val="18"/>
    </w:rPr>
  </w:style>
  <w:style w:type="character" w:customStyle="1" w:styleId="143">
    <w:name w:val="页眉 字符"/>
    <w:basedOn w:val="65"/>
    <w:link w:val="41"/>
    <w:qFormat/>
    <w:uiPriority w:val="0"/>
    <w:rPr>
      <w:rFonts w:cs="Times New Roman"/>
      <w:sz w:val="18"/>
      <w:szCs w:val="18"/>
    </w:rPr>
  </w:style>
  <w:style w:type="character" w:customStyle="1" w:styleId="144">
    <w:name w:val="Quote Char Char"/>
    <w:qFormat/>
    <w:uiPriority w:val="0"/>
    <w:rPr>
      <w:rFonts w:ascii="Calibri" w:hAnsi="Calibri"/>
      <w:i/>
      <w:sz w:val="22"/>
      <w:lang w:eastAsia="en-US"/>
    </w:rPr>
  </w:style>
  <w:style w:type="character" w:customStyle="1" w:styleId="145">
    <w:name w:val="content_lineheight1"/>
    <w:basedOn w:val="65"/>
    <w:qFormat/>
    <w:uiPriority w:val="0"/>
    <w:rPr>
      <w:rFonts w:cs="Times New Roman"/>
    </w:rPr>
  </w:style>
  <w:style w:type="character" w:customStyle="1" w:styleId="146">
    <w:name w:val="标题 7 字符"/>
    <w:basedOn w:val="65"/>
    <w:link w:val="10"/>
    <w:qFormat/>
    <w:uiPriority w:val="0"/>
    <w:rPr>
      <w:rFonts w:ascii="Times New Roman" w:hAnsi="Times New Roman" w:eastAsia="宋体" w:cs="Times New Roman"/>
      <w:b/>
      <w:bCs/>
      <w:sz w:val="24"/>
      <w:szCs w:val="24"/>
    </w:rPr>
  </w:style>
  <w:style w:type="character" w:customStyle="1" w:styleId="147">
    <w:name w:val="Title Char1"/>
    <w:basedOn w:val="65"/>
    <w:qFormat/>
    <w:uiPriority w:val="0"/>
    <w:rPr>
      <w:rFonts w:ascii="Cambria" w:hAnsi="Cambria" w:cs="Times New Roman"/>
      <w:b/>
      <w:bCs/>
      <w:kern w:val="2"/>
      <w:sz w:val="32"/>
      <w:szCs w:val="32"/>
    </w:rPr>
  </w:style>
  <w:style w:type="character" w:customStyle="1" w:styleId="148">
    <w:name w:val="正文 + 宋体 Char"/>
    <w:qFormat/>
    <w:uiPriority w:val="0"/>
    <w:rPr>
      <w:rFonts w:eastAsia="宋体"/>
      <w:kern w:val="2"/>
      <w:sz w:val="24"/>
      <w:lang w:val="en-US" w:eastAsia="zh-CN"/>
    </w:rPr>
  </w:style>
  <w:style w:type="character" w:customStyle="1" w:styleId="149">
    <w:name w:val="日期 字符"/>
    <w:basedOn w:val="65"/>
    <w:link w:val="36"/>
    <w:qFormat/>
    <w:uiPriority w:val="0"/>
    <w:rPr>
      <w:rFonts w:ascii="Times New Roman" w:hAnsi="Times New Roman" w:eastAsia="宋体" w:cs="Times New Roman"/>
      <w:sz w:val="20"/>
      <w:szCs w:val="20"/>
    </w:rPr>
  </w:style>
  <w:style w:type="character" w:customStyle="1" w:styleId="150">
    <w:name w:val="特点 Char1"/>
    <w:qFormat/>
    <w:uiPriority w:val="0"/>
    <w:rPr>
      <w:rFonts w:eastAsia="宋体"/>
      <w:kern w:val="2"/>
      <w:sz w:val="21"/>
      <w:lang w:val="en-US" w:eastAsia="zh-CN"/>
    </w:rPr>
  </w:style>
  <w:style w:type="character" w:customStyle="1" w:styleId="151">
    <w:name w:val="表格抬头 Char Char"/>
    <w:link w:val="152"/>
    <w:qFormat/>
    <w:uiPriority w:val="0"/>
    <w:rPr>
      <w:rFonts w:ascii="黑体" w:eastAsia="黑体"/>
      <w:b/>
    </w:rPr>
  </w:style>
  <w:style w:type="paragraph" w:customStyle="1" w:styleId="152">
    <w:name w:val="表格抬头"/>
    <w:basedOn w:val="1"/>
    <w:link w:val="151"/>
    <w:qFormat/>
    <w:uiPriority w:val="0"/>
    <w:pPr>
      <w:jc w:val="center"/>
    </w:pPr>
    <w:rPr>
      <w:rFonts w:ascii="黑体" w:hAnsi="Calibri" w:eastAsia="黑体"/>
      <w:b/>
      <w:kern w:val="0"/>
      <w:sz w:val="20"/>
    </w:rPr>
  </w:style>
  <w:style w:type="character" w:customStyle="1" w:styleId="153">
    <w:name w:val="批注主题 字符"/>
    <w:basedOn w:val="137"/>
    <w:link w:val="60"/>
    <w:qFormat/>
    <w:uiPriority w:val="0"/>
    <w:rPr>
      <w:rFonts w:ascii="Times New Roman" w:hAnsi="Times New Roman" w:eastAsia="宋体" w:cs="Times New Roman"/>
      <w:b/>
      <w:bCs/>
      <w:sz w:val="20"/>
      <w:szCs w:val="20"/>
    </w:rPr>
  </w:style>
  <w:style w:type="character" w:customStyle="1" w:styleId="154">
    <w:name w:val="HTML Preformatted Char"/>
    <w:qFormat/>
    <w:uiPriority w:val="0"/>
    <w:rPr>
      <w:rFonts w:ascii="黑体" w:hAnsi="Courier New" w:eastAsia="黑体"/>
    </w:rPr>
  </w:style>
  <w:style w:type="character" w:customStyle="1" w:styleId="155">
    <w:name w:val="h Char Char"/>
    <w:qFormat/>
    <w:uiPriority w:val="0"/>
    <w:rPr>
      <w:rFonts w:eastAsia="宋体"/>
      <w:kern w:val="2"/>
      <w:sz w:val="18"/>
      <w:lang w:val="en-US" w:eastAsia="zh-CN"/>
    </w:rPr>
  </w:style>
  <w:style w:type="character" w:customStyle="1" w:styleId="156">
    <w:name w:val="subtitle1"/>
    <w:qFormat/>
    <w:uiPriority w:val="0"/>
    <w:rPr>
      <w:rFonts w:ascii="Georgia" w:hAnsi="Georgia"/>
      <w:b/>
      <w:color w:val="666666"/>
      <w:sz w:val="18"/>
    </w:rPr>
  </w:style>
  <w:style w:type="character" w:customStyle="1" w:styleId="157">
    <w:name w:val="样式 非加粗"/>
    <w:qFormat/>
    <w:uiPriority w:val="0"/>
    <w:rPr>
      <w:rFonts w:eastAsia="宋体"/>
      <w:sz w:val="28"/>
    </w:rPr>
  </w:style>
  <w:style w:type="character" w:customStyle="1" w:styleId="158">
    <w:name w:val="小四 段落 宋体 Char Char Char Char Char"/>
    <w:link w:val="159"/>
    <w:qFormat/>
    <w:uiPriority w:val="0"/>
    <w:rPr>
      <w:rFonts w:eastAsia="宋体"/>
      <w:kern w:val="2"/>
      <w:sz w:val="24"/>
      <w:lang w:val="en-US" w:eastAsia="zh-CN"/>
    </w:rPr>
  </w:style>
  <w:style w:type="paragraph" w:customStyle="1" w:styleId="159">
    <w:name w:val="小四 段落 宋体"/>
    <w:basedOn w:val="17"/>
    <w:link w:val="158"/>
    <w:qFormat/>
    <w:uiPriority w:val="0"/>
    <w:pPr>
      <w:tabs>
        <w:tab w:val="clear" w:pos="2952"/>
      </w:tabs>
      <w:spacing w:line="360" w:lineRule="auto"/>
      <w:ind w:left="113" w:right="113" w:firstLine="425"/>
      <w:jc w:val="left"/>
    </w:pPr>
    <w:rPr>
      <w:rFonts w:ascii="Calibri" w:hAnsi="Calibri"/>
      <w:sz w:val="24"/>
      <w:szCs w:val="20"/>
    </w:rPr>
  </w:style>
  <w:style w:type="character" w:customStyle="1" w:styleId="160">
    <w:name w:val="标题 8 字符"/>
    <w:basedOn w:val="65"/>
    <w:link w:val="11"/>
    <w:qFormat/>
    <w:uiPriority w:val="0"/>
    <w:rPr>
      <w:rFonts w:ascii="Arial" w:hAnsi="Arial" w:eastAsia="黑体" w:cs="Times New Roman"/>
      <w:sz w:val="24"/>
      <w:szCs w:val="24"/>
    </w:rPr>
  </w:style>
  <w:style w:type="character" w:customStyle="1" w:styleId="161">
    <w:name w:val="Document Map Char"/>
    <w:qFormat/>
    <w:uiPriority w:val="0"/>
    <w:rPr>
      <w:shd w:val="clear" w:color="auto" w:fill="000080"/>
    </w:rPr>
  </w:style>
  <w:style w:type="character" w:customStyle="1" w:styleId="162">
    <w:name w:val="para_small"/>
    <w:basedOn w:val="65"/>
    <w:qFormat/>
    <w:uiPriority w:val="0"/>
    <w:rPr>
      <w:rFonts w:cs="Times New Roman"/>
    </w:rPr>
  </w:style>
  <w:style w:type="character" w:customStyle="1" w:styleId="163">
    <w:name w:val="2nd level Char"/>
    <w:qFormat/>
    <w:uiPriority w:val="0"/>
    <w:rPr>
      <w:rFonts w:ascii="Arial" w:hAnsi="Arial" w:eastAsia="黑体"/>
      <w:b/>
      <w:kern w:val="2"/>
      <w:sz w:val="32"/>
      <w:lang w:val="en-US" w:eastAsia="zh-CN"/>
    </w:rPr>
  </w:style>
  <w:style w:type="character" w:customStyle="1" w:styleId="164">
    <w:name w:val="小四 段落 宋体 Char Char Char Char1"/>
    <w:qFormat/>
    <w:uiPriority w:val="0"/>
    <w:rPr>
      <w:rFonts w:eastAsia="宋体"/>
      <w:kern w:val="2"/>
      <w:sz w:val="24"/>
      <w:lang w:val="en-US" w:eastAsia="zh-CN"/>
    </w:rPr>
  </w:style>
  <w:style w:type="character" w:customStyle="1" w:styleId="165">
    <w:name w:val="Body Text Indent 2 Char1"/>
    <w:basedOn w:val="65"/>
    <w:qFormat/>
    <w:uiPriority w:val="0"/>
    <w:rPr>
      <w:rFonts w:ascii="Times New Roman" w:hAnsi="Times New Roman"/>
      <w:kern w:val="2"/>
      <w:sz w:val="21"/>
    </w:rPr>
  </w:style>
  <w:style w:type="character" w:customStyle="1" w:styleId="166">
    <w:name w:val="标题 9 字符"/>
    <w:basedOn w:val="65"/>
    <w:link w:val="12"/>
    <w:qFormat/>
    <w:uiPriority w:val="0"/>
    <w:rPr>
      <w:rFonts w:ascii="Arial" w:hAnsi="Arial" w:eastAsia="黑体" w:cs="Times New Roman"/>
      <w:sz w:val="21"/>
      <w:szCs w:val="21"/>
    </w:rPr>
  </w:style>
  <w:style w:type="character" w:customStyle="1" w:styleId="167">
    <w:name w:val="明显强调1"/>
    <w:basedOn w:val="65"/>
    <w:qFormat/>
    <w:uiPriority w:val="0"/>
    <w:rPr>
      <w:b/>
    </w:rPr>
  </w:style>
  <w:style w:type="character" w:customStyle="1" w:styleId="168">
    <w:name w:val="标题 2 字符"/>
    <w:basedOn w:val="65"/>
    <w:link w:val="4"/>
    <w:qFormat/>
    <w:uiPriority w:val="0"/>
    <w:rPr>
      <w:rFonts w:ascii="宋体" w:hAnsi="宋体" w:eastAsia="宋体" w:cs="Times New Roman"/>
      <w:b/>
      <w:sz w:val="24"/>
      <w:szCs w:val="24"/>
    </w:rPr>
  </w:style>
  <w:style w:type="character" w:customStyle="1" w:styleId="169">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70">
    <w:name w:val="Quote Char2"/>
    <w:basedOn w:val="65"/>
    <w:qFormat/>
    <w:uiPriority w:val="0"/>
    <w:rPr>
      <w:rFonts w:ascii="Times New Roman" w:hAnsi="Times New Roman" w:eastAsia="宋体" w:cs="Times New Roman"/>
      <w:i/>
      <w:iCs/>
      <w:color w:val="000000"/>
      <w:sz w:val="20"/>
      <w:szCs w:val="20"/>
    </w:rPr>
  </w:style>
  <w:style w:type="character" w:customStyle="1" w:styleId="171">
    <w:name w:val="小四 段落 宋体 Char Char Char1"/>
    <w:qFormat/>
    <w:uiPriority w:val="0"/>
    <w:rPr>
      <w:rFonts w:ascii="宋体" w:hAnsi="宋体" w:eastAsia="宋体"/>
      <w:kern w:val="2"/>
      <w:sz w:val="24"/>
      <w:lang w:val="en-US" w:eastAsia="zh-CN"/>
    </w:rPr>
  </w:style>
  <w:style w:type="character" w:customStyle="1" w:styleId="172">
    <w:name w:val="正文文本缩进 2 字符"/>
    <w:basedOn w:val="65"/>
    <w:link w:val="37"/>
    <w:qFormat/>
    <w:uiPriority w:val="0"/>
    <w:rPr>
      <w:rFonts w:ascii="Times New Roman" w:hAnsi="Times New Roman" w:eastAsia="宋体" w:cs="Times New Roman"/>
      <w:sz w:val="20"/>
      <w:szCs w:val="20"/>
    </w:rPr>
  </w:style>
  <w:style w:type="character" w:customStyle="1" w:styleId="173">
    <w:name w:val="Quote Char1"/>
    <w:basedOn w:val="65"/>
    <w:link w:val="174"/>
    <w:qFormat/>
    <w:uiPriority w:val="0"/>
    <w:rPr>
      <w:rFonts w:ascii="Times New Roman" w:hAnsi="Times New Roman"/>
      <w:i/>
      <w:iCs/>
      <w:color w:val="000000"/>
      <w:kern w:val="2"/>
      <w:sz w:val="21"/>
    </w:rPr>
  </w:style>
  <w:style w:type="paragraph" w:customStyle="1" w:styleId="174">
    <w:name w:val="引用1"/>
    <w:basedOn w:val="1"/>
    <w:next w:val="1"/>
    <w:link w:val="173"/>
    <w:qFormat/>
    <w:uiPriority w:val="0"/>
    <w:pPr>
      <w:widowControl/>
      <w:spacing w:before="200" w:line="276" w:lineRule="auto"/>
      <w:ind w:left="360" w:right="360"/>
      <w:jc w:val="left"/>
    </w:pPr>
    <w:rPr>
      <w:i/>
      <w:iCs/>
      <w:color w:val="000000"/>
      <w:sz w:val="20"/>
    </w:rPr>
  </w:style>
  <w:style w:type="character" w:customStyle="1" w:styleId="175">
    <w:name w:val="文档结构图 Char"/>
    <w:basedOn w:val="65"/>
    <w:qFormat/>
    <w:uiPriority w:val="0"/>
    <w:rPr>
      <w:rFonts w:ascii="宋体" w:hAnsi="Times New Roman" w:eastAsia="宋体" w:cs="Times New Roman"/>
      <w:sz w:val="18"/>
      <w:szCs w:val="18"/>
    </w:rPr>
  </w:style>
  <w:style w:type="character" w:customStyle="1" w:styleId="176">
    <w:name w:val="HTML 预设格式 字符"/>
    <w:basedOn w:val="65"/>
    <w:link w:val="57"/>
    <w:qFormat/>
    <w:uiPriority w:val="0"/>
    <w:rPr>
      <w:rFonts w:ascii="Courier New" w:hAnsi="Courier New" w:cs="Courier New"/>
      <w:kern w:val="2"/>
    </w:rPr>
  </w:style>
  <w:style w:type="character" w:customStyle="1" w:styleId="177">
    <w:name w:val="标准文本 Char Char Char"/>
    <w:qFormat/>
    <w:uiPriority w:val="0"/>
    <w:rPr>
      <w:rFonts w:eastAsia="宋体"/>
      <w:kern w:val="2"/>
      <w:sz w:val="24"/>
      <w:lang w:val="en-US" w:eastAsia="zh-CN"/>
    </w:rPr>
  </w:style>
  <w:style w:type="character" w:customStyle="1" w:styleId="178">
    <w:name w:val="正文文本缩进 字符"/>
    <w:basedOn w:val="65"/>
    <w:link w:val="26"/>
    <w:qFormat/>
    <w:uiPriority w:val="0"/>
    <w:rPr>
      <w:rFonts w:ascii="Times New Roman" w:hAnsi="Times New Roman"/>
      <w:kern w:val="2"/>
      <w:sz w:val="21"/>
    </w:rPr>
  </w:style>
  <w:style w:type="character" w:customStyle="1" w:styleId="179">
    <w:name w:val="标题 字符"/>
    <w:basedOn w:val="65"/>
    <w:link w:val="28"/>
    <w:qFormat/>
    <w:uiPriority w:val="0"/>
    <w:rPr>
      <w:rFonts w:ascii="Cambria" w:hAnsi="Cambria" w:eastAsia="宋体" w:cs="Times New Roman"/>
      <w:b/>
      <w:bCs/>
      <w:sz w:val="32"/>
      <w:szCs w:val="32"/>
    </w:rPr>
  </w:style>
  <w:style w:type="character" w:customStyle="1" w:styleId="180">
    <w:name w:val="纯文本 Char Char"/>
    <w:qFormat/>
    <w:uiPriority w:val="0"/>
    <w:rPr>
      <w:rFonts w:ascii="宋体" w:hAnsi="Courier New" w:eastAsia="宋体"/>
      <w:kern w:val="2"/>
      <w:sz w:val="21"/>
      <w:lang w:val="en-US" w:eastAsia="zh-CN"/>
    </w:rPr>
  </w:style>
  <w:style w:type="character" w:customStyle="1" w:styleId="181">
    <w:name w:val="case31"/>
    <w:qFormat/>
    <w:uiPriority w:val="0"/>
    <w:rPr>
      <w:sz w:val="21"/>
    </w:rPr>
  </w:style>
  <w:style w:type="character" w:customStyle="1" w:styleId="182">
    <w:name w:val="正文文本 2 字符"/>
    <w:basedOn w:val="65"/>
    <w:link w:val="56"/>
    <w:qFormat/>
    <w:uiPriority w:val="0"/>
    <w:rPr>
      <w:rFonts w:ascii="楷体_GB2312" w:hAnsi="Times New Roman" w:eastAsia="楷体_GB2312" w:cs="Times New Roman"/>
      <w:sz w:val="20"/>
      <w:szCs w:val="20"/>
    </w:rPr>
  </w:style>
  <w:style w:type="character" w:customStyle="1" w:styleId="183">
    <w:name w:val="标题 3 Char Char"/>
    <w:qFormat/>
    <w:uiPriority w:val="0"/>
    <w:rPr>
      <w:rFonts w:eastAsia="仿宋_GB2312"/>
      <w:b/>
      <w:kern w:val="2"/>
      <w:sz w:val="32"/>
      <w:lang w:val="en-US" w:eastAsia="zh-CN"/>
    </w:rPr>
  </w:style>
  <w:style w:type="character" w:customStyle="1" w:styleId="184">
    <w:name w:val="正文缩进 Char1"/>
    <w:link w:val="185"/>
    <w:qFormat/>
    <w:uiPriority w:val="0"/>
    <w:rPr>
      <w:rFonts w:ascii="Times New Roman" w:hAnsi="Times New Roman" w:eastAsia="宋体"/>
      <w:kern w:val="0"/>
      <w:sz w:val="20"/>
    </w:rPr>
  </w:style>
  <w:style w:type="paragraph" w:customStyle="1" w:styleId="185">
    <w:name w:val="正文缩进1"/>
    <w:basedOn w:val="1"/>
    <w:link w:val="184"/>
    <w:qFormat/>
    <w:uiPriority w:val="0"/>
    <w:pPr>
      <w:ind w:firstLine="420"/>
    </w:pPr>
    <w:rPr>
      <w:kern w:val="0"/>
      <w:sz w:val="20"/>
    </w:rPr>
  </w:style>
  <w:style w:type="character" w:customStyle="1" w:styleId="186">
    <w:name w:val="新图表正文 Char Char"/>
    <w:link w:val="187"/>
    <w:qFormat/>
    <w:uiPriority w:val="0"/>
    <w:rPr>
      <w:rFonts w:ascii="宋体" w:hAnsi="宋体"/>
      <w:kern w:val="2"/>
      <w:sz w:val="18"/>
      <w:szCs w:val="21"/>
      <w:lang w:val="en-US" w:eastAsia="zh-CN" w:bidi="ar-SA"/>
    </w:rPr>
  </w:style>
  <w:style w:type="paragraph" w:customStyle="1" w:styleId="187">
    <w:name w:val="新图表正文"/>
    <w:link w:val="186"/>
    <w:qFormat/>
    <w:uiPriority w:val="0"/>
    <w:pPr>
      <w:jc w:val="both"/>
    </w:pPr>
    <w:rPr>
      <w:rFonts w:ascii="宋体" w:hAnsi="宋体" w:eastAsia="宋体" w:cs="Times New Roman"/>
      <w:kern w:val="2"/>
      <w:sz w:val="18"/>
      <w:szCs w:val="21"/>
      <w:lang w:val="en-US" w:eastAsia="zh-CN" w:bidi="ar-SA"/>
    </w:rPr>
  </w:style>
  <w:style w:type="character" w:customStyle="1" w:styleId="188">
    <w:name w:val="样式 首行缩进:  2 字符 Char Char Char"/>
    <w:qFormat/>
    <w:uiPriority w:val="0"/>
    <w:rPr>
      <w:rFonts w:eastAsia="宋体"/>
      <w:kern w:val="2"/>
      <w:sz w:val="24"/>
      <w:lang w:val="en-US" w:eastAsia="zh-CN"/>
    </w:rPr>
  </w:style>
  <w:style w:type="character" w:customStyle="1" w:styleId="189">
    <w:name w:val="Intense Quote Char1"/>
    <w:basedOn w:val="65"/>
    <w:link w:val="190"/>
    <w:qFormat/>
    <w:uiPriority w:val="0"/>
    <w:rPr>
      <w:rFonts w:ascii="Times New Roman" w:hAnsi="Times New Roman"/>
      <w:b/>
      <w:bCs/>
      <w:i/>
      <w:iCs/>
      <w:color w:val="4F81BD"/>
      <w:kern w:val="2"/>
      <w:sz w:val="21"/>
    </w:rPr>
  </w:style>
  <w:style w:type="paragraph" w:customStyle="1" w:styleId="190">
    <w:name w:val="明显引用1"/>
    <w:basedOn w:val="1"/>
    <w:next w:val="1"/>
    <w:link w:val="189"/>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1">
    <w:name w:val="Char Char20"/>
    <w:qFormat/>
    <w:uiPriority w:val="0"/>
    <w:rPr>
      <w:rFonts w:ascii="Arial" w:hAnsi="Arial" w:eastAsia="黑体"/>
      <w:kern w:val="2"/>
      <w:sz w:val="21"/>
    </w:rPr>
  </w:style>
  <w:style w:type="character" w:customStyle="1" w:styleId="192">
    <w:name w:val="No Spacing Char Char"/>
    <w:link w:val="193"/>
    <w:qFormat/>
    <w:uiPriority w:val="0"/>
    <w:rPr>
      <w:rFonts w:eastAsia="微软雅黑"/>
      <w:kern w:val="2"/>
      <w:sz w:val="24"/>
      <w:szCs w:val="22"/>
      <w:lang w:val="en-US" w:eastAsia="zh-CN" w:bidi="ar-SA"/>
    </w:rPr>
  </w:style>
  <w:style w:type="paragraph" w:customStyle="1" w:styleId="193">
    <w:name w:val="无间隔2"/>
    <w:link w:val="192"/>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4">
    <w:name w:val="小四 段落 宋体 Char Char Char Char Char Char"/>
    <w:qFormat/>
    <w:uiPriority w:val="0"/>
    <w:rPr>
      <w:rFonts w:eastAsia="宋体"/>
      <w:kern w:val="2"/>
      <w:sz w:val="24"/>
      <w:lang w:val="en-US" w:eastAsia="zh-CN"/>
    </w:rPr>
  </w:style>
  <w:style w:type="character" w:customStyle="1" w:styleId="195">
    <w:name w:val="3zw"/>
    <w:basedOn w:val="65"/>
    <w:qFormat/>
    <w:uiPriority w:val="0"/>
    <w:rPr>
      <w:rFonts w:cs="Times New Roman"/>
    </w:rPr>
  </w:style>
  <w:style w:type="character" w:customStyle="1" w:styleId="196">
    <w:name w:val="Intense Quote Char Char"/>
    <w:qFormat/>
    <w:uiPriority w:val="0"/>
    <w:rPr>
      <w:rFonts w:ascii="Calibri" w:hAnsi="Calibri"/>
      <w:b/>
      <w:i/>
      <w:sz w:val="22"/>
      <w:lang w:eastAsia="en-US"/>
    </w:rPr>
  </w:style>
  <w:style w:type="character" w:customStyle="1" w:styleId="197">
    <w:name w:val="Body Text Indent 3 Char"/>
    <w:qFormat/>
    <w:uiPriority w:val="0"/>
    <w:rPr>
      <w:rFonts w:ascii="Arial" w:hAnsi="Arial" w:eastAsia="仿宋_GB2312"/>
      <w:color w:val="FFFF00"/>
      <w:sz w:val="32"/>
    </w:rPr>
  </w:style>
  <w:style w:type="character" w:customStyle="1" w:styleId="198">
    <w:name w:val="A2"/>
    <w:qFormat/>
    <w:uiPriority w:val="0"/>
    <w:rPr>
      <w:color w:val="000000"/>
      <w:sz w:val="18"/>
    </w:rPr>
  </w:style>
  <w:style w:type="character" w:customStyle="1" w:styleId="199">
    <w:name w:val="标题 1 字符"/>
    <w:basedOn w:val="65"/>
    <w:link w:val="3"/>
    <w:qFormat/>
    <w:uiPriority w:val="0"/>
    <w:rPr>
      <w:rFonts w:ascii="黑体" w:hAnsi="Times New Roman" w:eastAsia="黑体" w:cs="Times New Roman"/>
      <w:b/>
      <w:kern w:val="44"/>
      <w:sz w:val="28"/>
      <w:szCs w:val="28"/>
    </w:rPr>
  </w:style>
  <w:style w:type="character" w:customStyle="1" w:styleId="200">
    <w:name w:val="明显参考1"/>
    <w:basedOn w:val="65"/>
    <w:qFormat/>
    <w:uiPriority w:val="0"/>
    <w:rPr>
      <w:smallCaps/>
      <w:spacing w:val="5"/>
      <w:u w:val="single"/>
    </w:rPr>
  </w:style>
  <w:style w:type="character" w:customStyle="1" w:styleId="201">
    <w:name w:val="称呼 字符"/>
    <w:basedOn w:val="65"/>
    <w:link w:val="22"/>
    <w:qFormat/>
    <w:uiPriority w:val="0"/>
    <w:rPr>
      <w:rFonts w:ascii="仿宋_GB2312" w:hAnsi="Times New Roman" w:eastAsia="仿宋_GB2312" w:cs="Times New Roman"/>
      <w:sz w:val="20"/>
      <w:szCs w:val="20"/>
    </w:rPr>
  </w:style>
  <w:style w:type="character" w:customStyle="1" w:styleId="202">
    <w:name w:val="111111 Char Char"/>
    <w:link w:val="203"/>
    <w:qFormat/>
    <w:uiPriority w:val="0"/>
    <w:rPr>
      <w:rFonts w:ascii="宋体" w:hAnsi="宋体" w:eastAsia="黑体"/>
      <w:b/>
      <w:sz w:val="21"/>
    </w:rPr>
  </w:style>
  <w:style w:type="paragraph" w:customStyle="1" w:styleId="203">
    <w:name w:val="111111"/>
    <w:basedOn w:val="1"/>
    <w:link w:val="202"/>
    <w:qFormat/>
    <w:uiPriority w:val="0"/>
    <w:pPr>
      <w:spacing w:before="120" w:after="120"/>
      <w:jc w:val="center"/>
    </w:pPr>
    <w:rPr>
      <w:rFonts w:ascii="宋体" w:hAnsi="宋体" w:eastAsia="黑体"/>
      <w:b/>
      <w:kern w:val="0"/>
    </w:rPr>
  </w:style>
  <w:style w:type="character" w:customStyle="1" w:styleId="204">
    <w:name w:val="小四 段落 宋体 Char1"/>
    <w:qFormat/>
    <w:uiPriority w:val="0"/>
    <w:rPr>
      <w:rFonts w:eastAsia="宋体"/>
      <w:kern w:val="2"/>
      <w:sz w:val="24"/>
      <w:lang w:val="en-US" w:eastAsia="zh-CN"/>
    </w:rPr>
  </w:style>
  <w:style w:type="character" w:customStyle="1" w:styleId="205">
    <w:name w:val="文档结构图 字符"/>
    <w:basedOn w:val="65"/>
    <w:link w:val="19"/>
    <w:qFormat/>
    <w:uiPriority w:val="0"/>
    <w:rPr>
      <w:rFonts w:ascii="Times New Roman" w:hAnsi="Times New Roman"/>
      <w:kern w:val="2"/>
      <w:sz w:val="16"/>
      <w:szCs w:val="0"/>
    </w:rPr>
  </w:style>
  <w:style w:type="character" w:customStyle="1" w:styleId="206">
    <w:name w:val="title_emph1"/>
    <w:qFormat/>
    <w:uiPriority w:val="0"/>
    <w:rPr>
      <w:rFonts w:ascii="Arial"/>
      <w:b/>
      <w:sz w:val="18"/>
    </w:rPr>
  </w:style>
  <w:style w:type="character" w:customStyle="1" w:styleId="207">
    <w:name w:val="页脚 字符"/>
    <w:basedOn w:val="65"/>
    <w:link w:val="40"/>
    <w:qFormat/>
    <w:uiPriority w:val="0"/>
    <w:rPr>
      <w:rFonts w:cs="Times New Roman"/>
      <w:sz w:val="18"/>
      <w:szCs w:val="18"/>
    </w:rPr>
  </w:style>
  <w:style w:type="character" w:customStyle="1" w:styleId="208">
    <w:name w:val="书籍标题1"/>
    <w:basedOn w:val="65"/>
    <w:qFormat/>
    <w:uiPriority w:val="0"/>
    <w:rPr>
      <w:i/>
      <w:smallCaps/>
      <w:spacing w:val="5"/>
    </w:rPr>
  </w:style>
  <w:style w:type="character" w:customStyle="1" w:styleId="209">
    <w:name w:val="不明显参考1"/>
    <w:basedOn w:val="65"/>
    <w:qFormat/>
    <w:uiPriority w:val="0"/>
    <w:rPr>
      <w:smallCaps/>
    </w:rPr>
  </w:style>
  <w:style w:type="character" w:customStyle="1" w:styleId="210">
    <w:name w:val="样式 首行缩进:  2 字符 Char Char"/>
    <w:link w:val="211"/>
    <w:qFormat/>
    <w:uiPriority w:val="0"/>
    <w:rPr>
      <w:sz w:val="24"/>
    </w:rPr>
  </w:style>
  <w:style w:type="paragraph" w:customStyle="1" w:styleId="211">
    <w:name w:val="样式 首行缩进:  2 字符"/>
    <w:basedOn w:val="1"/>
    <w:link w:val="210"/>
    <w:qFormat/>
    <w:uiPriority w:val="0"/>
    <w:pPr>
      <w:spacing w:line="360" w:lineRule="auto"/>
      <w:ind w:firstLine="480" w:firstLineChars="200"/>
    </w:pPr>
    <w:rPr>
      <w:rFonts w:ascii="Calibri" w:hAnsi="Calibri"/>
      <w:kern w:val="0"/>
      <w:sz w:val="24"/>
    </w:rPr>
  </w:style>
  <w:style w:type="character" w:customStyle="1" w:styleId="212">
    <w:name w:val="标题 3 字符"/>
    <w:basedOn w:val="65"/>
    <w:link w:val="5"/>
    <w:qFormat/>
    <w:uiPriority w:val="0"/>
    <w:rPr>
      <w:rFonts w:ascii="宋体" w:hAnsi="宋体" w:eastAsia="宋体"/>
      <w:b/>
      <w:sz w:val="21"/>
      <w:shd w:val="clear" w:color="auto" w:fill="FFFFFF"/>
    </w:rPr>
  </w:style>
  <w:style w:type="character" w:customStyle="1" w:styleId="213">
    <w:name w:val="Char Char22"/>
    <w:qFormat/>
    <w:uiPriority w:val="0"/>
    <w:rPr>
      <w:b/>
      <w:kern w:val="2"/>
      <w:sz w:val="24"/>
    </w:rPr>
  </w:style>
  <w:style w:type="character" w:customStyle="1" w:styleId="214">
    <w:name w:val="批注框文本 字符"/>
    <w:basedOn w:val="65"/>
    <w:link w:val="39"/>
    <w:qFormat/>
    <w:uiPriority w:val="0"/>
    <w:rPr>
      <w:rFonts w:ascii="Times New Roman" w:hAnsi="Times New Roman" w:eastAsia="宋体" w:cs="Times New Roman"/>
      <w:sz w:val="18"/>
      <w:szCs w:val="18"/>
    </w:rPr>
  </w:style>
  <w:style w:type="character" w:customStyle="1" w:styleId="215">
    <w:name w:val="尾注文本 字符"/>
    <w:basedOn w:val="65"/>
    <w:link w:val="38"/>
    <w:qFormat/>
    <w:uiPriority w:val="0"/>
    <w:rPr>
      <w:rFonts w:ascii="Times New Roman" w:hAnsi="Times New Roman" w:eastAsia="宋体" w:cs="Times New Roman"/>
      <w:kern w:val="0"/>
      <w:sz w:val="24"/>
      <w:szCs w:val="24"/>
    </w:rPr>
  </w:style>
  <w:style w:type="character" w:customStyle="1" w:styleId="216">
    <w:name w:val="point_normal1"/>
    <w:qFormat/>
    <w:uiPriority w:val="0"/>
    <w:rPr>
      <w:rFonts w:ascii="Arial" w:hAnsi="Arial"/>
      <w:sz w:val="18"/>
    </w:rPr>
  </w:style>
  <w:style w:type="character" w:customStyle="1" w:styleId="217">
    <w:name w:val="Char Char26"/>
    <w:qFormat/>
    <w:uiPriority w:val="0"/>
    <w:rPr>
      <w:b/>
      <w:kern w:val="2"/>
      <w:sz w:val="32"/>
    </w:rPr>
  </w:style>
  <w:style w:type="character" w:customStyle="1" w:styleId="218">
    <w:name w:val="Char Char24"/>
    <w:qFormat/>
    <w:uiPriority w:val="0"/>
    <w:rPr>
      <w:b/>
      <w:kern w:val="2"/>
      <w:sz w:val="28"/>
    </w:rPr>
  </w:style>
  <w:style w:type="character" w:customStyle="1" w:styleId="219">
    <w:name w:val="concon"/>
    <w:qFormat/>
    <w:uiPriority w:val="0"/>
  </w:style>
  <w:style w:type="paragraph" w:customStyle="1" w:styleId="220">
    <w:name w:val="标准文本"/>
    <w:basedOn w:val="1"/>
    <w:qFormat/>
    <w:uiPriority w:val="0"/>
    <w:pPr>
      <w:spacing w:line="360" w:lineRule="auto"/>
      <w:ind w:firstLine="480" w:firstLineChars="200"/>
    </w:pPr>
    <w:rPr>
      <w:rFonts w:cs="宋体"/>
      <w:sz w:val="24"/>
      <w:szCs w:val="24"/>
    </w:rPr>
  </w:style>
  <w:style w:type="paragraph" w:customStyle="1" w:styleId="221">
    <w:name w:val="Char Char Char Char Char Char Char Char Char Char Char Char Char1"/>
    <w:basedOn w:val="1"/>
    <w:qFormat/>
    <w:uiPriority w:val="0"/>
    <w:pPr>
      <w:widowControl/>
      <w:spacing w:after="160" w:line="240" w:lineRule="exact"/>
      <w:jc w:val="left"/>
    </w:pPr>
    <w:rPr>
      <w:szCs w:val="24"/>
    </w:rPr>
  </w:style>
  <w:style w:type="paragraph" w:customStyle="1" w:styleId="222">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23">
    <w:name w:val="flType"/>
    <w:basedOn w:val="224"/>
    <w:qFormat/>
    <w:uiPriority w:val="0"/>
    <w:pPr>
      <w:spacing w:after="284"/>
    </w:pPr>
    <w:rPr>
      <w:rFonts w:eastAsia="宋体"/>
      <w:b w:val="0"/>
    </w:rPr>
  </w:style>
  <w:style w:type="paragraph" w:customStyle="1" w:styleId="224">
    <w:name w:val="flName"/>
    <w:basedOn w:val="225"/>
    <w:qFormat/>
    <w:uiPriority w:val="0"/>
    <w:pPr>
      <w:spacing w:before="0" w:line="113" w:lineRule="atLeast"/>
    </w:pPr>
  </w:style>
  <w:style w:type="paragraph" w:customStyle="1" w:styleId="225">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26">
    <w:name w:val="华宇段落1 Char"/>
    <w:basedOn w:val="1"/>
    <w:qFormat/>
    <w:uiPriority w:val="0"/>
    <w:pPr>
      <w:spacing w:line="360" w:lineRule="auto"/>
      <w:ind w:firstLine="200" w:firstLineChars="200"/>
    </w:pPr>
    <w:rPr>
      <w:bCs/>
      <w:sz w:val="24"/>
      <w:szCs w:val="24"/>
    </w:rPr>
  </w:style>
  <w:style w:type="paragraph" w:customStyle="1" w:styleId="227">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8">
    <w:name w:val="Char Char Char Char Char Char Char Char Char"/>
    <w:basedOn w:val="1"/>
    <w:qFormat/>
    <w:uiPriority w:val="0"/>
    <w:pPr>
      <w:tabs>
        <w:tab w:val="left" w:pos="360"/>
      </w:tabs>
      <w:ind w:left="200" w:hanging="200" w:hangingChars="200"/>
    </w:pPr>
    <w:rPr>
      <w:sz w:val="24"/>
      <w:szCs w:val="24"/>
    </w:rPr>
  </w:style>
  <w:style w:type="paragraph" w:customStyle="1" w:styleId="229">
    <w:name w:val="greytypebeni"/>
    <w:basedOn w:val="1"/>
    <w:qFormat/>
    <w:uiPriority w:val="0"/>
    <w:pPr>
      <w:widowControl/>
      <w:jc w:val="left"/>
    </w:pPr>
    <w:rPr>
      <w:rFonts w:ascii="宋体" w:hAnsi="宋体" w:cs="宋体"/>
      <w:kern w:val="0"/>
      <w:sz w:val="24"/>
      <w:szCs w:val="24"/>
    </w:rPr>
  </w:style>
  <w:style w:type="paragraph" w:customStyle="1" w:styleId="230">
    <w:name w:val="Char Char1 Char Char Char Char1 Char Char Char Char Char Char"/>
    <w:basedOn w:val="1"/>
    <w:qFormat/>
    <w:uiPriority w:val="0"/>
    <w:rPr>
      <w:rFonts w:ascii="Tahoma" w:hAnsi="Tahoma"/>
      <w:sz w:val="24"/>
    </w:rPr>
  </w:style>
  <w:style w:type="paragraph" w:customStyle="1" w:styleId="231">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32">
    <w:name w:val="Char Char1"/>
    <w:basedOn w:val="1"/>
    <w:qFormat/>
    <w:uiPriority w:val="0"/>
    <w:rPr>
      <w:rFonts w:ascii="Tahoma" w:hAnsi="Tahoma" w:cs="Tahoma"/>
      <w:sz w:val="24"/>
    </w:rPr>
  </w:style>
  <w:style w:type="paragraph" w:customStyle="1" w:styleId="233">
    <w:name w:val="小四 段落 宋体 Char Char Char"/>
    <w:basedOn w:val="17"/>
    <w:qFormat/>
    <w:uiPriority w:val="0"/>
    <w:pPr>
      <w:tabs>
        <w:tab w:val="clear" w:pos="2952"/>
      </w:tabs>
      <w:spacing w:line="360" w:lineRule="auto"/>
      <w:ind w:left="0" w:right="-33" w:firstLine="545" w:firstLineChars="227"/>
      <w:jc w:val="left"/>
    </w:pPr>
    <w:rPr>
      <w:sz w:val="24"/>
    </w:rPr>
  </w:style>
  <w:style w:type="paragraph" w:customStyle="1" w:styleId="234">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5">
    <w:name w:val="font13"/>
    <w:basedOn w:val="1"/>
    <w:qFormat/>
    <w:uiPriority w:val="0"/>
    <w:pPr>
      <w:widowControl/>
      <w:spacing w:before="100" w:beforeAutospacing="1" w:after="100" w:afterAutospacing="1"/>
      <w:jc w:val="left"/>
    </w:pPr>
    <w:rPr>
      <w:i/>
      <w:iCs/>
      <w:kern w:val="0"/>
      <w:sz w:val="36"/>
      <w:szCs w:val="36"/>
    </w:rPr>
  </w:style>
  <w:style w:type="paragraph" w:customStyle="1" w:styleId="236">
    <w:name w:val="中等深浅网格 1 - 强调文字颜色 21"/>
    <w:basedOn w:val="1"/>
    <w:qFormat/>
    <w:uiPriority w:val="0"/>
    <w:pPr>
      <w:ind w:firstLine="420" w:firstLineChars="200"/>
    </w:pPr>
    <w:rPr>
      <w:rFonts w:ascii="Calibri" w:hAnsi="Calibri"/>
      <w:szCs w:val="22"/>
    </w:rPr>
  </w:style>
  <w:style w:type="paragraph" w:customStyle="1" w:styleId="237">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9">
    <w:name w:val="默认段落字体 Para Char Char Char Char Char Char Char Char Char1 Char Char Char Char Char Char Char"/>
    <w:basedOn w:val="19"/>
    <w:qFormat/>
    <w:uiPriority w:val="0"/>
  </w:style>
  <w:style w:type="paragraph" w:customStyle="1" w:styleId="240">
    <w:name w:val="样式 样式 首行缩进:  2 字符 + 行距: 1.5 倍行距"/>
    <w:basedOn w:val="1"/>
    <w:qFormat/>
    <w:uiPriority w:val="0"/>
    <w:pPr>
      <w:spacing w:line="360" w:lineRule="auto"/>
      <w:ind w:firstLine="470" w:firstLineChars="196"/>
    </w:pPr>
    <w:rPr>
      <w:sz w:val="24"/>
    </w:rPr>
  </w:style>
  <w:style w:type="paragraph" w:customStyle="1" w:styleId="241">
    <w:name w:val="正文11"/>
    <w:basedOn w:val="1"/>
    <w:next w:val="1"/>
    <w:qFormat/>
    <w:uiPriority w:val="0"/>
    <w:pPr>
      <w:spacing w:before="156" w:line="360" w:lineRule="auto"/>
      <w:ind w:firstLine="510" w:firstLineChars="200"/>
    </w:pPr>
    <w:rPr>
      <w:sz w:val="24"/>
    </w:rPr>
  </w:style>
  <w:style w:type="paragraph" w:customStyle="1" w:styleId="242">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3">
    <w:name w:val="Char Char11"/>
    <w:basedOn w:val="1"/>
    <w:qFormat/>
    <w:uiPriority w:val="0"/>
    <w:rPr>
      <w:rFonts w:ascii="Tahoma" w:hAnsi="Tahoma"/>
      <w:sz w:val="24"/>
    </w:rPr>
  </w:style>
  <w:style w:type="paragraph" w:customStyle="1" w:styleId="244">
    <w:name w:val="丁华正文"/>
    <w:basedOn w:val="50"/>
    <w:qFormat/>
    <w:uiPriority w:val="0"/>
    <w:pPr>
      <w:adjustRightInd w:val="0"/>
      <w:snapToGrid w:val="0"/>
      <w:spacing w:line="360" w:lineRule="auto"/>
      <w:ind w:left="0" w:firstLine="510"/>
    </w:pPr>
    <w:rPr>
      <w:sz w:val="24"/>
    </w:rPr>
  </w:style>
  <w:style w:type="paragraph" w:customStyle="1" w:styleId="245">
    <w:name w:val="正文 居中"/>
    <w:basedOn w:val="1"/>
    <w:qFormat/>
    <w:uiPriority w:val="0"/>
    <w:pPr>
      <w:spacing w:line="360" w:lineRule="auto"/>
      <w:jc w:val="center"/>
    </w:pPr>
    <w:rPr>
      <w:sz w:val="24"/>
    </w:rPr>
  </w:style>
  <w:style w:type="paragraph" w:customStyle="1" w:styleId="246">
    <w:name w:val="Char Char3"/>
    <w:basedOn w:val="1"/>
    <w:qFormat/>
    <w:uiPriority w:val="0"/>
    <w:rPr>
      <w:rFonts w:ascii="Tahoma" w:hAnsi="Tahoma" w:cs="Tahoma"/>
      <w:sz w:val="24"/>
    </w:rPr>
  </w:style>
  <w:style w:type="paragraph" w:customStyle="1" w:styleId="247">
    <w:name w:val="Char Char Char Char Char"/>
    <w:basedOn w:val="1"/>
    <w:qFormat/>
    <w:uiPriority w:val="0"/>
    <w:rPr>
      <w:rFonts w:ascii="Tahoma" w:hAnsi="Tahoma"/>
      <w:sz w:val="24"/>
    </w:rPr>
  </w:style>
  <w:style w:type="paragraph" w:customStyle="1" w:styleId="248">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9">
    <w:name w:val="Char Char1 Char Char Char Char Char Char Char"/>
    <w:basedOn w:val="1"/>
    <w:qFormat/>
    <w:uiPriority w:val="0"/>
    <w:rPr>
      <w:rFonts w:ascii="Tahoma" w:hAnsi="Tahoma" w:cs="Tahoma"/>
      <w:sz w:val="24"/>
    </w:rPr>
  </w:style>
  <w:style w:type="paragraph" w:customStyle="1" w:styleId="250">
    <w:name w:val="样式"/>
    <w:basedOn w:val="1"/>
    <w:qFormat/>
    <w:uiPriority w:val="0"/>
    <w:pPr>
      <w:autoSpaceDE w:val="0"/>
      <w:autoSpaceDN w:val="0"/>
      <w:snapToGrid w:val="0"/>
      <w:spacing w:before="120" w:after="120" w:line="360" w:lineRule="auto"/>
    </w:pPr>
    <w:rPr>
      <w:rFonts w:ascii="宋体"/>
      <w:sz w:val="24"/>
    </w:rPr>
  </w:style>
  <w:style w:type="paragraph" w:customStyle="1" w:styleId="251">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2">
    <w:name w:val="Char Char1 Char Char Char Char"/>
    <w:basedOn w:val="19"/>
    <w:qFormat/>
    <w:uiPriority w:val="0"/>
    <w:pPr>
      <w:adjustRightInd w:val="0"/>
      <w:spacing w:line="436" w:lineRule="exact"/>
      <w:ind w:left="357"/>
      <w:jc w:val="left"/>
      <w:outlineLvl w:val="3"/>
    </w:pPr>
    <w:rPr>
      <w:rFonts w:ascii="Tahoma" w:hAnsi="Tahoma" w:cs="Tahoma"/>
      <w:b/>
      <w:sz w:val="24"/>
      <w:szCs w:val="24"/>
    </w:rPr>
  </w:style>
  <w:style w:type="paragraph" w:customStyle="1" w:styleId="253">
    <w:name w:val="标准小四"/>
    <w:basedOn w:val="1"/>
    <w:qFormat/>
    <w:uiPriority w:val="0"/>
    <w:pPr>
      <w:spacing w:line="360" w:lineRule="auto"/>
      <w:ind w:firstLine="480" w:firstLineChars="200"/>
    </w:pPr>
    <w:rPr>
      <w:rFonts w:ascii="Arial" w:hAnsi="Arial"/>
      <w:sz w:val="24"/>
      <w:szCs w:val="21"/>
    </w:rPr>
  </w:style>
  <w:style w:type="paragraph" w:customStyle="1" w:styleId="25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5">
    <w:name w:val="Char Char Char Char Char Char Char1"/>
    <w:basedOn w:val="1"/>
    <w:qFormat/>
    <w:uiPriority w:val="0"/>
    <w:rPr>
      <w:rFonts w:ascii="Tahoma" w:hAnsi="Tahoma"/>
      <w:sz w:val="24"/>
    </w:rPr>
  </w:style>
  <w:style w:type="paragraph" w:customStyle="1" w:styleId="25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9">
    <w:name w:val="默认段落字体 Para Char"/>
    <w:basedOn w:val="1"/>
    <w:qFormat/>
    <w:uiPriority w:val="0"/>
    <w:rPr>
      <w:sz w:val="24"/>
      <w:szCs w:val="24"/>
    </w:rPr>
  </w:style>
  <w:style w:type="paragraph" w:customStyle="1" w:styleId="260">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61">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2">
    <w:name w:val="标题1，章节第一层"/>
    <w:basedOn w:val="263"/>
    <w:next w:val="263"/>
    <w:qFormat/>
    <w:uiPriority w:val="0"/>
    <w:pPr>
      <w:tabs>
        <w:tab w:val="left" w:pos="693"/>
      </w:tabs>
      <w:ind w:left="482"/>
      <w:outlineLvl w:val="0"/>
    </w:pPr>
    <w:rPr>
      <w:color w:val="000000"/>
      <w:sz w:val="24"/>
      <w:szCs w:val="24"/>
    </w:rPr>
  </w:style>
  <w:style w:type="paragraph" w:customStyle="1" w:styleId="263">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4">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65">
    <w:name w:val="正文表标题"/>
    <w:next w:val="257"/>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6">
    <w:name w:val="默认段落字体 Para Char Char Char Char Char Char Char"/>
    <w:basedOn w:val="1"/>
    <w:qFormat/>
    <w:uiPriority w:val="0"/>
  </w:style>
  <w:style w:type="paragraph" w:customStyle="1" w:styleId="267">
    <w:name w:val="Char Char Char1"/>
    <w:basedOn w:val="19"/>
    <w:qFormat/>
    <w:uiPriority w:val="0"/>
    <w:pPr>
      <w:spacing w:line="436" w:lineRule="exact"/>
    </w:pPr>
    <w:rPr>
      <w:szCs w:val="24"/>
    </w:rPr>
  </w:style>
  <w:style w:type="paragraph" w:customStyle="1" w:styleId="268">
    <w:name w:val="表格1"/>
    <w:basedOn w:val="1"/>
    <w:qFormat/>
    <w:uiPriority w:val="0"/>
    <w:pPr>
      <w:adjustRightInd w:val="0"/>
      <w:textAlignment w:val="baseline"/>
    </w:pPr>
    <w:rPr>
      <w:rFonts w:ascii="宋体"/>
      <w:kern w:val="24"/>
      <w:szCs w:val="21"/>
    </w:rPr>
  </w:style>
  <w:style w:type="paragraph" w:customStyle="1" w:styleId="269">
    <w:name w:val="项目符号：一级"/>
    <w:basedOn w:val="263"/>
    <w:next w:val="263"/>
    <w:qFormat/>
    <w:uiPriority w:val="0"/>
    <w:pPr>
      <w:ind w:right="-134" w:rightChars="-64"/>
    </w:pPr>
    <w:rPr>
      <w:bCs w:val="0"/>
    </w:rPr>
  </w:style>
  <w:style w:type="paragraph" w:customStyle="1" w:styleId="27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71">
    <w:name w:val="Char1 Char Char Char1"/>
    <w:basedOn w:val="1"/>
    <w:qFormat/>
    <w:uiPriority w:val="0"/>
    <w:rPr>
      <w:rFonts w:ascii="Tahoma" w:hAnsi="Tahoma" w:cs="Tahoma"/>
      <w:sz w:val="24"/>
    </w:rPr>
  </w:style>
  <w:style w:type="paragraph" w:customStyle="1" w:styleId="272">
    <w:name w:val="样式 标题 2第一章 标题 2Heading 2 HiddenHeading 2 CCBSheading 2H2h2..."/>
    <w:basedOn w:val="4"/>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3">
    <w:name w:val="正文文本缩进1"/>
    <w:basedOn w:val="1"/>
    <w:qFormat/>
    <w:uiPriority w:val="0"/>
    <w:pPr>
      <w:spacing w:after="120"/>
      <w:ind w:left="420" w:leftChars="200"/>
    </w:pPr>
    <w:rPr>
      <w:szCs w:val="24"/>
    </w:rPr>
  </w:style>
  <w:style w:type="paragraph" w:customStyle="1" w:styleId="274">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5">
    <w:name w:val="表格"/>
    <w:basedOn w:val="1"/>
    <w:qFormat/>
    <w:uiPriority w:val="0"/>
    <w:pPr>
      <w:snapToGrid w:val="0"/>
      <w:ind w:firstLine="21" w:firstLineChars="21"/>
    </w:pPr>
    <w:rPr>
      <w:rFonts w:ascii="宋体" w:hAnsi="宋体" w:cs="宋体"/>
      <w:kern w:val="0"/>
      <w:sz w:val="20"/>
    </w:rPr>
  </w:style>
  <w:style w:type="paragraph" w:customStyle="1" w:styleId="276">
    <w:name w:val="Char Char Char Char Char Char Char"/>
    <w:basedOn w:val="1"/>
    <w:qFormat/>
    <w:uiPriority w:val="0"/>
    <w:pPr>
      <w:jc w:val="left"/>
    </w:pPr>
    <w:rPr>
      <w:rFonts w:ascii="Tahoma" w:hAnsi="Tahoma"/>
      <w:sz w:val="24"/>
    </w:rPr>
  </w:style>
  <w:style w:type="paragraph" w:customStyle="1" w:styleId="27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8">
    <w:name w:val="表格内文字"/>
    <w:basedOn w:val="1"/>
    <w:qFormat/>
    <w:uiPriority w:val="0"/>
    <w:pPr>
      <w:spacing w:line="300" w:lineRule="atLeast"/>
    </w:pPr>
    <w:rPr>
      <w:sz w:val="18"/>
      <w:szCs w:val="24"/>
    </w:rPr>
  </w:style>
  <w:style w:type="paragraph" w:customStyle="1" w:styleId="279">
    <w:name w:val="样式3"/>
    <w:basedOn w:val="1"/>
    <w:next w:val="1"/>
    <w:qFormat/>
    <w:uiPriority w:val="0"/>
    <w:pPr>
      <w:spacing w:line="360" w:lineRule="auto"/>
    </w:pPr>
  </w:style>
  <w:style w:type="paragraph" w:customStyle="1" w:styleId="280">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81">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2">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3">
    <w:name w:val="符号与编号 Char"/>
    <w:basedOn w:val="1"/>
    <w:qFormat/>
    <w:uiPriority w:val="0"/>
    <w:pPr>
      <w:tabs>
        <w:tab w:val="left" w:pos="720"/>
      </w:tabs>
      <w:spacing w:afterLines="50" w:line="400" w:lineRule="atLeast"/>
      <w:ind w:left="720"/>
    </w:pPr>
    <w:rPr>
      <w:sz w:val="24"/>
      <w:szCs w:val="24"/>
    </w:rPr>
  </w:style>
  <w:style w:type="paragraph" w:customStyle="1" w:styleId="284">
    <w:name w:val="正文2"/>
    <w:basedOn w:val="1"/>
    <w:qFormat/>
    <w:uiPriority w:val="0"/>
    <w:pPr>
      <w:spacing w:before="156" w:line="360" w:lineRule="auto"/>
      <w:ind w:firstLine="510" w:firstLineChars="200"/>
    </w:pPr>
    <w:rPr>
      <w:sz w:val="24"/>
    </w:rPr>
  </w:style>
  <w:style w:type="paragraph" w:customStyle="1" w:styleId="285">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86">
    <w:name w:val="章标题"/>
    <w:next w:val="257"/>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7">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88">
    <w:name w:val="Char1"/>
    <w:basedOn w:val="1"/>
    <w:qFormat/>
    <w:uiPriority w:val="0"/>
    <w:rPr>
      <w:rFonts w:ascii="仿宋_GB2312" w:hAnsi="宋体" w:eastAsia="仿宋_GB2312" w:cs="宋体"/>
      <w:b/>
      <w:sz w:val="32"/>
      <w:szCs w:val="32"/>
    </w:rPr>
  </w:style>
  <w:style w:type="paragraph" w:customStyle="1" w:styleId="289">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9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1">
    <w:name w:val="Char Char Char Char Char Char Char Char Char1"/>
    <w:basedOn w:val="1"/>
    <w:qFormat/>
    <w:uiPriority w:val="0"/>
    <w:pPr>
      <w:tabs>
        <w:tab w:val="left" w:pos="360"/>
      </w:tabs>
      <w:ind w:left="360" w:hanging="360" w:hangingChars="200"/>
    </w:pPr>
    <w:rPr>
      <w:sz w:val="24"/>
      <w:szCs w:val="24"/>
    </w:rPr>
  </w:style>
  <w:style w:type="paragraph" w:customStyle="1" w:styleId="292">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3">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4">
    <w:name w:val="标题3，章节第三层"/>
    <w:basedOn w:val="1"/>
    <w:next w:val="263"/>
    <w:qFormat/>
    <w:uiPriority w:val="0"/>
    <w:pPr>
      <w:adjustRightInd w:val="0"/>
      <w:snapToGrid w:val="0"/>
      <w:spacing w:before="78" w:line="300" w:lineRule="auto"/>
      <w:outlineLvl w:val="2"/>
    </w:pPr>
    <w:rPr>
      <w:rFonts w:ascii="Arial" w:hAnsi="Arial" w:eastAsia="华文细黑"/>
      <w:sz w:val="30"/>
      <w:szCs w:val="24"/>
    </w:rPr>
  </w:style>
  <w:style w:type="paragraph" w:customStyle="1" w:styleId="295">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96">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97">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Char Char Char Char Char Char Char Char Char Char Char Char Char Char Char Char Char Char Char Char Char1"/>
    <w:basedOn w:val="1"/>
    <w:qFormat/>
    <w:uiPriority w:val="0"/>
    <w:rPr>
      <w:rFonts w:ascii="Tahoma" w:hAnsi="Tahoma" w:cs="Tahoma"/>
      <w:sz w:val="24"/>
    </w:rPr>
  </w:style>
  <w:style w:type="paragraph" w:customStyle="1" w:styleId="299">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0">
    <w:name w:val="font11"/>
    <w:basedOn w:val="1"/>
    <w:qFormat/>
    <w:uiPriority w:val="0"/>
    <w:pPr>
      <w:widowControl/>
      <w:spacing w:before="100" w:beforeAutospacing="1" w:after="100" w:afterAutospacing="1"/>
      <w:jc w:val="left"/>
    </w:pPr>
    <w:rPr>
      <w:b/>
      <w:bCs/>
      <w:kern w:val="0"/>
      <w:sz w:val="18"/>
      <w:szCs w:val="18"/>
    </w:rPr>
  </w:style>
  <w:style w:type="paragraph" w:customStyle="1" w:styleId="30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2">
    <w:name w:val="标题 4宋体"/>
    <w:basedOn w:val="7"/>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30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6">
    <w:name w:val="普通文字"/>
    <w:basedOn w:val="1"/>
    <w:next w:val="1"/>
    <w:qFormat/>
    <w:uiPriority w:val="0"/>
    <w:rPr>
      <w:rFonts w:ascii="宋体" w:hAnsi="宋体" w:cs="宋体"/>
      <w:kern w:val="0"/>
      <w:sz w:val="24"/>
      <w:u w:color="000000"/>
    </w:rPr>
  </w:style>
  <w:style w:type="paragraph" w:customStyle="1" w:styleId="30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8">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9">
    <w:name w:val="标题3"/>
    <w:basedOn w:val="5"/>
    <w:qFormat/>
    <w:uiPriority w:val="0"/>
    <w:pPr>
      <w:keepNext w:val="0"/>
      <w:keepLines w:val="0"/>
      <w:spacing w:line="360" w:lineRule="auto"/>
    </w:pPr>
    <w:rPr>
      <w:rFonts w:eastAsia="仿宋_GB2312"/>
      <w:b w:val="0"/>
      <w:bCs/>
      <w:sz w:val="30"/>
      <w:szCs w:val="32"/>
    </w:rPr>
  </w:style>
  <w:style w:type="paragraph" w:customStyle="1" w:styleId="310">
    <w:name w:val="retrait3"/>
    <w:basedOn w:val="1"/>
    <w:qFormat/>
    <w:uiPriority w:val="0"/>
    <w:pPr>
      <w:widowControl/>
      <w:spacing w:before="20" w:after="20"/>
      <w:ind w:left="851"/>
      <w:jc w:val="left"/>
    </w:pPr>
    <w:rPr>
      <w:rFonts w:ascii="Arial" w:hAnsi="Arial"/>
      <w:kern w:val="0"/>
      <w:sz w:val="24"/>
      <w:lang w:val="en-GB"/>
    </w:rPr>
  </w:style>
  <w:style w:type="paragraph" w:customStyle="1" w:styleId="311">
    <w:name w:val="项目符号，一级"/>
    <w:basedOn w:val="263"/>
    <w:next w:val="263"/>
    <w:qFormat/>
    <w:uiPriority w:val="0"/>
    <w:pPr>
      <w:tabs>
        <w:tab w:val="left" w:pos="1320"/>
      </w:tabs>
      <w:spacing w:line="240" w:lineRule="atLeast"/>
      <w:ind w:left="376" w:leftChars="179" w:firstLine="0"/>
    </w:pPr>
    <w:rPr>
      <w:bCs w:val="0"/>
      <w:color w:val="000000"/>
      <w:szCs w:val="24"/>
    </w:rPr>
  </w:style>
  <w:style w:type="paragraph" w:customStyle="1" w:styleId="312">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4">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5">
    <w:name w:val="表头_5"/>
    <w:basedOn w:val="1"/>
    <w:qFormat/>
    <w:uiPriority w:val="0"/>
    <w:pPr>
      <w:adjustRightInd w:val="0"/>
      <w:spacing w:line="360" w:lineRule="auto"/>
      <w:textAlignment w:val="baseline"/>
    </w:pPr>
    <w:rPr>
      <w:b/>
      <w:bCs/>
      <w:sz w:val="28"/>
      <w:szCs w:val="21"/>
    </w:rPr>
  </w:style>
  <w:style w:type="paragraph" w:customStyle="1" w:styleId="31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7">
    <w:name w:val="_Style 42"/>
    <w:basedOn w:val="1"/>
    <w:next w:val="24"/>
    <w:qFormat/>
    <w:uiPriority w:val="0"/>
    <w:rPr>
      <w:rFonts w:ascii="楷体_GB2312" w:hAnsi="Arial" w:eastAsia="楷体_GB2312"/>
      <w:sz w:val="28"/>
    </w:rPr>
  </w:style>
  <w:style w:type="paragraph" w:customStyle="1" w:styleId="31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9">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20">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21">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3">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4">
    <w:name w:val="Char Char Char Char Char Char Char Char Char Char Char Char Char"/>
    <w:basedOn w:val="19"/>
    <w:qFormat/>
    <w:uiPriority w:val="0"/>
    <w:rPr>
      <w:rFonts w:ascii="Tahoma" w:hAnsi="Tahoma"/>
      <w:sz w:val="24"/>
      <w:szCs w:val="24"/>
    </w:rPr>
  </w:style>
  <w:style w:type="paragraph" w:customStyle="1" w:styleId="32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6">
    <w:name w:val="段落"/>
    <w:basedOn w:val="1"/>
    <w:qFormat/>
    <w:uiPriority w:val="0"/>
    <w:pPr>
      <w:spacing w:line="460" w:lineRule="exact"/>
      <w:ind w:firstLine="480"/>
    </w:pPr>
    <w:rPr>
      <w:sz w:val="24"/>
    </w:rPr>
  </w:style>
  <w:style w:type="paragraph" w:customStyle="1" w:styleId="327">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28">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9">
    <w:name w:val="7"/>
    <w:basedOn w:val="1"/>
    <w:next w:val="58"/>
    <w:qFormat/>
    <w:uiPriority w:val="0"/>
    <w:pPr>
      <w:widowControl/>
      <w:spacing w:before="100" w:beforeAutospacing="1" w:after="100" w:afterAutospacing="1"/>
      <w:jc w:val="left"/>
    </w:pPr>
    <w:rPr>
      <w:rFonts w:ascii="宋体" w:hAnsi="宋体"/>
      <w:kern w:val="0"/>
      <w:sz w:val="24"/>
    </w:rPr>
  </w:style>
  <w:style w:type="paragraph" w:customStyle="1" w:styleId="330">
    <w:name w:val="font9"/>
    <w:basedOn w:val="1"/>
    <w:qFormat/>
    <w:uiPriority w:val="0"/>
    <w:pPr>
      <w:widowControl/>
      <w:spacing w:before="100" w:beforeAutospacing="1" w:after="100" w:afterAutospacing="1"/>
      <w:jc w:val="left"/>
    </w:pPr>
    <w:rPr>
      <w:b/>
      <w:bCs/>
      <w:kern w:val="0"/>
      <w:sz w:val="20"/>
    </w:rPr>
  </w:style>
  <w:style w:type="paragraph" w:customStyle="1" w:styleId="331">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2">
    <w:name w:val="Char1 Char Char Char"/>
    <w:basedOn w:val="1"/>
    <w:qFormat/>
    <w:uiPriority w:val="0"/>
    <w:rPr>
      <w:rFonts w:ascii="Tahoma" w:hAnsi="Tahoma"/>
      <w:sz w:val="24"/>
    </w:rPr>
  </w:style>
  <w:style w:type="paragraph" w:customStyle="1" w:styleId="333">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34">
    <w:name w:val="样式2"/>
    <w:basedOn w:val="1"/>
    <w:qFormat/>
    <w:uiPriority w:val="0"/>
    <w:pPr>
      <w:spacing w:line="360" w:lineRule="auto"/>
      <w:ind w:left="200" w:leftChars="200"/>
    </w:pPr>
    <w:rPr>
      <w:rFonts w:ascii="宋体" w:hAnsi="宋体"/>
      <w:b/>
      <w:sz w:val="24"/>
      <w:szCs w:val="24"/>
    </w:rPr>
  </w:style>
  <w:style w:type="paragraph" w:customStyle="1" w:styleId="335">
    <w:name w:val="条1"/>
    <w:basedOn w:val="1"/>
    <w:qFormat/>
    <w:uiPriority w:val="0"/>
    <w:pPr>
      <w:tabs>
        <w:tab w:val="left" w:pos="780"/>
      </w:tabs>
      <w:spacing w:before="156" w:line="360" w:lineRule="auto"/>
      <w:ind w:left="780" w:hanging="360"/>
    </w:pPr>
    <w:rPr>
      <w:rFonts w:eastAsia="黑体"/>
      <w:sz w:val="24"/>
    </w:rPr>
  </w:style>
  <w:style w:type="paragraph" w:customStyle="1" w:styleId="336">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7">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38">
    <w:name w:val="样式 加点正文 + 段前: 0.5 行 段后: 0.5 行1"/>
    <w:basedOn w:val="1"/>
    <w:qFormat/>
    <w:uiPriority w:val="0"/>
    <w:pPr>
      <w:numPr>
        <w:ilvl w:val="0"/>
        <w:numId w:val="2"/>
      </w:numPr>
      <w:tabs>
        <w:tab w:val="left" w:pos="1268"/>
      </w:tabs>
      <w:spacing w:beforeLines="50" w:afterLines="50" w:line="300" w:lineRule="auto"/>
      <w:ind w:left="1268"/>
    </w:pPr>
    <w:rPr>
      <w:sz w:val="24"/>
    </w:rPr>
  </w:style>
  <w:style w:type="paragraph" w:customStyle="1" w:styleId="339">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0">
    <w:name w:val="1"/>
    <w:basedOn w:val="1"/>
    <w:next w:val="56"/>
    <w:qFormat/>
    <w:uiPriority w:val="0"/>
    <w:pPr>
      <w:spacing w:line="360" w:lineRule="auto"/>
    </w:pPr>
    <w:rPr>
      <w:rFonts w:eastAsia="仿宋_GB2312"/>
      <w:sz w:val="24"/>
      <w:szCs w:val="24"/>
    </w:rPr>
  </w:style>
  <w:style w:type="paragraph" w:customStyle="1" w:styleId="341">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42">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4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小四 段落 宋体 Char"/>
    <w:basedOn w:val="17"/>
    <w:qFormat/>
    <w:uiPriority w:val="0"/>
    <w:pPr>
      <w:tabs>
        <w:tab w:val="clear" w:pos="2952"/>
      </w:tabs>
      <w:ind w:left="0" w:right="-33" w:firstLine="600" w:firstLineChars="200"/>
      <w:jc w:val="left"/>
    </w:pPr>
    <w:rPr>
      <w:rFonts w:ascii="仿宋_GB2312" w:eastAsia="仿宋_GB2312"/>
      <w:sz w:val="30"/>
      <w:szCs w:val="30"/>
    </w:rPr>
  </w:style>
  <w:style w:type="paragraph" w:customStyle="1" w:styleId="345">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47">
    <w:name w:val="公文正文"/>
    <w:basedOn w:val="26"/>
    <w:qFormat/>
    <w:uiPriority w:val="0"/>
    <w:pPr>
      <w:ind w:firstLine="200" w:firstLineChars="200"/>
    </w:pPr>
    <w:rPr>
      <w:rFonts w:ascii="仿宋_GB2312" w:hAnsi="宋体" w:eastAsia="仿宋_GB2312"/>
      <w:kern w:val="28"/>
      <w:sz w:val="28"/>
      <w:szCs w:val="24"/>
    </w:rPr>
  </w:style>
  <w:style w:type="paragraph" w:customStyle="1" w:styleId="348">
    <w:name w:val="马刚标题4"/>
    <w:basedOn w:val="349"/>
    <w:next w:val="1"/>
    <w:qFormat/>
    <w:uiPriority w:val="0"/>
    <w:pPr>
      <w:tabs>
        <w:tab w:val="left" w:pos="567"/>
        <w:tab w:val="left" w:pos="735"/>
        <w:tab w:val="left" w:pos="1050"/>
      </w:tabs>
      <w:spacing w:before="100" w:after="40"/>
      <w:outlineLvl w:val="3"/>
    </w:pPr>
    <w:rPr>
      <w:b w:val="0"/>
    </w:rPr>
  </w:style>
  <w:style w:type="paragraph" w:customStyle="1" w:styleId="349">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50">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1">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2">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53">
    <w:name w:val="Item Step in Tabl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54">
    <w:name w:val="丁华标题3"/>
    <w:basedOn w:val="355"/>
    <w:next w:val="244"/>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5">
    <w:name w:val="丁华标题2"/>
    <w:basedOn w:val="4"/>
    <w:next w:val="244"/>
    <w:qFormat/>
    <w:uiPriority w:val="0"/>
    <w:pPr>
      <w:numPr>
        <w:ilvl w:val="1"/>
        <w:numId w:val="4"/>
      </w:numPr>
      <w:spacing w:line="413" w:lineRule="auto"/>
    </w:pPr>
    <w:rPr>
      <w:rFonts w:ascii="Arial" w:hAnsi="Arial" w:eastAsia="黑体"/>
      <w:b w:val="0"/>
      <w:sz w:val="28"/>
      <w:szCs w:val="20"/>
    </w:rPr>
  </w:style>
  <w:style w:type="paragraph" w:customStyle="1" w:styleId="356">
    <w:name w:val="修订1"/>
    <w:qFormat/>
    <w:uiPriority w:val="0"/>
    <w:rPr>
      <w:rFonts w:ascii="Times New Roman" w:hAnsi="Times New Roman" w:eastAsia="宋体" w:cs="Times New Roman"/>
      <w:kern w:val="2"/>
      <w:sz w:val="21"/>
      <w:szCs w:val="24"/>
      <w:lang w:val="en-US" w:eastAsia="zh-CN" w:bidi="ar-SA"/>
    </w:rPr>
  </w:style>
  <w:style w:type="paragraph" w:customStyle="1" w:styleId="357">
    <w:name w:val="Char"/>
    <w:basedOn w:val="1"/>
    <w:qFormat/>
    <w:uiPriority w:val="0"/>
    <w:pPr>
      <w:spacing w:afterLines="50" w:line="360" w:lineRule="auto"/>
    </w:pPr>
    <w:rPr>
      <w:rFonts w:ascii="Tahoma" w:hAnsi="Tahoma"/>
      <w:sz w:val="24"/>
    </w:rPr>
  </w:style>
  <w:style w:type="paragraph" w:customStyle="1" w:styleId="358">
    <w:name w:val="项目符号，二级"/>
    <w:basedOn w:val="263"/>
    <w:next w:val="263"/>
    <w:qFormat/>
    <w:uiPriority w:val="0"/>
    <w:pPr>
      <w:numPr>
        <w:ilvl w:val="0"/>
        <w:numId w:val="4"/>
      </w:numPr>
      <w:tabs>
        <w:tab w:val="left" w:pos="1211"/>
        <w:tab w:val="left" w:pos="1337"/>
      </w:tabs>
      <w:ind w:left="1337" w:right="-27" w:firstLine="480"/>
    </w:pPr>
    <w:rPr>
      <w:bCs w:val="0"/>
      <w:color w:val="000000"/>
      <w:sz w:val="24"/>
      <w:szCs w:val="24"/>
    </w:rPr>
  </w:style>
  <w:style w:type="paragraph" w:customStyle="1" w:styleId="359">
    <w:name w:val="_Style 1"/>
    <w:basedOn w:val="1"/>
    <w:qFormat/>
    <w:uiPriority w:val="0"/>
    <w:pPr>
      <w:ind w:firstLine="420" w:firstLineChars="200"/>
    </w:pPr>
    <w:rPr>
      <w:rFonts w:ascii="Calibri" w:hAnsi="Calibri"/>
      <w:szCs w:val="22"/>
    </w:rPr>
  </w:style>
  <w:style w:type="paragraph" w:customStyle="1" w:styleId="360">
    <w:name w:val="Char Char Char Char Char Char Char Char Char Char Char Char Char Char1"/>
    <w:basedOn w:val="1"/>
    <w:qFormat/>
    <w:uiPriority w:val="0"/>
    <w:rPr>
      <w:rFonts w:ascii="Tahoma" w:hAnsi="Tahoma" w:cs="Tahoma"/>
      <w:sz w:val="24"/>
    </w:rPr>
  </w:style>
  <w:style w:type="paragraph" w:customStyle="1" w:styleId="361">
    <w:name w:val="Char Char Char Char Char1"/>
    <w:basedOn w:val="1"/>
    <w:qFormat/>
    <w:uiPriority w:val="0"/>
    <w:rPr>
      <w:rFonts w:ascii="Tahoma" w:hAnsi="Tahoma" w:cs="Tahoma"/>
      <w:sz w:val="24"/>
    </w:rPr>
  </w:style>
  <w:style w:type="paragraph" w:customStyle="1" w:styleId="36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3">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4">
    <w:name w:val="符号与编号"/>
    <w:basedOn w:val="1"/>
    <w:qFormat/>
    <w:uiPriority w:val="0"/>
    <w:pPr>
      <w:tabs>
        <w:tab w:val="left" w:pos="900"/>
      </w:tabs>
      <w:spacing w:afterLines="50" w:line="400" w:lineRule="atLeast"/>
      <w:ind w:left="900" w:hanging="420"/>
    </w:pPr>
    <w:rPr>
      <w:sz w:val="24"/>
      <w:szCs w:val="24"/>
    </w:rPr>
  </w:style>
  <w:style w:type="paragraph" w:customStyle="1" w:styleId="365">
    <w:name w:val="样式1"/>
    <w:basedOn w:val="1"/>
    <w:qFormat/>
    <w:uiPriority w:val="0"/>
    <w:pPr>
      <w:spacing w:line="300" w:lineRule="auto"/>
      <w:ind w:firstLine="480" w:firstLineChars="200"/>
    </w:pPr>
    <w:rPr>
      <w:sz w:val="24"/>
      <w:szCs w:val="24"/>
    </w:rPr>
  </w:style>
  <w:style w:type="paragraph" w:customStyle="1" w:styleId="366">
    <w:name w:val="Bullets L1"/>
    <w:basedOn w:val="1"/>
    <w:qFormat/>
    <w:uiPriority w:val="0"/>
    <w:pPr>
      <w:widowControl/>
      <w:numPr>
        <w:ilvl w:val="0"/>
        <w:numId w:val="5"/>
      </w:numPr>
      <w:spacing w:before="60" w:after="60"/>
      <w:jc w:val="left"/>
    </w:pPr>
    <w:rPr>
      <w:rFonts w:ascii="Arial" w:hAnsi="Arial"/>
      <w:kern w:val="0"/>
      <w:sz w:val="20"/>
    </w:rPr>
  </w:style>
  <w:style w:type="paragraph" w:customStyle="1" w:styleId="367">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9">
    <w:name w:val="正文 首行缩进:  2 字符 Char"/>
    <w:basedOn w:val="1"/>
    <w:qFormat/>
    <w:uiPriority w:val="0"/>
    <w:pPr>
      <w:spacing w:line="360" w:lineRule="auto"/>
      <w:ind w:firstLine="480"/>
    </w:pPr>
    <w:rPr>
      <w:rFonts w:cs="宋体"/>
      <w:sz w:val="24"/>
    </w:rPr>
  </w:style>
  <w:style w:type="paragraph" w:customStyle="1" w:styleId="370">
    <w:name w:val="Char2"/>
    <w:basedOn w:val="1"/>
    <w:qFormat/>
    <w:uiPriority w:val="0"/>
    <w:rPr>
      <w:rFonts w:ascii="Tahoma" w:hAnsi="Tahoma" w:cs="仿宋_GB2312"/>
      <w:sz w:val="24"/>
      <w:szCs w:val="28"/>
    </w:rPr>
  </w:style>
  <w:style w:type="paragraph" w:customStyle="1" w:styleId="371">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72">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73">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74">
    <w:name w:val="论文正文"/>
    <w:basedOn w:val="37"/>
    <w:qFormat/>
    <w:uiPriority w:val="0"/>
    <w:pPr>
      <w:spacing w:line="360" w:lineRule="auto"/>
      <w:ind w:left="0" w:firstLine="200" w:firstLineChars="200"/>
      <w:jc w:val="left"/>
    </w:pPr>
    <w:rPr>
      <w:sz w:val="28"/>
      <w:szCs w:val="24"/>
    </w:rPr>
  </w:style>
  <w:style w:type="paragraph" w:customStyle="1" w:styleId="375">
    <w:name w:val="列出段落3"/>
    <w:basedOn w:val="1"/>
    <w:qFormat/>
    <w:uiPriority w:val="0"/>
    <w:pPr>
      <w:ind w:firstLine="420" w:firstLineChars="200"/>
    </w:pPr>
    <w:rPr>
      <w:szCs w:val="24"/>
    </w:rPr>
  </w:style>
  <w:style w:type="paragraph" w:customStyle="1" w:styleId="376">
    <w:name w:val="丁华标题1"/>
    <w:basedOn w:val="3"/>
    <w:next w:val="244"/>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7">
    <w:name w:val="插图"/>
    <w:basedOn w:val="1"/>
    <w:qFormat/>
    <w:uiPriority w:val="0"/>
    <w:pPr>
      <w:tabs>
        <w:tab w:val="left" w:pos="1620"/>
      </w:tabs>
      <w:adjustRightInd w:val="0"/>
      <w:jc w:val="center"/>
    </w:pPr>
    <w:rPr>
      <w:bCs/>
      <w:color w:val="000000"/>
      <w:szCs w:val="22"/>
    </w:rPr>
  </w:style>
  <w:style w:type="paragraph" w:customStyle="1" w:styleId="378">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80">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81">
    <w:name w:val="标题2，章节第二层"/>
    <w:basedOn w:val="1"/>
    <w:next w:val="263"/>
    <w:qFormat/>
    <w:uiPriority w:val="0"/>
    <w:pPr>
      <w:numPr>
        <w:ilvl w:val="4"/>
        <w:numId w:val="3"/>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2">
    <w:name w:val="样式 标题 3H3sect1.2.3BOD 0Heading 3 - oldh3l3CTLevel 3 Head..."/>
    <w:basedOn w:val="5"/>
    <w:qFormat/>
    <w:uiPriority w:val="0"/>
    <w:pPr>
      <w:spacing w:beforeLines="50" w:afterLines="50"/>
      <w:jc w:val="left"/>
    </w:pPr>
    <w:rPr>
      <w:rFonts w:cs="宋体"/>
      <w:bCs/>
      <w:sz w:val="30"/>
    </w:rPr>
  </w:style>
  <w:style w:type="paragraph" w:customStyle="1" w:styleId="383">
    <w:name w:val="Char Char Char Char Char Char Char Char Char Char Char1"/>
    <w:basedOn w:val="1"/>
    <w:qFormat/>
    <w:uiPriority w:val="0"/>
    <w:rPr>
      <w:rFonts w:ascii="Tahoma" w:hAnsi="Tahoma"/>
      <w:sz w:val="24"/>
    </w:rPr>
  </w:style>
  <w:style w:type="paragraph" w:customStyle="1" w:styleId="384">
    <w:name w:val="tableau"/>
    <w:basedOn w:val="1"/>
    <w:qFormat/>
    <w:uiPriority w:val="0"/>
    <w:pPr>
      <w:widowControl/>
      <w:spacing w:before="20" w:after="20"/>
      <w:jc w:val="center"/>
    </w:pPr>
    <w:rPr>
      <w:rFonts w:ascii="Arial" w:hAnsi="Arial"/>
      <w:kern w:val="0"/>
      <w:sz w:val="16"/>
      <w:lang w:val="en-GB" w:eastAsia="en-US"/>
    </w:rPr>
  </w:style>
  <w:style w:type="paragraph" w:customStyle="1" w:styleId="385">
    <w:name w:val="font14"/>
    <w:basedOn w:val="1"/>
    <w:qFormat/>
    <w:uiPriority w:val="0"/>
    <w:pPr>
      <w:widowControl/>
      <w:spacing w:before="100" w:beforeAutospacing="1" w:after="100" w:afterAutospacing="1"/>
      <w:jc w:val="left"/>
    </w:pPr>
    <w:rPr>
      <w:kern w:val="0"/>
      <w:sz w:val="36"/>
      <w:szCs w:val="36"/>
    </w:rPr>
  </w:style>
  <w:style w:type="paragraph" w:customStyle="1" w:styleId="386">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87">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88">
    <w:name w:val="Test2"/>
    <w:basedOn w:val="4"/>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0">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91">
    <w:name w:val="Char Char Char Char Char Char Char Char Char Char Char Char Char Char Char Char Char Char Char Char Char Char Char"/>
    <w:basedOn w:val="1"/>
    <w:qFormat/>
    <w:uiPriority w:val="0"/>
    <w:rPr>
      <w:rFonts w:ascii="Tahoma" w:hAnsi="Tahoma"/>
      <w:sz w:val="24"/>
    </w:rPr>
  </w:style>
  <w:style w:type="paragraph" w:customStyle="1" w:styleId="392">
    <w:name w:val="Default Text"/>
    <w:basedOn w:val="1"/>
    <w:qFormat/>
    <w:uiPriority w:val="0"/>
    <w:pPr>
      <w:widowControl/>
      <w:jc w:val="left"/>
    </w:pPr>
    <w:rPr>
      <w:kern w:val="0"/>
      <w:sz w:val="24"/>
      <w:lang w:eastAsia="en-US"/>
    </w:rPr>
  </w:style>
  <w:style w:type="paragraph" w:customStyle="1" w:styleId="39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4">
    <w:name w:val="马刚标题1"/>
    <w:basedOn w:val="3"/>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5">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9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二级条标题"/>
    <w:basedOn w:val="1"/>
    <w:next w:val="257"/>
    <w:qFormat/>
    <w:uiPriority w:val="0"/>
    <w:pPr>
      <w:widowControl/>
      <w:tabs>
        <w:tab w:val="left" w:pos="2240"/>
      </w:tabs>
      <w:ind w:hanging="420"/>
      <w:outlineLvl w:val="3"/>
    </w:pPr>
    <w:rPr>
      <w:rFonts w:eastAsia="黑体"/>
      <w:kern w:val="0"/>
    </w:rPr>
  </w:style>
  <w:style w:type="paragraph" w:customStyle="1" w:styleId="398">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9">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400">
    <w:name w:val="TOC 标题1"/>
    <w:basedOn w:val="3"/>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401">
    <w:name w:val="正文 + 宋体"/>
    <w:basedOn w:val="1"/>
    <w:qFormat/>
    <w:uiPriority w:val="0"/>
    <w:pPr>
      <w:spacing w:line="360" w:lineRule="auto"/>
      <w:ind w:firstLine="420" w:firstLineChars="200"/>
    </w:pPr>
    <w:rPr>
      <w:szCs w:val="24"/>
    </w:rPr>
  </w:style>
  <w:style w:type="paragraph" w:customStyle="1" w:styleId="402">
    <w:name w:val="Char Char Char Char Char Char Char Char1"/>
    <w:basedOn w:val="1"/>
    <w:qFormat/>
    <w:uiPriority w:val="0"/>
    <w:rPr>
      <w:rFonts w:ascii="Tahoma" w:hAnsi="Tahoma" w:cs="Tahoma"/>
      <w:sz w:val="24"/>
    </w:rPr>
  </w:style>
  <w:style w:type="paragraph" w:customStyle="1" w:styleId="403">
    <w:name w:val="Char Char Char Char1"/>
    <w:basedOn w:val="19"/>
    <w:qFormat/>
    <w:uiPriority w:val="0"/>
    <w:pPr>
      <w:adjustRightInd w:val="0"/>
      <w:snapToGrid w:val="0"/>
      <w:spacing w:line="360" w:lineRule="auto"/>
    </w:pPr>
    <w:rPr>
      <w:rFonts w:ascii="Tahoma" w:hAnsi="Tahoma"/>
      <w:sz w:val="24"/>
      <w:szCs w:val="24"/>
    </w:rPr>
  </w:style>
  <w:style w:type="paragraph" w:customStyle="1" w:styleId="404">
    <w:name w:val="正文1"/>
    <w:basedOn w:val="1"/>
    <w:qFormat/>
    <w:uiPriority w:val="0"/>
    <w:rPr>
      <w:rFonts w:ascii="Calibri" w:hAnsi="Calibri" w:eastAsia="Times New Roman" w:cs="宋体"/>
      <w:kern w:val="0"/>
      <w:lang w:val="zh-CN"/>
    </w:rPr>
  </w:style>
  <w:style w:type="paragraph" w:customStyle="1" w:styleId="405">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406">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407">
    <w:name w:val="Normal1"/>
    <w:basedOn w:val="1"/>
    <w:qFormat/>
    <w:uiPriority w:val="0"/>
    <w:rPr>
      <w:rFonts w:ascii="Calibri" w:hAnsi="Calibri" w:eastAsia="Times New Roman" w:cs="宋体"/>
      <w:kern w:val="0"/>
      <w:lang w:val="zh-CN"/>
    </w:rPr>
  </w:style>
  <w:style w:type="paragraph" w:customStyle="1" w:styleId="408">
    <w:name w:val="纯文本1"/>
    <w:basedOn w:val="1"/>
    <w:qFormat/>
    <w:uiPriority w:val="0"/>
    <w:pPr>
      <w:adjustRightInd w:val="0"/>
      <w:textAlignment w:val="baseline"/>
    </w:pPr>
    <w:rPr>
      <w:rFonts w:ascii="宋体" w:hAnsi="宋体" w:eastAsia="楷体_GB2312" w:cs="宋体"/>
      <w:sz w:val="28"/>
    </w:rPr>
  </w:style>
  <w:style w:type="paragraph" w:customStyle="1" w:styleId="409">
    <w:name w:val="正文lzq"/>
    <w:basedOn w:val="1"/>
    <w:qFormat/>
    <w:uiPriority w:val="0"/>
    <w:pPr>
      <w:adjustRightInd w:val="0"/>
      <w:spacing w:line="360" w:lineRule="auto"/>
      <w:ind w:firstLine="480"/>
      <w:textAlignment w:val="baseline"/>
    </w:pPr>
    <w:rPr>
      <w:kern w:val="0"/>
      <w:sz w:val="24"/>
    </w:rPr>
  </w:style>
  <w:style w:type="paragraph" w:customStyle="1" w:styleId="410">
    <w:name w:val="列表内容"/>
    <w:basedOn w:val="1"/>
    <w:next w:val="1"/>
    <w:qFormat/>
    <w:uiPriority w:val="0"/>
    <w:pPr>
      <w:widowControl/>
      <w:tabs>
        <w:tab w:val="left" w:pos="840"/>
      </w:tabs>
      <w:ind w:left="840" w:hanging="420"/>
      <w:jc w:val="left"/>
    </w:pPr>
    <w:rPr>
      <w:kern w:val="0"/>
      <w:sz w:val="18"/>
      <w:szCs w:val="24"/>
    </w:rPr>
  </w:style>
  <w:style w:type="paragraph" w:customStyle="1" w:styleId="411">
    <w:name w:val="Char Char Char Char Char Char Char Char Char Char Char Char Char Char Char Char Char Char Char Char Char"/>
    <w:basedOn w:val="1"/>
    <w:qFormat/>
    <w:uiPriority w:val="0"/>
    <w:rPr>
      <w:rFonts w:ascii="Tahoma" w:hAnsi="Tahoma"/>
      <w:sz w:val="24"/>
    </w:rPr>
  </w:style>
  <w:style w:type="paragraph" w:customStyle="1" w:styleId="412">
    <w:name w:val="Char Char Char"/>
    <w:basedOn w:val="1"/>
    <w:qFormat/>
    <w:uiPriority w:val="0"/>
    <w:rPr>
      <w:rFonts w:ascii="Tahoma" w:hAnsi="Tahoma"/>
      <w:sz w:val="24"/>
    </w:rPr>
  </w:style>
  <w:style w:type="paragraph" w:customStyle="1" w:styleId="413">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4">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15">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16">
    <w:name w:val="公文标题 2"/>
    <w:basedOn w:val="1"/>
    <w:next w:val="347"/>
    <w:qFormat/>
    <w:uiPriority w:val="0"/>
    <w:pPr>
      <w:outlineLvl w:val="1"/>
    </w:pPr>
    <w:rPr>
      <w:rFonts w:ascii="仿宋_GB2312" w:hAnsi="宋体" w:eastAsia="仿宋_GB2312"/>
      <w:kern w:val="28"/>
      <w:sz w:val="28"/>
      <w:szCs w:val="24"/>
    </w:rPr>
  </w:style>
  <w:style w:type="paragraph" w:customStyle="1" w:styleId="417">
    <w:name w:val="文档正文"/>
    <w:basedOn w:val="1"/>
    <w:qFormat/>
    <w:uiPriority w:val="0"/>
    <w:pPr>
      <w:spacing w:line="360" w:lineRule="auto"/>
    </w:pPr>
    <w:rPr>
      <w:rFonts w:ascii="宋体" w:hAnsi="宋体"/>
      <w:b/>
      <w:bCs/>
      <w:szCs w:val="24"/>
    </w:rPr>
  </w:style>
  <w:style w:type="paragraph" w:customStyle="1" w:styleId="418">
    <w:name w:val="Char Char Char Char Char Char Char Char Char Char Char"/>
    <w:basedOn w:val="1"/>
    <w:qFormat/>
    <w:uiPriority w:val="0"/>
    <w:rPr>
      <w:rFonts w:ascii="Tahoma" w:hAnsi="Tahoma" w:cs="Tahoma"/>
      <w:sz w:val="24"/>
    </w:rPr>
  </w:style>
  <w:style w:type="paragraph" w:customStyle="1" w:styleId="419">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20">
    <w:name w:val="标题6"/>
    <w:basedOn w:val="8"/>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1">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22">
    <w:name w:val="批注文字 Char1"/>
    <w:basedOn w:val="65"/>
    <w:semiHidden/>
    <w:qFormat/>
    <w:uiPriority w:val="99"/>
    <w:rPr>
      <w:rFonts w:ascii="Times New Roman" w:hAnsi="Times New Roman" w:eastAsia="宋体" w:cs="Times New Roman"/>
      <w:szCs w:val="24"/>
    </w:rPr>
  </w:style>
  <w:style w:type="paragraph" w:styleId="423">
    <w:name w:val="List Paragraph"/>
    <w:basedOn w:val="1"/>
    <w:qFormat/>
    <w:uiPriority w:val="99"/>
    <w:pPr>
      <w:ind w:firstLine="420" w:firstLineChars="200"/>
    </w:pPr>
    <w:rPr>
      <w:szCs w:val="24"/>
    </w:rPr>
  </w:style>
  <w:style w:type="paragraph" w:customStyle="1" w:styleId="424">
    <w:name w:val="Body text|1"/>
    <w:basedOn w:val="1"/>
    <w:qFormat/>
    <w:uiPriority w:val="0"/>
    <w:pPr>
      <w:widowControl w:val="0"/>
      <w:shd w:val="clear" w:color="auto" w:fill="auto"/>
      <w:spacing w:line="422" w:lineRule="auto"/>
      <w:ind w:firstLine="400"/>
    </w:pPr>
    <w:rPr>
      <w:rFonts w:ascii="宋体" w:hAnsi="宋体" w:eastAsia="宋体" w:cs="宋体"/>
      <w:sz w:val="30"/>
      <w:szCs w:val="30"/>
      <w:u w:val="none"/>
      <w:shd w:val="clear" w:color="auto" w:fill="auto"/>
      <w:lang w:val="zh-TW" w:eastAsia="zh-TW" w:bidi="zh-TW"/>
    </w:rPr>
  </w:style>
  <w:style w:type="paragraph" w:customStyle="1" w:styleId="425">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426">
    <w:name w:val="Normal"/>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427">
    <w:name w:val=" Char"/>
    <w:basedOn w:val="1"/>
    <w:next w:val="1"/>
    <w:qFormat/>
    <w:uiPriority w:val="0"/>
    <w:pPr>
      <w:widowControl/>
      <w:spacing w:line="360" w:lineRule="auto"/>
      <w:jc w:val="left"/>
    </w:pPr>
    <w:rPr>
      <w:kern w:val="0"/>
      <w:szCs w:val="20"/>
      <w:lang w:eastAsia="en-US"/>
    </w:rPr>
  </w:style>
  <w:style w:type="character" w:customStyle="1" w:styleId="428">
    <w:name w:val="hover"/>
    <w:basedOn w:val="65"/>
    <w:qFormat/>
    <w:uiPriority w:val="0"/>
  </w:style>
  <w:style w:type="character" w:customStyle="1" w:styleId="429">
    <w:name w:val="hover1"/>
    <w:basedOn w:val="65"/>
    <w:qFormat/>
    <w:uiPriority w:val="0"/>
    <w:rPr>
      <w:color w:val="2590EB"/>
      <w:shd w:val="clear" w:fill="E9F4FD"/>
    </w:rPr>
  </w:style>
  <w:style w:type="character" w:customStyle="1" w:styleId="430">
    <w:name w:val="hover2"/>
    <w:basedOn w:val="65"/>
    <w:qFormat/>
    <w:uiPriority w:val="0"/>
    <w:rPr>
      <w:color w:val="2590EB"/>
    </w:rPr>
  </w:style>
  <w:style w:type="character" w:customStyle="1" w:styleId="431">
    <w:name w:val="hover3"/>
    <w:basedOn w:val="65"/>
    <w:qFormat/>
    <w:uiPriority w:val="0"/>
    <w:rPr>
      <w:color w:val="2590EB"/>
    </w:rPr>
  </w:style>
  <w:style w:type="paragraph" w:customStyle="1" w:styleId="432">
    <w:name w:val=" Char Char1"/>
    <w:basedOn w:val="1"/>
    <w:qFormat/>
    <w:uiPriority w:val="0"/>
  </w:style>
  <w:style w:type="paragraph" w:customStyle="1" w:styleId="433">
    <w:name w:val="正文_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110</Pages>
  <Words>45405</Words>
  <Characters>48229</Characters>
  <Lines>195</Lines>
  <Paragraphs>54</Paragraphs>
  <TotalTime>19</TotalTime>
  <ScaleCrop>false</ScaleCrop>
  <LinksUpToDate>false</LinksUpToDate>
  <CharactersWithSpaces>54614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2018-11-14T11:11:00Z</dcterms:created>
  <dc:creator>Windows 用户</dc:creator>
  <cp:lastModifiedBy>NTKO</cp:lastModifiedBy>
  <cp:lastPrinted>2023-04-19T08:15:00Z</cp:lastPrinted>
  <dcterms:modified xsi:type="dcterms:W3CDTF">2023-04-28T04:06:54Z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2E21AC3128FC4D1B9809C07F8FECD30D</vt:lpwstr>
  </property>
</Properties>
</file>