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2" w:beforeLines="20" w:after="62" w:afterLines="20" w:line="480" w:lineRule="exact"/>
        <w:ind w:firstLine="0" w:firstLineChars="0"/>
        <w:jc w:val="center"/>
        <w:rPr>
          <w:rFonts w:ascii="Arial" w:hAnsi="Arial"/>
          <w:kern w:val="2"/>
          <w:sz w:val="32"/>
          <w:szCs w:val="32"/>
          <w:lang w:val="zh-CN"/>
        </w:rPr>
      </w:pPr>
      <w:r>
        <w:rPr>
          <w:rFonts w:hint="eastAsia" w:ascii="Arial" w:hAnsi="Arial"/>
          <w:kern w:val="2"/>
          <w:sz w:val="32"/>
          <w:szCs w:val="32"/>
          <w:lang w:val="en-US" w:eastAsia="zh-CN"/>
        </w:rPr>
        <w:t>货物</w:t>
      </w:r>
      <w:r>
        <w:rPr>
          <w:rFonts w:hint="eastAsia" w:ascii="Arial" w:hAnsi="Arial"/>
          <w:kern w:val="2"/>
          <w:sz w:val="32"/>
          <w:szCs w:val="32"/>
          <w:lang w:val="zh-CN"/>
        </w:rPr>
        <w:t>需求及技术要求</w:t>
      </w:r>
    </w:p>
    <w:p>
      <w:pPr>
        <w:ind w:firstLine="420"/>
        <w:rPr>
          <w:rFonts w:ascii="宋体" w:hAnsi="宋体"/>
          <w:b/>
          <w:bCs/>
          <w:color w:val="000000"/>
          <w:sz w:val="24"/>
        </w:rPr>
      </w:pPr>
    </w:p>
    <w:p>
      <w:pPr>
        <w:widowControl/>
        <w:spacing w:line="500" w:lineRule="exact"/>
        <w:ind w:firstLine="430"/>
        <w:jc w:val="left"/>
        <w:rPr>
          <w:rFonts w:hint="eastAsia" w:ascii="宋体" w:hAnsi="宋体" w:cs="宋体"/>
          <w:b/>
          <w:bCs/>
          <w:color w:val="000000"/>
          <w:szCs w:val="21"/>
          <w:highlight w:val="none"/>
        </w:rPr>
      </w:pPr>
      <w:r>
        <w:rPr>
          <w:rFonts w:hint="eastAsia" w:ascii="宋体" w:hAnsi="宋体" w:cs="宋体"/>
          <w:b/>
          <w:bCs/>
          <w:color w:val="000000"/>
          <w:szCs w:val="21"/>
          <w:highlight w:val="none"/>
        </w:rPr>
        <w:t>为鼓励不同品牌的充分竞争，如某设备的某技术参数或要求属于个别品牌专有，则该技术参数及要求不具有限制性，供应商可对该参数或要求进行适当调整，但这种调整整体上要优于或相当于磋商文件的相关要求，并说明调整理由，且该调整须经磋商小组审核认可。</w:t>
      </w:r>
    </w:p>
    <w:p>
      <w:pPr>
        <w:pStyle w:val="2"/>
        <w:numPr>
          <w:ilvl w:val="0"/>
          <w:numId w:val="1"/>
        </w:numPr>
        <w:jc w:val="left"/>
        <w:rPr>
          <w:rFonts w:hint="eastAsia" w:cs="宋体"/>
          <w:color w:val="000000"/>
          <w:highlight w:val="none"/>
          <w:lang w:val="en-US" w:eastAsia="zh-CN"/>
        </w:rPr>
      </w:pPr>
      <w:r>
        <w:rPr>
          <w:rFonts w:hint="eastAsia" w:cs="宋体"/>
          <w:color w:val="000000"/>
          <w:highlight w:val="none"/>
          <w:lang w:val="en-US" w:eastAsia="zh-CN"/>
        </w:rPr>
        <w:t>项目概况及参数要求</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lang w:val="en-US" w:eastAsia="zh-CN"/>
        </w:rPr>
      </w:pPr>
      <w:r>
        <w:rPr>
          <w:rFonts w:hint="eastAsia"/>
          <w:lang w:val="en-US" w:eastAsia="zh-CN"/>
        </w:rPr>
        <w:t xml:space="preserve">   博士技能大师工作室建设将改善博士和技能大师的工作环境，为其提供先进的科研和技术传承平台。博士技能大师工作室建设将为现代学徒制育人模式探索提供重要支撑，是遵循技能人才成长规律和探索人才培养的创新平台。充分发挥博士技能大师及其团队在人才培养、技术传授、科技攻关、技艺传承、技术推广等方面的领军作用，构建创新人才培养模式，推进教学模式改革，共建“双师型”教学团队，努力探索高素质技能人才培养培训新途径，打造集教学、研发、技改创新和技能竞赛等功能于一体的“博士技能大师工作室”，为带动、引领，推动植物保护与检疫技术高水平专业群建设和服务于安庆区域经济发展做出积极贡献。</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lang w:val="en-US" w:eastAsia="zh-CN"/>
        </w:rPr>
      </w:pPr>
      <w:r>
        <w:rPr>
          <w:rFonts w:hint="eastAsia"/>
          <w:lang w:val="en-US" w:eastAsia="zh-CN"/>
        </w:rPr>
        <w:t xml:space="preserve">    博士技能大师工作室建设地点位于1号实训楼308和306实训室，总共面积约150平方米。建设工作分为两部分进行，一是工作室的装修与改造，二是急需设备仪器的采购，共计286020元。博士技能大师工作室建设计划清单如下表所示。</w:t>
      </w:r>
    </w:p>
    <w:p>
      <w:pPr>
        <w:jc w:val="center"/>
        <w:rPr>
          <w:rFonts w:hint="eastAsia"/>
          <w:b/>
          <w:bCs/>
          <w:color w:val="000000"/>
          <w:sz w:val="21"/>
          <w:szCs w:val="21"/>
          <w:lang w:val="en-US" w:eastAsia="zh-CN"/>
        </w:rPr>
      </w:pPr>
      <w:r>
        <w:rPr>
          <w:rFonts w:hint="eastAsia" w:cs="Times New Roman"/>
          <w:b/>
          <w:bCs/>
          <w:color w:val="000000"/>
          <w:sz w:val="21"/>
          <w:szCs w:val="21"/>
          <w:lang w:val="en-US" w:eastAsia="zh-CN"/>
        </w:rPr>
        <w:t>安庆职业技术学院农林与服装学院</w:t>
      </w:r>
      <w:r>
        <w:rPr>
          <w:rFonts w:hint="eastAsia" w:ascii="Times New Roman" w:hAnsi="Times New Roman" w:cs="Times New Roman"/>
          <w:b/>
          <w:bCs/>
          <w:color w:val="000000"/>
          <w:sz w:val="21"/>
          <w:szCs w:val="21"/>
          <w:lang w:val="en-US" w:eastAsia="zh-CN"/>
        </w:rPr>
        <w:t>博士技能大师工作室</w:t>
      </w:r>
      <w:r>
        <w:rPr>
          <w:rFonts w:hint="eastAsia" w:cs="Times New Roman"/>
          <w:b/>
          <w:bCs/>
          <w:color w:val="000000"/>
          <w:sz w:val="21"/>
          <w:szCs w:val="21"/>
          <w:lang w:val="en-US" w:eastAsia="zh-CN"/>
        </w:rPr>
        <w:t>建设项目</w:t>
      </w:r>
      <w:r>
        <w:rPr>
          <w:rFonts w:hint="eastAsia" w:ascii="Times New Roman" w:hAnsi="Times New Roman" w:cs="Times New Roman"/>
          <w:b/>
          <w:bCs/>
          <w:color w:val="000000"/>
          <w:sz w:val="21"/>
          <w:szCs w:val="21"/>
          <w:lang w:val="en-US" w:eastAsia="zh-CN"/>
        </w:rPr>
        <w:t>计划</w:t>
      </w:r>
      <w:r>
        <w:rPr>
          <w:rFonts w:hint="eastAsia"/>
          <w:b/>
          <w:bCs/>
          <w:color w:val="000000"/>
          <w:sz w:val="21"/>
          <w:szCs w:val="21"/>
          <w:lang w:val="en-US" w:eastAsia="zh-CN"/>
        </w:rPr>
        <w:t>清单</w:t>
      </w:r>
    </w:p>
    <w:tbl>
      <w:tblPr>
        <w:tblStyle w:val="5"/>
        <w:tblpPr w:leftFromText="180" w:rightFromText="180" w:vertAnchor="text" w:horzAnchor="page" w:tblpX="1905" w:tblpY="492"/>
        <w:tblOverlap w:val="never"/>
        <w:tblW w:w="8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364"/>
        <w:gridCol w:w="5646"/>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设备名称</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参 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立式高压蒸汽灭菌器</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default"/>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容量:40-50升，灭菌腔高度≥70CM，手柄旋转右侧开门，底部带角轮。</w:t>
            </w:r>
            <w:r>
              <w:rPr>
                <w:rFonts w:hint="eastAsia"/>
                <w:highlight w:val="none"/>
                <w:lang w:val="en-US" w:eastAsia="zh-CN"/>
              </w:rPr>
              <w:br w:type="textWrapping"/>
            </w:r>
            <w:r>
              <w:rPr>
                <w:rFonts w:hint="eastAsia"/>
                <w:highlight w:val="none"/>
                <w:lang w:val="en-US" w:eastAsia="zh-CN"/>
              </w:rPr>
              <w:t>2.灭菌腔材料:SUS304不锈钢,</w:t>
            </w:r>
            <w:r>
              <w:rPr>
                <w:rFonts w:hint="eastAsia"/>
                <w:highlight w:val="none"/>
                <w:lang w:val="en-US" w:eastAsia="zh-CN"/>
              </w:rPr>
              <w:br w:type="textWrapping"/>
            </w:r>
            <w:r>
              <w:rPr>
                <w:rFonts w:hint="eastAsia"/>
                <w:highlight w:val="none"/>
                <w:lang w:val="en-US" w:eastAsia="zh-CN"/>
              </w:rPr>
              <w:t xml:space="preserve">3.功率：不小于2600W </w:t>
            </w:r>
            <w:r>
              <w:rPr>
                <w:rFonts w:hint="eastAsia"/>
                <w:highlight w:val="none"/>
                <w:lang w:val="en-US" w:eastAsia="zh-CN"/>
              </w:rPr>
              <w:br w:type="textWrapping"/>
            </w:r>
            <w:r>
              <w:rPr>
                <w:rFonts w:hint="eastAsia"/>
                <w:highlight w:val="none"/>
                <w:lang w:val="en-US" w:eastAsia="zh-CN"/>
              </w:rPr>
              <w:t xml:space="preserve">4.温度范围:可使用灭菌温度≥135℃, </w:t>
            </w:r>
            <w:r>
              <w:rPr>
                <w:rFonts w:hint="eastAsia"/>
                <w:highlight w:val="none"/>
                <w:lang w:val="en-US" w:eastAsia="zh-CN"/>
              </w:rPr>
              <w:br w:type="textWrapping"/>
            </w:r>
            <w:r>
              <w:rPr>
                <w:rFonts w:hint="eastAsia"/>
                <w:highlight w:val="none"/>
                <w:lang w:val="en-US" w:eastAsia="zh-CN"/>
              </w:rPr>
              <w:t>5.时间范围:灭菌时间:1-300分钟；</w:t>
            </w:r>
            <w:r>
              <w:rPr>
                <w:rFonts w:hint="eastAsia"/>
                <w:highlight w:val="none"/>
                <w:lang w:val="en-US" w:eastAsia="zh-CN"/>
              </w:rPr>
              <w:br w:type="textWrapping"/>
            </w:r>
            <w:r>
              <w:rPr>
                <w:rFonts w:hint="eastAsia"/>
                <w:highlight w:val="none"/>
                <w:lang w:val="en-US" w:eastAsia="zh-CN"/>
              </w:rPr>
              <w:t>6.安全阀起跳压力≥0.29MPA；</w:t>
            </w:r>
            <w:r>
              <w:rPr>
                <w:rFonts w:hint="eastAsia"/>
                <w:highlight w:val="none"/>
                <w:lang w:val="en-US" w:eastAsia="zh-CN"/>
              </w:rPr>
              <w:br w:type="textWrapping"/>
            </w:r>
            <w:r>
              <w:rPr>
                <w:rFonts w:hint="eastAsia"/>
                <w:highlight w:val="none"/>
                <w:lang w:val="en-US" w:eastAsia="zh-CN"/>
              </w:rPr>
              <w:t xml:space="preserve">7.压力表显示范围:0-0.4MPa, </w:t>
            </w:r>
            <w:r>
              <w:rPr>
                <w:rFonts w:hint="eastAsia"/>
                <w:highlight w:val="none"/>
                <w:lang w:val="en-US" w:eastAsia="zh-CN"/>
              </w:rPr>
              <w:br w:type="textWrapping"/>
            </w:r>
            <w:r>
              <w:rPr>
                <w:rFonts w:hint="eastAsia" w:ascii="宋体" w:hAnsi="宋体" w:eastAsia="宋体" w:cs="宋体"/>
                <w:sz w:val="24"/>
                <w:highlight w:val="none"/>
              </w:rPr>
              <w:t>★</w:t>
            </w:r>
            <w:r>
              <w:rPr>
                <w:rFonts w:hint="eastAsia"/>
                <w:highlight w:val="none"/>
                <w:lang w:val="en-US" w:eastAsia="zh-CN"/>
              </w:rPr>
              <w:t>8.</w:t>
            </w:r>
            <w:r>
              <w:rPr>
                <w:rFonts w:hint="eastAsia"/>
                <w:b/>
                <w:bCs/>
                <w:highlight w:val="none"/>
                <w:lang w:val="en-US" w:eastAsia="zh-CN"/>
              </w:rPr>
              <w:t>供应商须提供</w:t>
            </w:r>
            <w:r>
              <w:rPr>
                <w:rFonts w:hint="eastAsia"/>
                <w:b/>
                <w:bCs/>
                <w:color w:val="auto"/>
                <w:highlight w:val="none"/>
                <w:lang w:val="en-US" w:eastAsia="zh-CN"/>
              </w:rPr>
              <w:t>压力容器制造许可证复印件或扫描件或影印件并加盖供应商公章。</w:t>
            </w:r>
            <w:r>
              <w:rPr>
                <w:rFonts w:hint="eastAsia"/>
                <w:b/>
                <w:bCs/>
                <w:highlight w:val="none"/>
                <w:lang w:val="en-US" w:eastAsia="zh-CN"/>
              </w:rPr>
              <w:br w:type="textWrapping"/>
            </w:r>
            <w:r>
              <w:rPr>
                <w:rFonts w:hint="eastAsia"/>
                <w:highlight w:val="none"/>
                <w:lang w:val="en-US" w:eastAsia="zh-CN"/>
              </w:rPr>
              <w:t>9．可按选定的灭菌模式，全自动完成灭菌工作。</w:t>
            </w:r>
            <w:r>
              <w:rPr>
                <w:rFonts w:hint="eastAsia"/>
                <w:highlight w:val="none"/>
                <w:lang w:val="en-US" w:eastAsia="zh-CN"/>
              </w:rPr>
              <w:br w:type="textWrapping"/>
            </w:r>
            <w:r>
              <w:rPr>
                <w:rFonts w:hint="eastAsia"/>
                <w:highlight w:val="none"/>
                <w:lang w:val="en-US" w:eastAsia="zh-CN"/>
              </w:rPr>
              <w:t>10. 可针对固体、液体模式灭菌工作。</w:t>
            </w:r>
            <w:r>
              <w:rPr>
                <w:rFonts w:hint="eastAsia"/>
                <w:highlight w:val="none"/>
                <w:lang w:val="en-US" w:eastAsia="zh-CN"/>
              </w:rPr>
              <w:br w:type="textWrapping"/>
            </w:r>
            <w:r>
              <w:rPr>
                <w:rFonts w:hint="eastAsia"/>
                <w:highlight w:val="none"/>
                <w:lang w:val="en-US" w:eastAsia="zh-CN"/>
              </w:rPr>
              <w:t>11. 灭菌温度、灭菌时间、干燥时间分别专屏显示，使操作面板简捷易懂；温度、时间分别由专用键设置，使操作更加简便。</w:t>
            </w:r>
            <w:r>
              <w:rPr>
                <w:rFonts w:hint="eastAsia"/>
                <w:highlight w:val="none"/>
                <w:lang w:val="en-US" w:eastAsia="zh-CN"/>
              </w:rPr>
              <w:br w:type="textWrapping"/>
            </w:r>
            <w:r>
              <w:rPr>
                <w:rFonts w:hint="eastAsia"/>
                <w:highlight w:val="none"/>
                <w:lang w:val="en-US" w:eastAsia="zh-CN"/>
              </w:rPr>
              <w:t>12. 要求所投产品生产商与特种设备（压力容器）实际制造商一致</w:t>
            </w:r>
            <w:r>
              <w:rPr>
                <w:rFonts w:hint="eastAsia"/>
                <w:color w:val="auto"/>
                <w:highlight w:val="none"/>
                <w:lang w:val="en-US" w:eastAsia="zh-CN"/>
              </w:rPr>
              <w:t>。</w:t>
            </w:r>
            <w:r>
              <w:rPr>
                <w:rFonts w:hint="eastAsia"/>
                <w:highlight w:val="none"/>
                <w:lang w:val="en-US" w:eastAsia="zh-CN"/>
              </w:rPr>
              <w:br w:type="textWrapping"/>
            </w:r>
            <w:r>
              <w:rPr>
                <w:rFonts w:hint="eastAsia"/>
                <w:highlight w:val="none"/>
                <w:lang w:val="en-US" w:eastAsia="zh-CN"/>
              </w:rPr>
              <w:t>13. 系统自动监测冷空气的排放情况，确保纯蒸汽的灭菌环境，保证灭菌效果。</w:t>
            </w:r>
            <w:r>
              <w:rPr>
                <w:rFonts w:hint="eastAsia"/>
                <w:highlight w:val="none"/>
                <w:lang w:val="en-US" w:eastAsia="zh-CN"/>
              </w:rPr>
              <w:br w:type="textWrapping"/>
            </w:r>
            <w:r>
              <w:rPr>
                <w:rFonts w:hint="eastAsia"/>
                <w:highlight w:val="none"/>
                <w:lang w:val="en-US" w:eastAsia="zh-CN"/>
              </w:rPr>
              <w:t>14. 闭盖检查系统：系统自动检测腔盖锁紧情况，如腔盖未锁紧，灭菌器无法启动工作。</w:t>
            </w:r>
            <w:r>
              <w:rPr>
                <w:rFonts w:hint="eastAsia"/>
                <w:highlight w:val="none"/>
                <w:lang w:val="en-US" w:eastAsia="zh-CN"/>
              </w:rPr>
              <w:br w:type="textWrapping"/>
            </w:r>
            <w:r>
              <w:rPr>
                <w:rFonts w:hint="eastAsia"/>
                <w:highlight w:val="none"/>
                <w:lang w:val="en-US" w:eastAsia="zh-CN"/>
              </w:rPr>
              <w:t>15. 保温隔热门罩：既美观又防止操作者烫伤。</w:t>
            </w:r>
            <w:r>
              <w:rPr>
                <w:rFonts w:hint="eastAsia"/>
                <w:highlight w:val="none"/>
                <w:lang w:val="en-US" w:eastAsia="zh-CN"/>
              </w:rPr>
              <w:br w:type="textWrapping"/>
            </w:r>
            <w:r>
              <w:rPr>
                <w:rFonts w:hint="eastAsia"/>
                <w:highlight w:val="none"/>
                <w:lang w:val="en-US" w:eastAsia="zh-CN"/>
              </w:rPr>
              <w:t>16.灭菌过程状态LED动态显示，进程一目了然。</w:t>
            </w:r>
            <w:r>
              <w:rPr>
                <w:rFonts w:hint="eastAsia"/>
                <w:highlight w:val="none"/>
                <w:lang w:val="en-US" w:eastAsia="zh-CN"/>
              </w:rPr>
              <w:br w:type="textWrapping"/>
            </w:r>
            <w:r>
              <w:rPr>
                <w:rFonts w:hint="eastAsia"/>
                <w:highlight w:val="none"/>
                <w:lang w:val="en-US" w:eastAsia="zh-CN"/>
              </w:rPr>
              <w:t>17. 故障检测程序，实时监测仪器的正常运行。</w:t>
            </w:r>
            <w:r>
              <w:rPr>
                <w:rFonts w:hint="eastAsia"/>
                <w:highlight w:val="none"/>
                <w:lang w:val="en-US" w:eastAsia="zh-CN"/>
              </w:rPr>
              <w:br w:type="textWrapping"/>
            </w:r>
            <w:r>
              <w:rPr>
                <w:rFonts w:hint="eastAsia"/>
                <w:b w:val="0"/>
                <w:bCs w:val="0"/>
                <w:highlight w:val="none"/>
                <w:lang w:val="en-US" w:eastAsia="zh-CN"/>
              </w:rPr>
              <w:t>18．</w:t>
            </w:r>
            <w:r>
              <w:rPr>
                <w:rFonts w:hint="eastAsia"/>
                <w:highlight w:val="none"/>
                <w:lang w:val="en-US" w:eastAsia="zh-CN"/>
              </w:rPr>
              <w:t>安全装置：压力联锁装置、超温保护系统、干烧保护系。统、过压保护、安全阀、过流、短路保护、闭盖检查系统、漏电保护装置、防烫安全保护、自动故障检测系统。</w:t>
            </w:r>
            <w:r>
              <w:rPr>
                <w:rFonts w:hint="eastAsia"/>
                <w:highlight w:val="none"/>
                <w:lang w:val="en-US" w:eastAsia="zh-CN"/>
              </w:rPr>
              <w:br w:type="textWrapping"/>
            </w:r>
            <w:r>
              <w:rPr>
                <w:rFonts w:hint="eastAsia"/>
                <w:highlight w:val="none"/>
                <w:lang w:val="en-US" w:eastAsia="zh-CN"/>
              </w:rPr>
              <w:t>19.配置：主机1台，不锈钢提篮3个，水位板1个，排水管2条，排气管1条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无人机一体化分析系统</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一、系统要求：</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1、标记功能：可对多光谱或可见光图像自动选取可见光波段进行显示，支持用户任意框选进行目标区域的标记</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2、尺度校正：通过标记参照物的实际尺寸，后续特征提取时将自动折算植被实际形态信息</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3、特征提取：不论是可见光、多光谱都支持一键分析，描绘作物轮廓以便用户查看分割精度</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4、添加模型：对于较复杂的分析场景，PhenoAI air支持添加所有主流框架或产品下的深度学习模型用于分割，包括Pytorch、TensorFlow、Keras、GrowthBrain</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5、生成图表自动保存。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6、根据电脑配置，自动调节占用的cpu核数。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7、提取指标：对于可见光相机，可全/半自动提取分析各小区植被面积、覆盖度、颜色等信息；对于多光谱图像，还可全/半自动提取分析各小区的NDVI等植被指数同时能进行更精准的图像分割。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8、系统功能：对于可见光图像所提取指标不少于60个，包括不限于小区面积、覆盖度、小区纹理、NGRDI 、ExG 、CIVE 、VEG 、ExGR等，多光谱图像所自动提取指标不少于100个指标，包括不限于Red edge(红边)NIR(近红外)、NDVI(归一化植被指数)、GNDVI(绿光归一化差值植被指数)、NDRE(归一化差异红色边缘指数)、OSAVI(优化型土壤调节植被指数）LCI(叶面叶植被指数)、可见光图像特征等。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9、操作方式：傻瓜式操作界面，用户只需点击界面上按钮即可进行分析。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10、支持用户拖拽工具栏，按照使用偏好可放置上、下、左、右四个区域。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11、图像格式：JPEG（可见光成像） + TIFF（多光谱成像）。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12、一键同步输出高清指数图和轮廓标记图</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13、可设置指标提取类型、画图输出、前背景识别和去噪调节增益，支持低空识别和草业模式</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二、硬件要求：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1、尺寸：折叠（不带桨）：长 22</w:t>
            </w:r>
            <w:r>
              <w:rPr>
                <w:rFonts w:hint="eastAsia" w:ascii="宋体" w:hAnsi="宋体" w:cs="宋体"/>
                <w:i w:val="0"/>
                <w:iCs w:val="0"/>
                <w:color w:val="000000"/>
                <w:kern w:val="0"/>
                <w:sz w:val="21"/>
                <w:szCs w:val="21"/>
                <w:highlight w:val="none"/>
                <w:u w:val="none"/>
                <w:lang w:val="en-US" w:eastAsia="zh-CN" w:bidi="ar"/>
              </w:rPr>
              <w:t>0-225</w:t>
            </w:r>
            <w:r>
              <w:rPr>
                <w:rFonts w:hint="eastAsia" w:ascii="宋体" w:hAnsi="宋体" w:eastAsia="宋体" w:cs="宋体"/>
                <w:i w:val="0"/>
                <w:iCs w:val="0"/>
                <w:color w:val="000000"/>
                <w:kern w:val="0"/>
                <w:sz w:val="21"/>
                <w:szCs w:val="21"/>
                <w:highlight w:val="none"/>
                <w:u w:val="none"/>
                <w:lang w:val="en-US" w:eastAsia="zh-CN" w:bidi="ar"/>
              </w:rPr>
              <w:t>毫米，宽</w:t>
            </w:r>
            <w:r>
              <w:rPr>
                <w:rFonts w:hint="eastAsia" w:ascii="宋体" w:hAnsi="宋体" w:cs="宋体"/>
                <w:i w:val="0"/>
                <w:iCs w:val="0"/>
                <w:color w:val="000000"/>
                <w:kern w:val="0"/>
                <w:sz w:val="21"/>
                <w:szCs w:val="21"/>
                <w:highlight w:val="none"/>
                <w:u w:val="none"/>
                <w:lang w:val="en-US" w:eastAsia="zh-CN" w:bidi="ar"/>
              </w:rPr>
              <w:t>95-97</w:t>
            </w:r>
            <w:r>
              <w:rPr>
                <w:rFonts w:hint="eastAsia" w:ascii="宋体" w:hAnsi="宋体" w:eastAsia="宋体" w:cs="宋体"/>
                <w:i w:val="0"/>
                <w:iCs w:val="0"/>
                <w:color w:val="000000"/>
                <w:kern w:val="0"/>
                <w:sz w:val="21"/>
                <w:szCs w:val="21"/>
                <w:highlight w:val="none"/>
                <w:u w:val="none"/>
                <w:lang w:val="en-US" w:eastAsia="zh-CN" w:bidi="ar"/>
              </w:rPr>
              <w:t xml:space="preserve"> 毫米，高</w:t>
            </w:r>
            <w:r>
              <w:rPr>
                <w:rFonts w:hint="eastAsia" w:ascii="宋体" w:hAnsi="宋体" w:cs="宋体"/>
                <w:i w:val="0"/>
                <w:iCs w:val="0"/>
                <w:color w:val="000000"/>
                <w:kern w:val="0"/>
                <w:sz w:val="21"/>
                <w:szCs w:val="21"/>
                <w:highlight w:val="none"/>
                <w:u w:val="none"/>
                <w:lang w:val="en-US" w:eastAsia="zh-CN" w:bidi="ar"/>
              </w:rPr>
              <w:t>120-123</w:t>
            </w:r>
            <w:r>
              <w:rPr>
                <w:rFonts w:hint="eastAsia" w:ascii="宋体" w:hAnsi="宋体" w:eastAsia="宋体" w:cs="宋体"/>
                <w:i w:val="0"/>
                <w:iCs w:val="0"/>
                <w:color w:val="000000"/>
                <w:kern w:val="0"/>
                <w:sz w:val="21"/>
                <w:szCs w:val="21"/>
                <w:highlight w:val="none"/>
                <w:u w:val="none"/>
                <w:lang w:val="en-US" w:eastAsia="zh-CN" w:bidi="ar"/>
              </w:rPr>
              <w:t>毫米；展开（不带桨）：长</w:t>
            </w:r>
            <w:r>
              <w:rPr>
                <w:rFonts w:hint="eastAsia" w:ascii="宋体" w:hAnsi="宋体" w:cs="宋体"/>
                <w:i w:val="0"/>
                <w:iCs w:val="0"/>
                <w:color w:val="000000"/>
                <w:kern w:val="0"/>
                <w:sz w:val="21"/>
                <w:szCs w:val="21"/>
                <w:highlight w:val="none"/>
                <w:u w:val="none"/>
                <w:lang w:val="en-US" w:eastAsia="zh-CN" w:bidi="ar"/>
              </w:rPr>
              <w:t>345-349</w:t>
            </w:r>
            <w:r>
              <w:rPr>
                <w:rFonts w:hint="eastAsia" w:ascii="宋体" w:hAnsi="宋体" w:eastAsia="宋体" w:cs="宋体"/>
                <w:i w:val="0"/>
                <w:iCs w:val="0"/>
                <w:color w:val="000000"/>
                <w:kern w:val="0"/>
                <w:sz w:val="21"/>
                <w:szCs w:val="21"/>
                <w:highlight w:val="none"/>
                <w:u w:val="none"/>
                <w:lang w:val="en-US" w:eastAsia="zh-CN" w:bidi="ar"/>
              </w:rPr>
              <w:t>毫米，宽</w:t>
            </w:r>
            <w:r>
              <w:rPr>
                <w:rFonts w:hint="eastAsia" w:ascii="宋体" w:hAnsi="宋体" w:cs="宋体"/>
                <w:i w:val="0"/>
                <w:iCs w:val="0"/>
                <w:color w:val="000000"/>
                <w:kern w:val="0"/>
                <w:sz w:val="21"/>
                <w:szCs w:val="21"/>
                <w:highlight w:val="none"/>
                <w:u w:val="none"/>
                <w:lang w:val="en-US" w:eastAsia="zh-CN" w:bidi="ar"/>
              </w:rPr>
              <w:t>281-285</w:t>
            </w:r>
            <w:r>
              <w:rPr>
                <w:rFonts w:hint="eastAsia" w:ascii="宋体" w:hAnsi="宋体" w:eastAsia="宋体" w:cs="宋体"/>
                <w:i w:val="0"/>
                <w:iCs w:val="0"/>
                <w:color w:val="000000"/>
                <w:kern w:val="0"/>
                <w:sz w:val="21"/>
                <w:szCs w:val="21"/>
                <w:highlight w:val="none"/>
                <w:u w:val="none"/>
                <w:lang w:val="en-US" w:eastAsia="zh-CN" w:bidi="ar"/>
              </w:rPr>
              <w:t>毫米，高</w:t>
            </w:r>
            <w:r>
              <w:rPr>
                <w:rFonts w:hint="eastAsia" w:ascii="宋体" w:hAnsi="宋体" w:cs="宋体"/>
                <w:i w:val="0"/>
                <w:iCs w:val="0"/>
                <w:color w:val="000000"/>
                <w:kern w:val="0"/>
                <w:sz w:val="21"/>
                <w:szCs w:val="21"/>
                <w:highlight w:val="none"/>
                <w:u w:val="none"/>
                <w:lang w:val="en-US" w:eastAsia="zh-CN" w:bidi="ar"/>
              </w:rPr>
              <w:t>138-140</w:t>
            </w:r>
            <w:r>
              <w:rPr>
                <w:rFonts w:hint="eastAsia" w:ascii="宋体" w:hAnsi="宋体" w:eastAsia="宋体" w:cs="宋体"/>
                <w:i w:val="0"/>
                <w:iCs w:val="0"/>
                <w:color w:val="000000"/>
                <w:kern w:val="0"/>
                <w:sz w:val="21"/>
                <w:szCs w:val="21"/>
                <w:highlight w:val="none"/>
                <w:u w:val="none"/>
                <w:lang w:val="en-US" w:eastAsia="zh-CN" w:bidi="ar"/>
              </w:rPr>
              <w:t>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2、重量：裸机重量（带桨叶和RTK模块）</w:t>
            </w:r>
            <w:r>
              <w:rPr>
                <w:rFonts w:hint="eastAsia" w:ascii="宋体" w:hAnsi="宋体" w:cs="宋体"/>
                <w:i w:val="0"/>
                <w:iCs w:val="0"/>
                <w:color w:val="000000"/>
                <w:kern w:val="0"/>
                <w:sz w:val="21"/>
                <w:szCs w:val="21"/>
                <w:highlight w:val="none"/>
                <w:u w:val="none"/>
                <w:lang w:val="en-US" w:eastAsia="zh-CN" w:bidi="ar"/>
              </w:rPr>
              <w:t>950-953</w:t>
            </w:r>
            <w:r>
              <w:rPr>
                <w:rFonts w:hint="eastAsia" w:ascii="宋体" w:hAnsi="宋体" w:eastAsia="宋体" w:cs="宋体"/>
                <w:i w:val="0"/>
                <w:iCs w:val="0"/>
                <w:color w:val="000000"/>
                <w:kern w:val="0"/>
                <w:sz w:val="21"/>
                <w:szCs w:val="21"/>
                <w:highlight w:val="none"/>
                <w:u w:val="none"/>
                <w:lang w:val="en-US" w:eastAsia="zh-CN" w:bidi="ar"/>
              </w:rPr>
              <w:t>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3、最大起飞重量</w:t>
            </w:r>
            <w:r>
              <w:rPr>
                <w:rFonts w:hint="eastAsia" w:ascii="宋体" w:hAnsi="宋体" w:cs="宋体"/>
                <w:i w:val="0"/>
                <w:iCs w:val="0"/>
                <w:color w:val="000000"/>
                <w:kern w:val="0"/>
                <w:sz w:val="21"/>
                <w:szCs w:val="21"/>
                <w:highlight w:val="none"/>
                <w:u w:val="none"/>
                <w:lang w:val="en-US" w:eastAsia="zh-CN" w:bidi="ar"/>
              </w:rPr>
              <w:t>不少于</w:t>
            </w:r>
            <w:r>
              <w:rPr>
                <w:rFonts w:hint="eastAsia" w:ascii="宋体" w:hAnsi="宋体" w:eastAsia="宋体" w:cs="宋体"/>
                <w:i w:val="0"/>
                <w:iCs w:val="0"/>
                <w:color w:val="000000"/>
                <w:kern w:val="0"/>
                <w:sz w:val="21"/>
                <w:szCs w:val="21"/>
                <w:highlight w:val="none"/>
                <w:u w:val="none"/>
                <w:lang w:val="en-US" w:eastAsia="zh-CN" w:bidi="ar"/>
              </w:rPr>
              <w:t>1050 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4、轴距：对角线380</w:t>
            </w:r>
            <w:r>
              <w:rPr>
                <w:rFonts w:hint="eastAsia" w:ascii="宋体" w:hAnsi="宋体" w:cs="宋体"/>
                <w:i w:val="0"/>
                <w:iCs w:val="0"/>
                <w:color w:val="000000"/>
                <w:kern w:val="0"/>
                <w:sz w:val="21"/>
                <w:szCs w:val="21"/>
                <w:highlight w:val="none"/>
                <w:u w:val="none"/>
                <w:lang w:val="en-US" w:eastAsia="zh-CN" w:bidi="ar"/>
              </w:rPr>
              <w:t>-383</w:t>
            </w:r>
            <w:r>
              <w:rPr>
                <w:rFonts w:hint="eastAsia" w:ascii="宋体" w:hAnsi="宋体" w:eastAsia="宋体" w:cs="宋体"/>
                <w:i w:val="0"/>
                <w:iCs w:val="0"/>
                <w:color w:val="000000"/>
                <w:kern w:val="0"/>
                <w:sz w:val="21"/>
                <w:szCs w:val="21"/>
                <w:highlight w:val="none"/>
                <w:u w:val="none"/>
                <w:lang w:val="en-US" w:eastAsia="zh-CN" w:bidi="ar"/>
              </w:rPr>
              <w:t xml:space="preserve">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5、速度：最大上升速度</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6 米/秒（普通挡）、8 米/秒（运动挡），最大下降速度</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6 米/秒（普通挡）、6 米/秒（运动挡），最大水平飞行速度（海平面附近无风）</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15 米/秒（普通挡），前飞：</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21 米/秒，侧飞：</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 米/秒，后飞：</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19 米/秒（运动挡）；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6、最大飞行海拔高度</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6000 米（空载飞行）；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7、最长飞行时间（无风环境）</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43分钟，最长悬停时间（无风环境）</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37分钟，最大续航里程</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32 公里；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8、最大旋转角速度</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9、可见光影像传感器4/3 CMOS，有效像素</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2000 万；镜头视角：</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84°，等效焦距：</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24 毫米，光圈：f/2.8 至 f/11，对焦点：</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1 米至无穷远；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10、最大照片尺寸</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5280×3956，单张拍摄：</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2000 万像素，定时拍摄：</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2000 万像素，JPEG：0.7/1/2/3/5/7/10/15/20/30/60 秒，JPEG + RAW：3/5/7/10/15/20/30/60 秒，全景拍照：</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2000 万像素（原始素材）；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11、多光谱相机影像传感器：1/2.8 英寸 CMOS，有效像素</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500万，多光谱相机波段：绿(G)：560nm± 16nm;红(R): 650nm± 16nm;红边(RE): 730nm± 16nm;近红外(NIR): 860nm± 26nm;照片格式TIFF；</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12、稳定系统：三轴机械云台，结构设计范围俯仰：-135° 至 45°，横滚：-45° 至 45°，平移：-27° 至 27°；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13、感知系统：全向双目视觉系统，辅以机身底部红外传感器，前视测距范围：0.5 米至 20 米，可探测范围：0.5 米至 200 米，有效避障速度：飞行速度 ≤15 米/秒，视角（FOV）：水平 90°，垂直 103，后视测距范围：0.5 米至 16 米，有效避障速度：飞行速度 ≤12 米/秒，视角（FOV）：水平 90°，垂直 103°；</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三、配套作物表型自动化分析系统1套，要求如下：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★1、适用设备：适用多种成像设备，支持类型不少于5种主流类型，包括不限于扫描仪、数码相机、手机、工业相机、单反相机等</w:t>
            </w:r>
            <w:r>
              <w:rPr>
                <w:rFonts w:hint="eastAsia" w:ascii="宋体" w:hAnsi="宋体" w:eastAsia="宋体" w:cs="宋体"/>
                <w:b/>
                <w:bCs/>
                <w:i w:val="0"/>
                <w:iCs w:val="0"/>
                <w:color w:val="auto"/>
                <w:kern w:val="0"/>
                <w:sz w:val="21"/>
                <w:szCs w:val="21"/>
                <w:highlight w:val="none"/>
                <w:u w:val="none"/>
                <w:lang w:val="en-US" w:eastAsia="zh-CN" w:bidi="ar"/>
              </w:rPr>
              <w:t>（提供彩页并加盖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r>
              <w:rPr>
                <w:rFonts w:hint="eastAsia" w:ascii="宋体" w:hAnsi="宋体" w:eastAsia="宋体" w:cs="宋体"/>
                <w:i w:val="0"/>
                <w:iCs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2、适用范围：适用多尺度组织和器官，支持类型不少于4种主流尺度，包括不限于种子、叶片、花、果实等；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★3、系统功能：涵盖表型提取、模型预测，支持个性化指标的升级扩展，支持海量图像批量分析，支持根据电脑配置自动调节占用的CPU核数速度</w:t>
            </w:r>
            <w:r>
              <w:rPr>
                <w:rFonts w:hint="eastAsia" w:ascii="宋体" w:hAnsi="宋体" w:eastAsia="宋体" w:cs="宋体"/>
                <w:b/>
                <w:bCs/>
                <w:i w:val="0"/>
                <w:iCs w:val="0"/>
                <w:color w:val="auto"/>
                <w:kern w:val="0"/>
                <w:sz w:val="21"/>
                <w:szCs w:val="21"/>
                <w:highlight w:val="none"/>
                <w:u w:val="none"/>
                <w:lang w:val="en-US" w:eastAsia="zh-CN" w:bidi="ar"/>
              </w:rPr>
              <w:t>（提供软件截图证明并加盖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r>
              <w:rPr>
                <w:rFonts w:hint="eastAsia" w:ascii="宋体" w:hAnsi="宋体" w:eastAsia="宋体" w:cs="宋体"/>
                <w:i w:val="0"/>
                <w:iCs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4、操作方式：傻瓜式操作界面，用户只需点击界面上两个按钮即可进行分析；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5、选择方式：支持两种文件选择方式，支持选择文件夹，支持海量图像批量分析，当选择文件夹时支持用户前后翻阅查看；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6、支持用户拖拽工具栏，按照使用偏好可放置上、下、左、右四个区域。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8、图像格式：支持所有主流图像格式，包括不限于JPG、PNG、Tif等；</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★9、提取指标：表型提取功能涵盖三大类型(颜色、纹理、形态)，可提取指标不少于57个，包括不限于R、G、B、H、S、V、L、a、b、dissimilarity、energy、correlation、ASM、entropy、长、宽、面积、周长、圆度、紧凑度等</w:t>
            </w:r>
            <w:r>
              <w:rPr>
                <w:rFonts w:hint="eastAsia" w:ascii="宋体" w:hAnsi="宋体" w:eastAsia="宋体" w:cs="宋体"/>
                <w:b/>
                <w:bCs/>
                <w:i w:val="0"/>
                <w:iCs w:val="0"/>
                <w:color w:val="auto"/>
                <w:kern w:val="0"/>
                <w:sz w:val="21"/>
                <w:szCs w:val="21"/>
                <w:highlight w:val="none"/>
                <w:u w:val="none"/>
                <w:lang w:val="en-US" w:eastAsia="zh-CN" w:bidi="ar"/>
              </w:rPr>
              <w:t>（提供分析结果证明并加盖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10、可视化绘图：该功能支持分析图表自动化存储，并可描出目标轮廓方便用户查看识别精度，以及自动标记目标编号方便用户查看表格数据；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四</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供货时使用单位将查验以上星号关键指标，</w:t>
            </w:r>
            <w:r>
              <w:rPr>
                <w:rFonts w:hint="eastAsia" w:ascii="宋体" w:hAnsi="宋体" w:eastAsia="宋体" w:cs="宋体"/>
                <w:i w:val="0"/>
                <w:iCs w:val="0"/>
                <w:color w:val="000000"/>
                <w:kern w:val="0"/>
                <w:sz w:val="21"/>
                <w:szCs w:val="21"/>
                <w:highlight w:val="none"/>
                <w:u w:val="none"/>
                <w:lang w:val="en-US" w:eastAsia="zh-CN" w:bidi="ar"/>
              </w:rPr>
              <w:t>若经</w:t>
            </w:r>
            <w:r>
              <w:rPr>
                <w:rFonts w:hint="eastAsia" w:ascii="宋体" w:hAnsi="宋体" w:cs="宋体"/>
                <w:i w:val="0"/>
                <w:iCs w:val="0"/>
                <w:color w:val="000000"/>
                <w:kern w:val="0"/>
                <w:sz w:val="21"/>
                <w:szCs w:val="21"/>
                <w:highlight w:val="none"/>
                <w:u w:val="none"/>
                <w:lang w:val="en-US" w:eastAsia="zh-CN" w:bidi="ar"/>
              </w:rPr>
              <w:t>查验</w:t>
            </w:r>
            <w:r>
              <w:rPr>
                <w:rFonts w:hint="eastAsia" w:ascii="宋体" w:hAnsi="宋体" w:eastAsia="宋体" w:cs="宋体"/>
                <w:i w:val="0"/>
                <w:iCs w:val="0"/>
                <w:color w:val="000000"/>
                <w:kern w:val="0"/>
                <w:sz w:val="21"/>
                <w:szCs w:val="21"/>
                <w:highlight w:val="none"/>
                <w:u w:val="none"/>
                <w:lang w:val="en-US" w:eastAsia="zh-CN" w:bidi="ar"/>
              </w:rPr>
              <w:t>不能满足</w:t>
            </w:r>
            <w:r>
              <w:rPr>
                <w:rFonts w:hint="eastAsia" w:ascii="宋体" w:hAnsi="宋体" w:cs="宋体"/>
                <w:i w:val="0"/>
                <w:iCs w:val="0"/>
                <w:color w:val="000000"/>
                <w:kern w:val="0"/>
                <w:sz w:val="21"/>
                <w:szCs w:val="21"/>
                <w:highlight w:val="none"/>
                <w:u w:val="none"/>
                <w:lang w:val="en-US" w:eastAsia="zh-CN" w:bidi="ar"/>
              </w:rPr>
              <w:t>采购需求</w:t>
            </w:r>
            <w:r>
              <w:rPr>
                <w:rFonts w:hint="eastAsia" w:ascii="宋体" w:hAnsi="宋体" w:eastAsia="宋体" w:cs="宋体"/>
                <w:i w:val="0"/>
                <w:iCs w:val="0"/>
                <w:color w:val="000000"/>
                <w:kern w:val="0"/>
                <w:sz w:val="21"/>
                <w:szCs w:val="21"/>
                <w:highlight w:val="none"/>
                <w:u w:val="none"/>
                <w:lang w:val="en-US" w:eastAsia="zh-CN" w:bidi="ar"/>
              </w:rPr>
              <w:t>或</w:t>
            </w:r>
            <w:r>
              <w:rPr>
                <w:rFonts w:hint="eastAsia" w:ascii="宋体" w:hAnsi="宋体" w:cs="宋体"/>
                <w:i w:val="0"/>
                <w:iCs w:val="0"/>
                <w:color w:val="000000"/>
                <w:kern w:val="0"/>
                <w:sz w:val="21"/>
                <w:szCs w:val="21"/>
                <w:highlight w:val="none"/>
                <w:u w:val="none"/>
                <w:lang w:val="en-US" w:eastAsia="zh-CN" w:bidi="ar"/>
              </w:rPr>
              <w:t>与供应商响应</w:t>
            </w:r>
            <w:r>
              <w:rPr>
                <w:rFonts w:hint="eastAsia" w:ascii="宋体" w:hAnsi="宋体" w:eastAsia="宋体" w:cs="宋体"/>
                <w:i w:val="0"/>
                <w:iCs w:val="0"/>
                <w:color w:val="000000"/>
                <w:kern w:val="0"/>
                <w:sz w:val="21"/>
                <w:szCs w:val="21"/>
                <w:highlight w:val="none"/>
                <w:u w:val="none"/>
                <w:lang w:val="en-US" w:eastAsia="zh-CN" w:bidi="ar"/>
              </w:rPr>
              <w:t>文件不符的，则视为虚假响应，采购人将有权与其解除合同，由此引起的一切责任由</w:t>
            </w:r>
            <w:r>
              <w:rPr>
                <w:rFonts w:hint="eastAsia" w:ascii="宋体" w:hAnsi="宋体" w:cs="宋体"/>
                <w:i w:val="0"/>
                <w:iCs w:val="0"/>
                <w:color w:val="000000"/>
                <w:kern w:val="0"/>
                <w:sz w:val="21"/>
                <w:szCs w:val="21"/>
                <w:highlight w:val="none"/>
                <w:u w:val="none"/>
                <w:lang w:val="en-US" w:eastAsia="zh-CN" w:bidi="ar"/>
              </w:rPr>
              <w:t>成交</w:t>
            </w:r>
            <w:r>
              <w:rPr>
                <w:rFonts w:hint="eastAsia" w:ascii="宋体" w:hAnsi="宋体" w:eastAsia="宋体" w:cs="宋体"/>
                <w:i w:val="0"/>
                <w:iCs w:val="0"/>
                <w:color w:val="000000"/>
                <w:kern w:val="0"/>
                <w:sz w:val="21"/>
                <w:szCs w:val="21"/>
                <w:highlight w:val="none"/>
                <w:u w:val="none"/>
                <w:lang w:val="en-US" w:eastAsia="zh-CN" w:bidi="ar"/>
              </w:rPr>
              <w:t>人自行承担。</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教室办公工位</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六人位尺寸3600*120</w:t>
            </w:r>
            <w:r>
              <w:rPr>
                <w:rFonts w:hint="eastAsia" w:ascii="宋体" w:hAnsi="宋体" w:eastAsia="宋体" w:cs="宋体"/>
                <w:b w:val="0"/>
                <w:bCs w:val="0"/>
                <w:i w:val="0"/>
                <w:iCs w:val="0"/>
                <w:color w:val="auto"/>
                <w:kern w:val="0"/>
                <w:sz w:val="21"/>
                <w:szCs w:val="21"/>
                <w:highlight w:val="none"/>
                <w:u w:val="none"/>
                <w:lang w:val="en-US" w:eastAsia="zh-CN" w:bidi="ar"/>
              </w:rPr>
              <w:t>0</w:t>
            </w:r>
            <w:r>
              <w:rPr>
                <w:rFonts w:hint="eastAsia"/>
                <w:b w:val="0"/>
                <w:bCs w:val="0"/>
                <w:highlight w:val="none"/>
                <w:lang w:val="en-US" w:eastAsia="zh-CN"/>
              </w:rPr>
              <w:t>mm</w:t>
            </w:r>
            <w:r>
              <w:rPr>
                <w:rFonts w:hint="eastAsia" w:ascii="宋体" w:hAnsi="宋体" w:eastAsia="宋体" w:cs="宋体"/>
                <w:i w:val="0"/>
                <w:iCs w:val="0"/>
                <w:color w:val="auto"/>
                <w:kern w:val="0"/>
                <w:sz w:val="21"/>
                <w:szCs w:val="21"/>
                <w:highlight w:val="none"/>
                <w:u w:val="none"/>
                <w:lang w:val="en-US" w:eastAsia="zh-CN" w:bidi="ar"/>
              </w:rPr>
              <w:t>（含柜、椅子），采用E1级三聚氰胺环保板，拉手为铝合金拉手，铰链为自动缓冲阻尼铰链，桌面耐磨易擦。配椅子6把。</w:t>
            </w:r>
            <w:r>
              <w:rPr>
                <w:rFonts w:hint="eastAsia" w:ascii="宋体" w:hAnsi="宋体" w:cs="宋体"/>
                <w:i w:val="0"/>
                <w:iCs w:val="0"/>
                <w:color w:val="auto"/>
                <w:kern w:val="0"/>
                <w:sz w:val="21"/>
                <w:szCs w:val="21"/>
                <w:highlight w:val="none"/>
                <w:u w:val="none"/>
                <w:lang w:val="en-US" w:eastAsia="zh-CN" w:bidi="ar"/>
              </w:rPr>
              <w:t>椅子尺寸：</w:t>
            </w:r>
          </w:p>
          <w:p>
            <w:pPr>
              <w:jc w:val="center"/>
              <w:rPr>
                <w:rFonts w:hint="default"/>
                <w:highlight w:val="none"/>
                <w:lang w:val="en-US" w:eastAsia="zh-CN"/>
              </w:rPr>
            </w:pPr>
            <w:r>
              <w:rPr>
                <w:highlight w:val="none"/>
              </w:rPr>
              <w:drawing>
                <wp:inline distT="0" distB="0" distL="114300" distR="114300">
                  <wp:extent cx="1747520" cy="2213610"/>
                  <wp:effectExtent l="0" t="0" r="50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747520" cy="2213610"/>
                          </a:xfrm>
                          <a:prstGeom prst="rect">
                            <a:avLst/>
                          </a:prstGeom>
                          <a:noFill/>
                          <a:ln>
                            <a:noFill/>
                          </a:ln>
                        </pic:spPr>
                      </pic:pic>
                    </a:graphicData>
                  </a:graphic>
                </wp:inline>
              </w:drawing>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实验操作台</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lang w:val="en-US" w:eastAsia="zh-CN" w:bidi="ar"/>
              </w:rPr>
              <w:t>一、</w:t>
            </w:r>
            <w:r>
              <w:rPr>
                <w:rFonts w:hint="eastAsia" w:ascii="宋体" w:hAnsi="宋体" w:eastAsia="宋体" w:cs="宋体"/>
                <w:i w:val="0"/>
                <w:iCs w:val="0"/>
                <w:color w:val="000000"/>
                <w:kern w:val="0"/>
                <w:sz w:val="21"/>
                <w:szCs w:val="21"/>
                <w:highlight w:val="none"/>
                <w:u w:val="none"/>
                <w:lang w:val="en-US" w:eastAsia="zh-CN" w:bidi="ar"/>
              </w:rPr>
              <w:t>规格尺寸：</w:t>
            </w:r>
            <w:r>
              <w:rPr>
                <w:rFonts w:hint="eastAsia"/>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长</w:t>
            </w:r>
            <w:r>
              <w:rPr>
                <w:rFonts w:hint="eastAsia" w:ascii="宋体" w:hAnsi="宋体" w:cs="宋体"/>
                <w:i w:val="0"/>
                <w:iCs w:val="0"/>
                <w:color w:val="000000"/>
                <w:kern w:val="0"/>
                <w:sz w:val="21"/>
                <w:szCs w:val="21"/>
                <w:highlight w:val="none"/>
                <w:u w:val="none"/>
                <w:lang w:val="en-US" w:eastAsia="zh-CN" w:bidi="ar"/>
              </w:rPr>
              <w:t>m）</w:t>
            </w:r>
            <w:r>
              <w:rPr>
                <w:rFonts w:hint="eastAsia" w:ascii="宋体" w:hAnsi="宋体" w:eastAsia="宋体" w:cs="宋体"/>
                <w:i w:val="0"/>
                <w:iCs w:val="0"/>
                <w:color w:val="000000"/>
                <w:kern w:val="0"/>
                <w:sz w:val="21"/>
                <w:szCs w:val="21"/>
                <w:highlight w:val="none"/>
                <w:u w:val="none"/>
                <w:lang w:val="en-US" w:eastAsia="zh-CN" w:bidi="ar"/>
              </w:rPr>
              <w:t>*750（宽mm）*850（高mm）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1、实验台台面要求采用≥12.7mm 实芯理化板，四周加边至≥25.4mm。具有耐腐蚀、耐各种强酸碱和有机溶剂的侵蚀，有韧性、耐冲击、耐高温、防水、抗细菌生长、不含任何有毒物质，无辐射。为保证台面材料质量以及从环保角度保障实验室人员及学生的身体健康，台面材料须符合以下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1.1台面化学性能指标达到“GB/T 17657-20</w:t>
            </w:r>
            <w:r>
              <w:rPr>
                <w:rFonts w:hint="eastAsia" w:ascii="宋体" w:hAnsi="宋体" w:cs="宋体"/>
                <w:i w:val="0"/>
                <w:iCs w:val="0"/>
                <w:color w:val="000000"/>
                <w:kern w:val="0"/>
                <w:sz w:val="21"/>
                <w:szCs w:val="21"/>
                <w:highlight w:val="none"/>
                <w:u w:val="none"/>
                <w:lang w:val="en-US" w:eastAsia="zh-CN" w:bidi="ar"/>
              </w:rPr>
              <w:t>22</w:t>
            </w:r>
            <w:r>
              <w:rPr>
                <w:rFonts w:hint="eastAsia" w:ascii="宋体" w:hAnsi="宋体" w:eastAsia="宋体" w:cs="宋体"/>
                <w:i w:val="0"/>
                <w:iCs w:val="0"/>
                <w:color w:val="000000"/>
                <w:kern w:val="0"/>
                <w:sz w:val="21"/>
                <w:szCs w:val="21"/>
                <w:highlight w:val="none"/>
                <w:u w:val="none"/>
                <w:lang w:val="en-US" w:eastAsia="zh-CN" w:bidi="ar"/>
              </w:rPr>
              <w:t>”检测标准，满足</w:t>
            </w:r>
            <w:r>
              <w:rPr>
                <w:rFonts w:hint="eastAsia" w:ascii="宋体" w:hAnsi="宋体" w:cs="宋体"/>
                <w:i w:val="0"/>
                <w:iCs w:val="0"/>
                <w:color w:val="000000"/>
                <w:kern w:val="0"/>
                <w:sz w:val="21"/>
                <w:szCs w:val="21"/>
                <w:highlight w:val="none"/>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50项化学试剂测试要求，测试结果均为表面无明显变化，等级为 5 级。</w:t>
            </w:r>
            <w:r>
              <w:rPr>
                <w:rFonts w:ascii="宋体" w:hAnsi="宋体" w:eastAsia="宋体"/>
                <w:highlight w:val="none"/>
              </w:rPr>
              <w:t>50 项化学试剂测试  要求中，化学试剂至少包含并逐一对应满足以下：1</w:t>
            </w:r>
            <w:r>
              <w:rPr>
                <w:rFonts w:hint="eastAsia" w:ascii="宋体" w:hAnsi="宋体" w:eastAsia="宋体"/>
                <w:highlight w:val="none"/>
              </w:rPr>
              <w:t>、</w:t>
            </w:r>
            <w:r>
              <w:rPr>
                <w:rFonts w:ascii="宋体" w:hAnsi="宋体" w:eastAsia="宋体"/>
                <w:highlight w:val="none"/>
              </w:rPr>
              <w:t>37%盐酸；2</w:t>
            </w:r>
            <w:r>
              <w:rPr>
                <w:rFonts w:hint="eastAsia" w:ascii="宋体" w:hAnsi="宋体" w:eastAsia="宋体"/>
                <w:highlight w:val="none"/>
              </w:rPr>
              <w:t>、</w:t>
            </w:r>
            <w:r>
              <w:rPr>
                <w:rFonts w:ascii="宋体" w:hAnsi="宋体" w:eastAsia="宋体"/>
                <w:highlight w:val="none"/>
              </w:rPr>
              <w:t>65%硝酸；3</w:t>
            </w:r>
            <w:r>
              <w:rPr>
                <w:rFonts w:hint="eastAsia" w:ascii="宋体" w:hAnsi="宋体" w:eastAsia="宋体"/>
                <w:highlight w:val="none"/>
              </w:rPr>
              <w:t>、</w:t>
            </w:r>
            <w:r>
              <w:rPr>
                <w:rFonts w:ascii="宋体" w:hAnsi="宋体" w:eastAsia="宋体"/>
                <w:highlight w:val="none"/>
              </w:rPr>
              <w:t>85%磷酸；4</w:t>
            </w:r>
            <w:r>
              <w:rPr>
                <w:rFonts w:hint="eastAsia" w:ascii="宋体" w:hAnsi="宋体" w:eastAsia="宋体"/>
                <w:highlight w:val="none"/>
              </w:rPr>
              <w:t>、</w:t>
            </w:r>
            <w:r>
              <w:rPr>
                <w:rFonts w:ascii="宋体" w:hAnsi="宋体" w:eastAsia="宋体"/>
                <w:highlight w:val="none"/>
              </w:rPr>
              <w:t>40%氢氧化钠；5</w:t>
            </w:r>
            <w:r>
              <w:rPr>
                <w:rFonts w:hint="eastAsia" w:ascii="宋体" w:hAnsi="宋体" w:eastAsia="宋体"/>
                <w:highlight w:val="none"/>
              </w:rPr>
              <w:t>、</w:t>
            </w:r>
            <w:r>
              <w:rPr>
                <w:rFonts w:ascii="宋体" w:hAnsi="宋体" w:eastAsia="宋体"/>
                <w:highlight w:val="none"/>
              </w:rPr>
              <w:t>98%硫酸；6</w:t>
            </w:r>
            <w:r>
              <w:rPr>
                <w:rFonts w:hint="eastAsia" w:ascii="宋体" w:hAnsi="宋体" w:eastAsia="宋体"/>
                <w:highlight w:val="none"/>
              </w:rPr>
              <w:t>、</w:t>
            </w:r>
            <w:r>
              <w:rPr>
                <w:rFonts w:ascii="宋体" w:hAnsi="宋体" w:eastAsia="宋体"/>
                <w:highlight w:val="none"/>
              </w:rPr>
              <w:t>99%乙酸；7</w:t>
            </w:r>
            <w:r>
              <w:rPr>
                <w:rFonts w:hint="eastAsia" w:ascii="宋体" w:hAnsi="宋体" w:eastAsia="宋体"/>
                <w:highlight w:val="none"/>
              </w:rPr>
              <w:t>、</w:t>
            </w:r>
            <w:r>
              <w:rPr>
                <w:rFonts w:ascii="宋体" w:hAnsi="宋体" w:eastAsia="宋体"/>
                <w:highlight w:val="none"/>
              </w:rPr>
              <w:t>88%甲酸；8</w:t>
            </w:r>
            <w:r>
              <w:rPr>
                <w:rFonts w:hint="eastAsia" w:ascii="宋体" w:hAnsi="宋体" w:eastAsia="宋体"/>
                <w:highlight w:val="none"/>
              </w:rPr>
              <w:t>、</w:t>
            </w:r>
            <w:r>
              <w:rPr>
                <w:rFonts w:ascii="宋体" w:hAnsi="宋体" w:eastAsia="宋体"/>
                <w:highlight w:val="none"/>
              </w:rPr>
              <w:t>40%氢氟酸；9</w:t>
            </w:r>
            <w:r>
              <w:rPr>
                <w:rFonts w:hint="eastAsia" w:ascii="宋体" w:hAnsi="宋体" w:eastAsia="宋体"/>
                <w:highlight w:val="none"/>
              </w:rPr>
              <w:t>、</w:t>
            </w:r>
            <w:r>
              <w:rPr>
                <w:rFonts w:ascii="宋体" w:hAnsi="宋体" w:eastAsia="宋体"/>
                <w:highlight w:val="none"/>
              </w:rPr>
              <w:t>正己烷</w:t>
            </w:r>
            <w:r>
              <w:rPr>
                <w:rFonts w:hint="eastAsia" w:ascii="宋体" w:hAnsi="宋体" w:eastAsia="宋体"/>
                <w:highlight w:val="none"/>
              </w:rPr>
              <w:t>；</w:t>
            </w:r>
            <w:r>
              <w:rPr>
                <w:rFonts w:ascii="宋体" w:hAnsi="宋体" w:eastAsia="宋体"/>
                <w:highlight w:val="none"/>
              </w:rPr>
              <w:t>10</w:t>
            </w:r>
            <w:r>
              <w:rPr>
                <w:rFonts w:hint="eastAsia" w:ascii="宋体" w:hAnsi="宋体" w:eastAsia="宋体"/>
                <w:highlight w:val="none"/>
              </w:rPr>
              <w:t>、</w:t>
            </w:r>
            <w:r>
              <w:rPr>
                <w:rFonts w:ascii="宋体" w:hAnsi="宋体" w:eastAsia="宋体"/>
                <w:highlight w:val="none"/>
              </w:rPr>
              <w:t>28%氢氧化铵；11</w:t>
            </w:r>
            <w:r>
              <w:rPr>
                <w:rFonts w:hint="eastAsia" w:ascii="宋体" w:hAnsi="宋体" w:eastAsia="宋体"/>
                <w:highlight w:val="none"/>
              </w:rPr>
              <w:t>、</w:t>
            </w:r>
            <w:r>
              <w:rPr>
                <w:rFonts w:ascii="宋体" w:hAnsi="宋体" w:eastAsia="宋体"/>
                <w:highlight w:val="none"/>
              </w:rPr>
              <w:t>乙酸异戊酯；12</w:t>
            </w:r>
            <w:r>
              <w:rPr>
                <w:rFonts w:hint="eastAsia" w:ascii="宋体" w:hAnsi="宋体" w:eastAsia="宋体"/>
                <w:highlight w:val="none"/>
              </w:rPr>
              <w:t>、</w:t>
            </w:r>
            <w:r>
              <w:rPr>
                <w:rFonts w:ascii="宋体" w:hAnsi="宋体" w:eastAsia="宋体"/>
                <w:highlight w:val="none"/>
              </w:rPr>
              <w:t>5%重铬酸钾</w:t>
            </w:r>
            <w:r>
              <w:rPr>
                <w:rFonts w:hint="eastAsia" w:ascii="宋体" w:hAnsi="宋体" w:eastAsia="宋体"/>
                <w:highlight w:val="none"/>
              </w:rPr>
              <w:t>；</w:t>
            </w:r>
            <w:r>
              <w:rPr>
                <w:rFonts w:ascii="宋体" w:hAnsi="宋体" w:eastAsia="宋体"/>
                <w:highlight w:val="none"/>
              </w:rPr>
              <w:t>13</w:t>
            </w:r>
            <w:r>
              <w:rPr>
                <w:rFonts w:hint="eastAsia" w:ascii="宋体" w:hAnsi="宋体" w:eastAsia="宋体"/>
                <w:highlight w:val="none"/>
              </w:rPr>
              <w:t>、</w:t>
            </w:r>
            <w:r>
              <w:rPr>
                <w:rFonts w:ascii="宋体" w:hAnsi="宋体" w:eastAsia="宋体"/>
                <w:highlight w:val="none"/>
              </w:rPr>
              <w:t>铬酸；14</w:t>
            </w:r>
            <w:r>
              <w:rPr>
                <w:rFonts w:hint="eastAsia" w:ascii="宋体" w:hAnsi="宋体" w:eastAsia="宋体"/>
                <w:highlight w:val="none"/>
              </w:rPr>
              <w:t>、</w:t>
            </w:r>
            <w:r>
              <w:rPr>
                <w:rFonts w:ascii="宋体" w:hAnsi="宋体" w:eastAsia="宋体"/>
                <w:highlight w:val="none"/>
              </w:rPr>
              <w:t>乙醚；15</w:t>
            </w:r>
            <w:r>
              <w:rPr>
                <w:rFonts w:hint="eastAsia" w:ascii="宋体" w:hAnsi="宋体" w:eastAsia="宋体"/>
                <w:highlight w:val="none"/>
              </w:rPr>
              <w:t>、</w:t>
            </w:r>
            <w:r>
              <w:rPr>
                <w:rFonts w:ascii="宋体" w:hAnsi="宋体" w:eastAsia="宋体"/>
                <w:highlight w:val="none"/>
              </w:rPr>
              <w:t>汽油</w:t>
            </w:r>
            <w:r>
              <w:rPr>
                <w:rFonts w:hint="eastAsia" w:ascii="宋体" w:hAnsi="宋体" w:eastAsia="宋体"/>
                <w:highlight w:val="none"/>
              </w:rPr>
              <w:t>；</w:t>
            </w:r>
            <w:r>
              <w:rPr>
                <w:rFonts w:ascii="宋体" w:hAnsi="宋体" w:eastAsia="宋体"/>
                <w:highlight w:val="none"/>
              </w:rPr>
              <w:t>16</w:t>
            </w:r>
            <w:r>
              <w:rPr>
                <w:rFonts w:hint="eastAsia" w:ascii="宋体" w:hAnsi="宋体" w:eastAsia="宋体"/>
                <w:highlight w:val="none"/>
              </w:rPr>
              <w:t>、</w:t>
            </w:r>
            <w:r>
              <w:rPr>
                <w:rFonts w:ascii="宋体" w:hAnsi="宋体" w:eastAsia="宋体"/>
                <w:highlight w:val="none"/>
              </w:rPr>
              <w:t>65%硝酸+77%硫酸混合液</w:t>
            </w:r>
            <w:r>
              <w:rPr>
                <w:rFonts w:hint="eastAsia" w:ascii="宋体" w:hAnsi="宋体" w:eastAsia="宋体"/>
                <w:highlight w:val="none"/>
              </w:rPr>
              <w:t>；</w:t>
            </w:r>
            <w:r>
              <w:rPr>
                <w:rFonts w:ascii="宋体" w:hAnsi="宋体" w:eastAsia="宋体"/>
                <w:highlight w:val="none"/>
              </w:rPr>
              <w:t>17</w:t>
            </w:r>
            <w:r>
              <w:rPr>
                <w:rFonts w:hint="eastAsia" w:ascii="宋体" w:hAnsi="宋体" w:eastAsia="宋体"/>
                <w:highlight w:val="none"/>
              </w:rPr>
              <w:t>、</w:t>
            </w:r>
            <w:r>
              <w:rPr>
                <w:rFonts w:ascii="宋体" w:hAnsi="宋体" w:eastAsia="宋体"/>
                <w:highlight w:val="none"/>
              </w:rPr>
              <w:t>正丁醇；18</w:t>
            </w:r>
            <w:r>
              <w:rPr>
                <w:rFonts w:hint="eastAsia" w:ascii="宋体" w:hAnsi="宋体" w:eastAsia="宋体"/>
                <w:highlight w:val="none"/>
              </w:rPr>
              <w:t>、</w:t>
            </w:r>
            <w:r>
              <w:rPr>
                <w:rFonts w:ascii="宋体" w:hAnsi="宋体" w:eastAsia="宋体"/>
                <w:highlight w:val="none"/>
              </w:rPr>
              <w:t>乙醇（95%）</w:t>
            </w:r>
            <w:r>
              <w:rPr>
                <w:rFonts w:hint="eastAsia" w:ascii="宋体" w:hAnsi="宋体" w:eastAsia="宋体"/>
                <w:highlight w:val="none"/>
              </w:rPr>
              <w:t>；</w:t>
            </w:r>
            <w:r>
              <w:rPr>
                <w:rFonts w:ascii="宋体" w:hAnsi="宋体" w:eastAsia="宋体"/>
                <w:highlight w:val="none"/>
              </w:rPr>
              <w:t>19</w:t>
            </w:r>
            <w:r>
              <w:rPr>
                <w:rFonts w:hint="eastAsia" w:ascii="宋体" w:hAnsi="宋体" w:eastAsia="宋体"/>
                <w:highlight w:val="none"/>
              </w:rPr>
              <w:t>、</w:t>
            </w:r>
            <w:r>
              <w:rPr>
                <w:rFonts w:ascii="宋体" w:hAnsi="宋体" w:eastAsia="宋体"/>
                <w:highlight w:val="none"/>
              </w:rPr>
              <w:t>苯</w:t>
            </w:r>
            <w:r>
              <w:rPr>
                <w:rFonts w:hint="eastAsia" w:ascii="宋体" w:hAnsi="宋体" w:eastAsia="宋体"/>
                <w:highlight w:val="none"/>
              </w:rPr>
              <w:t>；</w:t>
            </w:r>
            <w:r>
              <w:rPr>
                <w:rFonts w:ascii="宋体" w:hAnsi="宋体" w:eastAsia="宋体"/>
                <w:highlight w:val="none"/>
              </w:rPr>
              <w:t>20</w:t>
            </w:r>
            <w:r>
              <w:rPr>
                <w:rFonts w:hint="eastAsia" w:ascii="宋体" w:hAnsi="宋体" w:eastAsia="宋体"/>
                <w:highlight w:val="none"/>
              </w:rPr>
              <w:t>、</w:t>
            </w:r>
            <w:r>
              <w:rPr>
                <w:rFonts w:ascii="宋体" w:hAnsi="宋体" w:eastAsia="宋体"/>
                <w:highlight w:val="none"/>
              </w:rPr>
              <w:t>对甲酚</w:t>
            </w:r>
            <w:r>
              <w:rPr>
                <w:rFonts w:hint="eastAsia" w:ascii="宋体" w:hAnsi="宋体" w:eastAsia="宋体"/>
                <w:highlight w:val="none"/>
              </w:rPr>
              <w:t>；</w:t>
            </w:r>
            <w:r>
              <w:rPr>
                <w:rFonts w:ascii="宋体" w:hAnsi="宋体" w:eastAsia="宋体"/>
                <w:highlight w:val="none"/>
              </w:rPr>
              <w:t>21</w:t>
            </w:r>
            <w:r>
              <w:rPr>
                <w:rFonts w:hint="eastAsia" w:ascii="宋体" w:hAnsi="宋体" w:eastAsia="宋体"/>
                <w:highlight w:val="none"/>
              </w:rPr>
              <w:t>、</w:t>
            </w:r>
            <w:r>
              <w:rPr>
                <w:rFonts w:ascii="宋体" w:hAnsi="宋体" w:eastAsia="宋体"/>
                <w:highlight w:val="none"/>
              </w:rPr>
              <w:t>二氯乙酸</w:t>
            </w:r>
            <w:r>
              <w:rPr>
                <w:rFonts w:hint="eastAsia" w:ascii="宋体" w:hAnsi="宋体" w:eastAsia="宋体"/>
                <w:highlight w:val="none"/>
              </w:rPr>
              <w:t>；</w:t>
            </w:r>
            <w:r>
              <w:rPr>
                <w:rFonts w:ascii="宋体" w:hAnsi="宋体" w:eastAsia="宋体"/>
                <w:highlight w:val="none"/>
              </w:rPr>
              <w:t>22</w:t>
            </w:r>
            <w:r>
              <w:rPr>
                <w:rFonts w:hint="eastAsia" w:ascii="宋体" w:hAnsi="宋体" w:eastAsia="宋体"/>
                <w:highlight w:val="none"/>
              </w:rPr>
              <w:t>、</w:t>
            </w:r>
            <w:r>
              <w:rPr>
                <w:rFonts w:ascii="宋体" w:hAnsi="宋体" w:eastAsia="宋体"/>
                <w:highlight w:val="none"/>
              </w:rPr>
              <w:t>二甲基甲酰胺</w:t>
            </w:r>
            <w:r>
              <w:rPr>
                <w:rFonts w:hint="eastAsia" w:ascii="宋体" w:hAnsi="宋体" w:eastAsia="宋体"/>
                <w:highlight w:val="none"/>
              </w:rPr>
              <w:t>；</w:t>
            </w:r>
            <w:r>
              <w:rPr>
                <w:rFonts w:ascii="宋体" w:hAnsi="宋体" w:eastAsia="宋体"/>
                <w:highlight w:val="none"/>
              </w:rPr>
              <w:t>23</w:t>
            </w:r>
            <w:r>
              <w:rPr>
                <w:rFonts w:hint="eastAsia" w:ascii="宋体" w:hAnsi="宋体" w:eastAsia="宋体"/>
                <w:highlight w:val="none"/>
              </w:rPr>
              <w:t>、</w:t>
            </w:r>
            <w:r>
              <w:rPr>
                <w:rFonts w:ascii="宋体" w:hAnsi="宋体" w:eastAsia="宋体"/>
                <w:highlight w:val="none"/>
              </w:rPr>
              <w:t>二氧六环</w:t>
            </w:r>
            <w:r>
              <w:rPr>
                <w:rFonts w:hint="eastAsia" w:ascii="宋体" w:hAnsi="宋体" w:eastAsia="宋体"/>
                <w:highlight w:val="none"/>
              </w:rPr>
              <w:t>；</w:t>
            </w:r>
            <w:r>
              <w:rPr>
                <w:rFonts w:ascii="宋体" w:hAnsi="宋体" w:eastAsia="宋体"/>
                <w:highlight w:val="none"/>
              </w:rPr>
              <w:t>24</w:t>
            </w:r>
            <w:r>
              <w:rPr>
                <w:rFonts w:hint="eastAsia" w:ascii="宋体" w:hAnsi="宋体" w:eastAsia="宋体"/>
                <w:highlight w:val="none"/>
              </w:rPr>
              <w:t>、</w:t>
            </w:r>
            <w:r>
              <w:rPr>
                <w:rFonts w:ascii="宋体" w:hAnsi="宋体" w:eastAsia="宋体"/>
                <w:highlight w:val="none"/>
              </w:rPr>
              <w:t>糠醛</w:t>
            </w:r>
            <w:r>
              <w:rPr>
                <w:rFonts w:hint="eastAsia" w:ascii="宋体" w:hAnsi="宋体" w:eastAsia="宋体"/>
                <w:highlight w:val="none"/>
              </w:rPr>
              <w:t>；</w:t>
            </w:r>
            <w:r>
              <w:rPr>
                <w:rFonts w:ascii="宋体" w:hAnsi="宋体" w:eastAsia="宋体"/>
                <w:highlight w:val="none"/>
              </w:rPr>
              <w:t>25</w:t>
            </w:r>
            <w:r>
              <w:rPr>
                <w:rFonts w:hint="eastAsia" w:ascii="宋体" w:hAnsi="宋体" w:eastAsia="宋体"/>
                <w:highlight w:val="none"/>
              </w:rPr>
              <w:t>、</w:t>
            </w:r>
            <w:r>
              <w:rPr>
                <w:rFonts w:ascii="宋体" w:hAnsi="宋体" w:eastAsia="宋体"/>
                <w:highlight w:val="none"/>
              </w:rPr>
              <w:t>甲乙酮</w:t>
            </w:r>
            <w:r>
              <w:rPr>
                <w:rFonts w:hint="eastAsia" w:ascii="宋体" w:hAnsi="宋体" w:eastAsia="宋体"/>
                <w:highlight w:val="none"/>
              </w:rPr>
              <w:t>；</w:t>
            </w:r>
            <w:r>
              <w:rPr>
                <w:rFonts w:ascii="宋体" w:hAnsi="宋体" w:eastAsia="宋体"/>
                <w:highlight w:val="none"/>
              </w:rPr>
              <w:t>26</w:t>
            </w:r>
            <w:r>
              <w:rPr>
                <w:rFonts w:hint="eastAsia" w:ascii="宋体" w:hAnsi="宋体" w:eastAsia="宋体"/>
                <w:highlight w:val="none"/>
              </w:rPr>
              <w:t>、</w:t>
            </w:r>
            <w:r>
              <w:rPr>
                <w:rFonts w:ascii="宋体" w:hAnsi="宋体" w:eastAsia="宋体"/>
                <w:highlight w:val="none"/>
              </w:rPr>
              <w:t>二氯甲烷</w:t>
            </w:r>
            <w:r>
              <w:rPr>
                <w:rFonts w:hint="eastAsia" w:ascii="宋体" w:hAnsi="宋体" w:eastAsia="宋体"/>
                <w:highlight w:val="none"/>
              </w:rPr>
              <w:t>；</w:t>
            </w:r>
            <w:r>
              <w:rPr>
                <w:rFonts w:ascii="宋体" w:hAnsi="宋体" w:eastAsia="宋体"/>
                <w:highlight w:val="none"/>
              </w:rPr>
              <w:t>27</w:t>
            </w:r>
            <w:r>
              <w:rPr>
                <w:rFonts w:hint="eastAsia" w:ascii="宋体" w:hAnsi="宋体" w:eastAsia="宋体"/>
                <w:highlight w:val="none"/>
              </w:rPr>
              <w:t>、</w:t>
            </w:r>
            <w:r>
              <w:rPr>
                <w:rFonts w:ascii="宋体" w:hAnsi="宋体" w:eastAsia="宋体"/>
                <w:highlight w:val="none"/>
              </w:rPr>
              <w:t>氯苯</w:t>
            </w:r>
            <w:r>
              <w:rPr>
                <w:rFonts w:hint="eastAsia" w:ascii="宋体" w:hAnsi="宋体" w:eastAsia="宋体"/>
                <w:highlight w:val="none"/>
              </w:rPr>
              <w:t>；</w:t>
            </w:r>
            <w:r>
              <w:rPr>
                <w:rFonts w:ascii="宋体" w:hAnsi="宋体" w:eastAsia="宋体"/>
                <w:highlight w:val="none"/>
              </w:rPr>
              <w:t>28</w:t>
            </w:r>
            <w:r>
              <w:rPr>
                <w:rFonts w:hint="eastAsia" w:ascii="宋体" w:hAnsi="宋体" w:eastAsia="宋体"/>
                <w:highlight w:val="none"/>
              </w:rPr>
              <w:t>、</w:t>
            </w:r>
            <w:r>
              <w:rPr>
                <w:rFonts w:ascii="宋体" w:hAnsi="宋体" w:eastAsia="宋体"/>
                <w:highlight w:val="none"/>
              </w:rPr>
              <w:t>三氯乙烯</w:t>
            </w:r>
            <w:r>
              <w:rPr>
                <w:rFonts w:hint="eastAsia" w:ascii="宋体" w:hAnsi="宋体" w:eastAsia="宋体"/>
                <w:highlight w:val="none"/>
              </w:rPr>
              <w:t>；</w:t>
            </w:r>
            <w:r>
              <w:rPr>
                <w:rFonts w:ascii="宋体" w:hAnsi="宋体" w:eastAsia="宋体"/>
                <w:highlight w:val="none"/>
              </w:rPr>
              <w:t>29</w:t>
            </w:r>
            <w:r>
              <w:rPr>
                <w:rFonts w:hint="eastAsia" w:ascii="宋体" w:hAnsi="宋体" w:eastAsia="宋体"/>
                <w:highlight w:val="none"/>
              </w:rPr>
              <w:t>、</w:t>
            </w:r>
            <w:r>
              <w:rPr>
                <w:rFonts w:ascii="宋体" w:hAnsi="宋体" w:eastAsia="宋体"/>
                <w:highlight w:val="none"/>
              </w:rPr>
              <w:t>氯化锌饱和液</w:t>
            </w:r>
            <w:r>
              <w:rPr>
                <w:rFonts w:hint="eastAsia" w:ascii="宋体" w:hAnsi="宋体" w:eastAsia="宋体"/>
                <w:highlight w:val="none"/>
              </w:rPr>
              <w:t>；</w:t>
            </w:r>
            <w:r>
              <w:rPr>
                <w:rFonts w:ascii="宋体" w:hAnsi="宋体" w:eastAsia="宋体"/>
                <w:highlight w:val="none"/>
              </w:rPr>
              <w:t>30</w:t>
            </w:r>
            <w:r>
              <w:rPr>
                <w:rFonts w:hint="eastAsia" w:ascii="宋体" w:hAnsi="宋体" w:eastAsia="宋体"/>
                <w:highlight w:val="none"/>
              </w:rPr>
              <w:t>、</w:t>
            </w:r>
            <w:r>
              <w:rPr>
                <w:rFonts w:ascii="宋体" w:hAnsi="宋体" w:eastAsia="宋体"/>
                <w:highlight w:val="none"/>
              </w:rPr>
              <w:t>亚甲蓝指示剂</w:t>
            </w:r>
            <w:r>
              <w:rPr>
                <w:rFonts w:hint="eastAsia" w:ascii="宋体" w:hAnsi="宋体" w:eastAsia="宋体"/>
                <w:highlight w:val="none"/>
              </w:rPr>
              <w:t>；</w:t>
            </w:r>
            <w:r>
              <w:rPr>
                <w:rFonts w:ascii="宋体" w:hAnsi="宋体" w:eastAsia="宋体"/>
                <w:highlight w:val="none"/>
              </w:rPr>
              <w:t>31</w:t>
            </w:r>
            <w:r>
              <w:rPr>
                <w:rFonts w:hint="eastAsia" w:ascii="宋体" w:hAnsi="宋体" w:eastAsia="宋体"/>
                <w:highlight w:val="none"/>
              </w:rPr>
              <w:t>、</w:t>
            </w:r>
            <w:r>
              <w:rPr>
                <w:rFonts w:ascii="宋体" w:hAnsi="宋体" w:eastAsia="宋体"/>
                <w:highlight w:val="none"/>
              </w:rPr>
              <w:t>石脑油</w:t>
            </w:r>
            <w:r>
              <w:rPr>
                <w:rFonts w:hint="eastAsia" w:ascii="宋体" w:hAnsi="宋体" w:eastAsia="宋体"/>
                <w:highlight w:val="none"/>
              </w:rPr>
              <w:t>；</w:t>
            </w:r>
            <w:r>
              <w:rPr>
                <w:rFonts w:ascii="宋体" w:hAnsi="宋体" w:eastAsia="宋体"/>
                <w:highlight w:val="none"/>
              </w:rPr>
              <w:t>32</w:t>
            </w:r>
            <w:r>
              <w:rPr>
                <w:rFonts w:hint="eastAsia" w:ascii="宋体" w:hAnsi="宋体" w:eastAsia="宋体"/>
                <w:highlight w:val="none"/>
              </w:rPr>
              <w:t>、</w:t>
            </w:r>
            <w:r>
              <w:rPr>
                <w:rFonts w:ascii="宋体" w:hAnsi="宋体" w:eastAsia="宋体"/>
                <w:highlight w:val="none"/>
              </w:rPr>
              <w:t>高氯酸</w:t>
            </w:r>
            <w:r>
              <w:rPr>
                <w:rFonts w:hint="eastAsia" w:ascii="宋体" w:hAnsi="宋体" w:eastAsia="宋体"/>
                <w:highlight w:val="none"/>
              </w:rPr>
              <w:t>；</w:t>
            </w:r>
            <w:r>
              <w:rPr>
                <w:rFonts w:ascii="宋体" w:hAnsi="宋体" w:eastAsia="宋体"/>
                <w:highlight w:val="none"/>
              </w:rPr>
              <w:t>33</w:t>
            </w:r>
            <w:r>
              <w:rPr>
                <w:rFonts w:hint="eastAsia" w:ascii="宋体" w:hAnsi="宋体" w:eastAsia="宋体"/>
                <w:highlight w:val="none"/>
              </w:rPr>
              <w:t>、</w:t>
            </w:r>
            <w:r>
              <w:rPr>
                <w:rFonts w:ascii="宋体" w:hAnsi="宋体" w:eastAsia="宋体"/>
                <w:highlight w:val="none"/>
              </w:rPr>
              <w:t>二甲苯</w:t>
            </w:r>
            <w:r>
              <w:rPr>
                <w:rFonts w:hint="eastAsia" w:ascii="宋体" w:hAnsi="宋体" w:eastAsia="宋体"/>
                <w:highlight w:val="none"/>
              </w:rPr>
              <w:t>；</w:t>
            </w:r>
            <w:r>
              <w:rPr>
                <w:rFonts w:ascii="宋体" w:hAnsi="宋体" w:eastAsia="宋体"/>
                <w:highlight w:val="none"/>
              </w:rPr>
              <w:t>34</w:t>
            </w:r>
            <w:r>
              <w:rPr>
                <w:rFonts w:hint="eastAsia" w:ascii="宋体" w:hAnsi="宋体" w:eastAsia="宋体"/>
                <w:highlight w:val="none"/>
              </w:rPr>
              <w:t>、</w:t>
            </w:r>
            <w:r>
              <w:rPr>
                <w:rFonts w:ascii="宋体" w:hAnsi="宋体" w:eastAsia="宋体"/>
                <w:highlight w:val="none"/>
              </w:rPr>
              <w:t>37%甲醛</w:t>
            </w:r>
            <w:r>
              <w:rPr>
                <w:rFonts w:hint="eastAsia" w:ascii="宋体" w:hAnsi="宋体" w:eastAsia="宋体"/>
                <w:highlight w:val="none"/>
              </w:rPr>
              <w:t>；</w:t>
            </w:r>
            <w:r>
              <w:rPr>
                <w:rFonts w:ascii="宋体" w:hAnsi="宋体" w:eastAsia="宋体"/>
                <w:highlight w:val="none"/>
              </w:rPr>
              <w:t>35</w:t>
            </w:r>
            <w:r>
              <w:rPr>
                <w:rFonts w:hint="eastAsia" w:ascii="宋体" w:hAnsi="宋体" w:eastAsia="宋体"/>
                <w:highlight w:val="none"/>
              </w:rPr>
              <w:t>、</w:t>
            </w:r>
            <w:r>
              <w:rPr>
                <w:rFonts w:ascii="宋体" w:hAnsi="宋体" w:eastAsia="宋体"/>
                <w:highlight w:val="none"/>
              </w:rPr>
              <w:t>三氯甲烷</w:t>
            </w:r>
            <w:r>
              <w:rPr>
                <w:rFonts w:hint="eastAsia" w:ascii="宋体" w:hAnsi="宋体" w:eastAsia="宋体"/>
                <w:highlight w:val="none"/>
              </w:rPr>
              <w:t>；</w:t>
            </w:r>
            <w:r>
              <w:rPr>
                <w:rFonts w:ascii="宋体" w:hAnsi="宋体" w:eastAsia="宋体"/>
                <w:highlight w:val="none"/>
              </w:rPr>
              <w:t>36</w:t>
            </w:r>
            <w:r>
              <w:rPr>
                <w:rFonts w:hint="eastAsia" w:ascii="宋体" w:hAnsi="宋体" w:eastAsia="宋体"/>
                <w:highlight w:val="none"/>
              </w:rPr>
              <w:t>、</w:t>
            </w:r>
            <w:r>
              <w:rPr>
                <w:rFonts w:ascii="宋体" w:hAnsi="宋体" w:eastAsia="宋体"/>
                <w:highlight w:val="none"/>
              </w:rPr>
              <w:t>碘酒</w:t>
            </w:r>
            <w:r>
              <w:rPr>
                <w:rFonts w:hint="eastAsia" w:ascii="宋体" w:hAnsi="宋体" w:eastAsia="宋体"/>
                <w:highlight w:val="none"/>
              </w:rPr>
              <w:t>；</w:t>
            </w:r>
            <w:r>
              <w:rPr>
                <w:rFonts w:ascii="宋体" w:hAnsi="宋体" w:eastAsia="宋体"/>
                <w:highlight w:val="none"/>
              </w:rPr>
              <w:t>37</w:t>
            </w:r>
            <w:r>
              <w:rPr>
                <w:rFonts w:hint="eastAsia" w:ascii="宋体" w:hAnsi="宋体" w:eastAsia="宋体"/>
                <w:highlight w:val="none"/>
              </w:rPr>
              <w:t>、</w:t>
            </w:r>
            <w:r>
              <w:rPr>
                <w:rFonts w:ascii="宋体" w:hAnsi="宋体" w:eastAsia="宋体"/>
                <w:highlight w:val="none"/>
              </w:rPr>
              <w:t>王水</w:t>
            </w:r>
            <w:r>
              <w:rPr>
                <w:rFonts w:hint="eastAsia" w:ascii="宋体" w:hAnsi="宋体" w:eastAsia="宋体"/>
                <w:highlight w:val="none"/>
              </w:rPr>
              <w:t>；</w:t>
            </w:r>
            <w:r>
              <w:rPr>
                <w:rFonts w:ascii="宋体" w:hAnsi="宋体" w:eastAsia="宋体"/>
                <w:highlight w:val="none"/>
              </w:rPr>
              <w:t>38</w:t>
            </w:r>
            <w:r>
              <w:rPr>
                <w:rFonts w:hint="eastAsia" w:ascii="宋体" w:hAnsi="宋体" w:eastAsia="宋体"/>
                <w:highlight w:val="none"/>
              </w:rPr>
              <w:t>、</w:t>
            </w:r>
            <w:r>
              <w:rPr>
                <w:rFonts w:ascii="宋体" w:hAnsi="宋体" w:eastAsia="宋体"/>
                <w:highlight w:val="none"/>
              </w:rPr>
              <w:t>硝酸银饱和液</w:t>
            </w:r>
            <w:r>
              <w:rPr>
                <w:rFonts w:hint="eastAsia" w:ascii="宋体" w:hAnsi="宋体" w:eastAsia="宋体"/>
                <w:highlight w:val="none"/>
              </w:rPr>
              <w:t>；</w:t>
            </w:r>
            <w:r>
              <w:rPr>
                <w:rFonts w:ascii="宋体" w:hAnsi="宋体" w:eastAsia="宋体"/>
                <w:highlight w:val="none"/>
              </w:rPr>
              <w:t>39</w:t>
            </w:r>
            <w:r>
              <w:rPr>
                <w:rFonts w:hint="eastAsia" w:ascii="宋体" w:hAnsi="宋体" w:eastAsia="宋体"/>
                <w:highlight w:val="none"/>
              </w:rPr>
              <w:t>、1</w:t>
            </w:r>
            <w:r>
              <w:rPr>
                <w:rFonts w:ascii="宋体" w:hAnsi="宋体" w:eastAsia="宋体"/>
                <w:highlight w:val="none"/>
              </w:rPr>
              <w:t>0%硫酸铜</w:t>
            </w:r>
            <w:r>
              <w:rPr>
                <w:rFonts w:hint="eastAsia" w:ascii="宋体" w:hAnsi="宋体" w:eastAsia="宋体"/>
                <w:highlight w:val="none"/>
              </w:rPr>
              <w:t>；</w:t>
            </w:r>
            <w:r>
              <w:rPr>
                <w:rFonts w:ascii="宋体" w:hAnsi="宋体" w:eastAsia="宋体"/>
                <w:highlight w:val="none"/>
              </w:rPr>
              <w:t>40</w:t>
            </w:r>
            <w:r>
              <w:rPr>
                <w:rFonts w:hint="eastAsia" w:ascii="宋体" w:hAnsi="宋体" w:eastAsia="宋体"/>
                <w:highlight w:val="none"/>
              </w:rPr>
              <w:t>、</w:t>
            </w:r>
            <w:r>
              <w:rPr>
                <w:rFonts w:ascii="宋体" w:hAnsi="宋体" w:eastAsia="宋体"/>
                <w:highlight w:val="none"/>
              </w:rPr>
              <w:t>铬酸</w:t>
            </w:r>
            <w:r>
              <w:rPr>
                <w:rFonts w:hint="eastAsia" w:ascii="宋体" w:hAnsi="宋体" w:eastAsia="宋体"/>
                <w:highlight w:val="none"/>
              </w:rPr>
              <w:t>洗液；</w:t>
            </w:r>
            <w:r>
              <w:rPr>
                <w:rFonts w:ascii="宋体" w:hAnsi="宋体" w:eastAsia="宋体"/>
                <w:highlight w:val="none"/>
              </w:rPr>
              <w:t>41</w:t>
            </w:r>
            <w:r>
              <w:rPr>
                <w:rFonts w:hint="eastAsia" w:ascii="宋体" w:hAnsi="宋体" w:eastAsia="宋体"/>
                <w:highlight w:val="none"/>
              </w:rPr>
              <w:t>、</w:t>
            </w:r>
            <w:r>
              <w:rPr>
                <w:rFonts w:ascii="宋体" w:hAnsi="宋体" w:eastAsia="宋体"/>
                <w:highlight w:val="none"/>
              </w:rPr>
              <w:t>3%双氧水</w:t>
            </w:r>
            <w:r>
              <w:rPr>
                <w:rFonts w:hint="eastAsia" w:ascii="宋体" w:hAnsi="宋体" w:eastAsia="宋体"/>
                <w:highlight w:val="none"/>
              </w:rPr>
              <w:t>；</w:t>
            </w:r>
            <w:r>
              <w:rPr>
                <w:rFonts w:ascii="宋体" w:hAnsi="宋体" w:eastAsia="宋体"/>
                <w:highlight w:val="none"/>
              </w:rPr>
              <w:t>42</w:t>
            </w:r>
            <w:r>
              <w:rPr>
                <w:rFonts w:hint="eastAsia" w:ascii="宋体" w:hAnsi="宋体" w:eastAsia="宋体"/>
                <w:highlight w:val="none"/>
              </w:rPr>
              <w:t>、</w:t>
            </w:r>
            <w:r>
              <w:rPr>
                <w:rFonts w:ascii="宋体" w:hAnsi="宋体" w:eastAsia="宋体"/>
                <w:highlight w:val="none"/>
              </w:rPr>
              <w:t>四氯化碳</w:t>
            </w:r>
            <w:r>
              <w:rPr>
                <w:rFonts w:hint="eastAsia" w:ascii="宋体" w:hAnsi="宋体" w:eastAsia="宋体"/>
                <w:highlight w:val="none"/>
              </w:rPr>
              <w:t>；</w:t>
            </w:r>
            <w:r>
              <w:rPr>
                <w:rFonts w:ascii="宋体" w:hAnsi="宋体" w:eastAsia="宋体"/>
                <w:highlight w:val="none"/>
              </w:rPr>
              <w:t>43</w:t>
            </w:r>
            <w:r>
              <w:rPr>
                <w:rFonts w:hint="eastAsia" w:ascii="宋体" w:hAnsi="宋体" w:eastAsia="宋体"/>
                <w:highlight w:val="none"/>
              </w:rPr>
              <w:t>、</w:t>
            </w:r>
            <w:r>
              <w:rPr>
                <w:rFonts w:ascii="宋体" w:hAnsi="宋体" w:eastAsia="宋体"/>
                <w:highlight w:val="none"/>
              </w:rPr>
              <w:t>硫化钠饱和液</w:t>
            </w:r>
            <w:r>
              <w:rPr>
                <w:rFonts w:hint="eastAsia" w:ascii="宋体" w:hAnsi="宋体" w:eastAsia="宋体"/>
                <w:highlight w:val="none"/>
              </w:rPr>
              <w:t>；</w:t>
            </w:r>
            <w:r>
              <w:rPr>
                <w:rFonts w:ascii="宋体" w:hAnsi="宋体" w:eastAsia="宋体"/>
                <w:highlight w:val="none"/>
              </w:rPr>
              <w:t>44</w:t>
            </w:r>
            <w:r>
              <w:rPr>
                <w:rFonts w:hint="eastAsia" w:ascii="宋体" w:hAnsi="宋体" w:eastAsia="宋体"/>
                <w:highlight w:val="none"/>
              </w:rPr>
              <w:t>、</w:t>
            </w:r>
            <w:r>
              <w:rPr>
                <w:rFonts w:ascii="宋体" w:hAnsi="宋体" w:eastAsia="宋体"/>
                <w:highlight w:val="none"/>
              </w:rPr>
              <w:t>苯酚饱和液</w:t>
            </w:r>
            <w:r>
              <w:rPr>
                <w:rFonts w:hint="eastAsia" w:ascii="宋体" w:hAnsi="宋体" w:eastAsia="宋体"/>
                <w:highlight w:val="none"/>
              </w:rPr>
              <w:t>；</w:t>
            </w:r>
            <w:r>
              <w:rPr>
                <w:rFonts w:ascii="宋体" w:hAnsi="宋体" w:eastAsia="宋体"/>
                <w:highlight w:val="none"/>
              </w:rPr>
              <w:t>45</w:t>
            </w:r>
            <w:r>
              <w:rPr>
                <w:rFonts w:hint="eastAsia" w:ascii="宋体" w:hAnsi="宋体" w:eastAsia="宋体"/>
                <w:highlight w:val="none"/>
              </w:rPr>
              <w:t>、</w:t>
            </w:r>
            <w:r>
              <w:rPr>
                <w:rFonts w:ascii="宋体" w:hAnsi="宋体" w:eastAsia="宋体"/>
                <w:highlight w:val="none"/>
              </w:rPr>
              <w:t>无水乙酸</w:t>
            </w:r>
            <w:r>
              <w:rPr>
                <w:rFonts w:hint="eastAsia" w:ascii="宋体" w:hAnsi="宋体" w:eastAsia="宋体"/>
                <w:highlight w:val="none"/>
              </w:rPr>
              <w:t>；</w:t>
            </w:r>
            <w:r>
              <w:rPr>
                <w:rFonts w:ascii="宋体" w:hAnsi="宋体" w:eastAsia="宋体"/>
                <w:highlight w:val="none"/>
              </w:rPr>
              <w:t>46</w:t>
            </w:r>
            <w:r>
              <w:rPr>
                <w:rFonts w:hint="eastAsia" w:ascii="宋体" w:hAnsi="宋体" w:eastAsia="宋体"/>
                <w:highlight w:val="none"/>
              </w:rPr>
              <w:t>、</w:t>
            </w:r>
            <w:r>
              <w:rPr>
                <w:rFonts w:ascii="宋体" w:hAnsi="宋体" w:eastAsia="宋体"/>
                <w:highlight w:val="none"/>
              </w:rPr>
              <w:t>丙酮</w:t>
            </w:r>
            <w:r>
              <w:rPr>
                <w:rFonts w:hint="eastAsia" w:ascii="宋体" w:hAnsi="宋体" w:eastAsia="宋体"/>
                <w:highlight w:val="none"/>
              </w:rPr>
              <w:t>；</w:t>
            </w:r>
            <w:r>
              <w:rPr>
                <w:rFonts w:ascii="宋体" w:hAnsi="宋体" w:eastAsia="宋体"/>
                <w:highlight w:val="none"/>
              </w:rPr>
              <w:t>47</w:t>
            </w:r>
            <w:r>
              <w:rPr>
                <w:rFonts w:hint="eastAsia" w:ascii="宋体" w:hAnsi="宋体" w:eastAsia="宋体"/>
                <w:highlight w:val="none"/>
              </w:rPr>
              <w:t>、</w:t>
            </w:r>
            <w:r>
              <w:rPr>
                <w:rFonts w:ascii="宋体" w:hAnsi="宋体" w:eastAsia="宋体"/>
                <w:highlight w:val="none"/>
              </w:rPr>
              <w:t>甲苯</w:t>
            </w:r>
            <w:r>
              <w:rPr>
                <w:rFonts w:hint="eastAsia" w:ascii="宋体" w:hAnsi="宋体" w:eastAsia="宋体"/>
                <w:highlight w:val="none"/>
              </w:rPr>
              <w:t>；</w:t>
            </w:r>
            <w:r>
              <w:rPr>
                <w:rFonts w:ascii="宋体" w:hAnsi="宋体" w:eastAsia="宋体"/>
                <w:highlight w:val="none"/>
              </w:rPr>
              <w:t>48</w:t>
            </w:r>
            <w:r>
              <w:rPr>
                <w:rFonts w:hint="eastAsia" w:ascii="宋体" w:hAnsi="宋体" w:eastAsia="宋体"/>
                <w:highlight w:val="none"/>
              </w:rPr>
              <w:t>、</w:t>
            </w:r>
            <w:r>
              <w:rPr>
                <w:rFonts w:ascii="宋体" w:hAnsi="宋体" w:eastAsia="宋体"/>
                <w:highlight w:val="none"/>
              </w:rPr>
              <w:t>氯化镁</w:t>
            </w:r>
            <w:r>
              <w:rPr>
                <w:rFonts w:hint="eastAsia" w:ascii="宋体" w:hAnsi="宋体" w:eastAsia="宋体"/>
                <w:highlight w:val="none"/>
              </w:rPr>
              <w:t>；</w:t>
            </w:r>
            <w:r>
              <w:rPr>
                <w:rFonts w:ascii="宋体" w:hAnsi="宋体" w:eastAsia="宋体"/>
                <w:highlight w:val="none"/>
              </w:rPr>
              <w:t>49</w:t>
            </w:r>
            <w:r>
              <w:rPr>
                <w:rFonts w:hint="eastAsia" w:ascii="宋体" w:hAnsi="宋体" w:eastAsia="宋体"/>
                <w:highlight w:val="none"/>
              </w:rPr>
              <w:t>、</w:t>
            </w:r>
            <w:r>
              <w:rPr>
                <w:rFonts w:ascii="宋体" w:hAnsi="宋体" w:eastAsia="宋体"/>
                <w:highlight w:val="none"/>
              </w:rPr>
              <w:t>次氯酸钠</w:t>
            </w:r>
            <w:r>
              <w:rPr>
                <w:rFonts w:hint="eastAsia" w:ascii="宋体" w:hAnsi="宋体" w:eastAsia="宋体"/>
                <w:highlight w:val="none"/>
              </w:rPr>
              <w:t>；</w:t>
            </w:r>
            <w:r>
              <w:rPr>
                <w:rFonts w:ascii="宋体" w:hAnsi="宋体" w:eastAsia="宋体"/>
                <w:highlight w:val="none"/>
              </w:rPr>
              <w:t>50</w:t>
            </w:r>
            <w:r>
              <w:rPr>
                <w:rFonts w:hint="eastAsia" w:ascii="宋体" w:hAnsi="宋体" w:eastAsia="宋体"/>
                <w:highlight w:val="none"/>
              </w:rPr>
              <w:t>、萘；5</w:t>
            </w:r>
            <w:r>
              <w:rPr>
                <w:rFonts w:ascii="宋体" w:hAnsi="宋体" w:eastAsia="宋体"/>
                <w:highlight w:val="none"/>
              </w:rPr>
              <w:t>1</w:t>
            </w:r>
            <w:r>
              <w:rPr>
                <w:rFonts w:hint="eastAsia" w:ascii="宋体" w:hAnsi="宋体" w:eastAsia="宋体"/>
                <w:highlight w:val="none"/>
              </w:rPr>
              <w:t>、乙酸乙脂</w:t>
            </w:r>
            <w:r>
              <w:rPr>
                <w:rFonts w:ascii="宋体" w:hAnsi="宋体" w:eastAsia="宋体"/>
                <w:highlight w:val="none"/>
              </w:rPr>
              <w:t>等；</w:t>
            </w:r>
            <w:r>
              <w:rPr>
                <w:rFonts w:hint="eastAsia" w:ascii="宋体" w:hAnsi="宋体" w:eastAsia="宋体"/>
                <w:highlight w:val="none"/>
                <w:lang w:val="en-US" w:eastAsia="zh-CN"/>
              </w:rPr>
              <w:t>要求</w:t>
            </w:r>
            <w:r>
              <w:rPr>
                <w:rFonts w:ascii="宋体" w:hAnsi="宋体" w:eastAsia="宋体"/>
                <w:highlight w:val="none"/>
              </w:rPr>
              <w:t>报告中明确有送样样品厚度；</w:t>
            </w:r>
            <w:r>
              <w:rPr>
                <w:rFonts w:hint="eastAsia" w:ascii="宋体" w:hAnsi="宋体" w:eastAsia="宋体" w:cs="宋体"/>
                <w:i w:val="0"/>
                <w:iCs w:val="0"/>
                <w:color w:val="000000"/>
                <w:kern w:val="0"/>
                <w:sz w:val="21"/>
                <w:szCs w:val="21"/>
                <w:highlight w:val="none"/>
                <w:u w:val="none"/>
                <w:lang w:val="en-US" w:eastAsia="zh-CN" w:bidi="ar"/>
              </w:rPr>
              <w:t>要求</w:t>
            </w:r>
            <w:r>
              <w:rPr>
                <w:rFonts w:hint="eastAsia" w:ascii="宋体" w:hAnsi="宋体" w:cs="宋体"/>
                <w:i w:val="0"/>
                <w:iCs w:val="0"/>
                <w:color w:val="000000"/>
                <w:kern w:val="0"/>
                <w:sz w:val="21"/>
                <w:szCs w:val="21"/>
                <w:highlight w:val="none"/>
                <w:u w:val="none"/>
                <w:lang w:val="en-US" w:eastAsia="zh-CN" w:bidi="ar"/>
              </w:rPr>
              <w:t>供应商</w:t>
            </w:r>
            <w:r>
              <w:rPr>
                <w:rFonts w:ascii="宋体" w:hAnsi="宋体" w:eastAsia="宋体"/>
                <w:highlight w:val="none"/>
              </w:rPr>
              <w:t xml:space="preserve">提供权威检测机构按 </w:t>
            </w:r>
            <w:r>
              <w:rPr>
                <w:rFonts w:ascii="宋体" w:hAnsi="宋体" w:eastAsia="宋体"/>
                <w:b/>
                <w:bCs/>
                <w:color w:val="auto"/>
                <w:highlight w:val="none"/>
              </w:rPr>
              <w:t>GB/T 17657-20</w:t>
            </w:r>
            <w:r>
              <w:rPr>
                <w:rFonts w:hint="eastAsia" w:ascii="宋体" w:hAnsi="宋体" w:eastAsia="宋体"/>
                <w:b/>
                <w:bCs/>
                <w:color w:val="auto"/>
                <w:highlight w:val="none"/>
                <w:lang w:eastAsia="zh-CN"/>
              </w:rPr>
              <w:t>22</w:t>
            </w:r>
            <w:r>
              <w:rPr>
                <w:rFonts w:ascii="宋体" w:hAnsi="宋体" w:eastAsia="宋体"/>
                <w:b/>
                <w:bCs/>
                <w:color w:val="auto"/>
                <w:highlight w:val="none"/>
              </w:rPr>
              <w:t>标准进行检测的检测报告</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1.3台面板甲醛含量≤0.01mg/m³</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highlight w:val="none"/>
              </w:rPr>
              <w:t>依据G</w:t>
            </w:r>
            <w:r>
              <w:rPr>
                <w:rFonts w:ascii="宋体" w:hAnsi="宋体" w:eastAsia="宋体"/>
                <w:highlight w:val="none"/>
              </w:rPr>
              <w:t>B/T 39600-2021</w:t>
            </w:r>
            <w:r>
              <w:rPr>
                <w:rFonts w:hint="eastAsia" w:ascii="宋体" w:hAnsi="宋体" w:eastAsia="宋体"/>
                <w:highlight w:val="none"/>
              </w:rPr>
              <w:t>判定为E</w:t>
            </w:r>
            <w:r>
              <w:rPr>
                <w:rFonts w:ascii="宋体" w:hAnsi="宋体" w:eastAsia="宋体"/>
                <w:highlight w:val="none"/>
              </w:rPr>
              <w:t>NF</w:t>
            </w:r>
            <w:r>
              <w:rPr>
                <w:rFonts w:hint="eastAsia" w:ascii="宋体" w:hAnsi="宋体" w:eastAsia="宋体"/>
                <w:highlight w:val="none"/>
              </w:rPr>
              <w:t>级</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要求</w:t>
            </w:r>
            <w:r>
              <w:rPr>
                <w:rFonts w:hint="eastAsia" w:ascii="宋体" w:hAnsi="宋体" w:cs="宋体"/>
                <w:b/>
                <w:bCs/>
                <w:i w:val="0"/>
                <w:iCs w:val="0"/>
                <w:color w:val="auto"/>
                <w:kern w:val="0"/>
                <w:sz w:val="21"/>
                <w:szCs w:val="21"/>
                <w:highlight w:val="none"/>
                <w:u w:val="none"/>
                <w:lang w:val="en-US" w:eastAsia="zh-CN" w:bidi="ar"/>
              </w:rPr>
              <w:t>供应商</w:t>
            </w:r>
            <w:r>
              <w:rPr>
                <w:rFonts w:hint="eastAsia" w:ascii="宋体" w:hAnsi="宋体" w:eastAsia="宋体" w:cs="宋体"/>
                <w:b/>
                <w:bCs/>
                <w:i w:val="0"/>
                <w:iCs w:val="0"/>
                <w:color w:val="auto"/>
                <w:kern w:val="0"/>
                <w:sz w:val="21"/>
                <w:szCs w:val="21"/>
                <w:highlight w:val="none"/>
                <w:u w:val="none"/>
                <w:lang w:val="en-US" w:eastAsia="zh-CN" w:bidi="ar"/>
              </w:rPr>
              <w:t>提供权威检测机</w:t>
            </w:r>
            <w:r>
              <w:rPr>
                <w:rFonts w:hint="eastAsia" w:ascii="宋体" w:hAnsi="宋体" w:cs="宋体"/>
                <w:b/>
                <w:bCs/>
                <w:i w:val="0"/>
                <w:iCs w:val="0"/>
                <w:color w:val="auto"/>
                <w:kern w:val="0"/>
                <w:sz w:val="21"/>
                <w:szCs w:val="21"/>
                <w:highlight w:val="none"/>
                <w:u w:val="none"/>
                <w:lang w:val="en-US" w:eastAsia="zh-CN" w:bidi="ar"/>
              </w:rPr>
              <w:t>构</w:t>
            </w:r>
            <w:r>
              <w:rPr>
                <w:rFonts w:hint="eastAsia" w:ascii="宋体" w:hAnsi="宋体" w:eastAsia="宋体" w:cs="宋体"/>
                <w:b/>
                <w:bCs/>
                <w:i w:val="0"/>
                <w:iCs w:val="0"/>
                <w:color w:val="auto"/>
                <w:kern w:val="0"/>
                <w:sz w:val="21"/>
                <w:szCs w:val="21"/>
                <w:highlight w:val="none"/>
                <w:u w:val="none"/>
                <w:lang w:val="en-US" w:eastAsia="zh-CN" w:bidi="ar"/>
              </w:rPr>
              <w:t>检测报告</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1.4台面板依据“GB/T 17657-2013”检测方法， “密度”检测结果需 ≥1.54g/cm³，且面板握钉力≥3420N；</w:t>
            </w:r>
            <w:r>
              <w:rPr>
                <w:rFonts w:hint="eastAsia" w:ascii="宋体" w:hAnsi="宋体" w:eastAsia="宋体" w:cs="宋体"/>
                <w:b/>
                <w:bCs/>
                <w:i w:val="0"/>
                <w:iCs w:val="0"/>
                <w:color w:val="000000"/>
                <w:kern w:val="0"/>
                <w:sz w:val="21"/>
                <w:szCs w:val="21"/>
                <w:highlight w:val="none"/>
                <w:u w:val="none"/>
                <w:lang w:val="en-US" w:eastAsia="zh-CN" w:bidi="ar"/>
              </w:rPr>
              <w:t>要求</w:t>
            </w:r>
            <w:r>
              <w:rPr>
                <w:rFonts w:hint="eastAsia" w:ascii="宋体" w:hAnsi="宋体" w:cs="宋体"/>
                <w:b/>
                <w:bCs/>
                <w:i w:val="0"/>
                <w:iCs w:val="0"/>
                <w:color w:val="000000"/>
                <w:kern w:val="0"/>
                <w:sz w:val="21"/>
                <w:szCs w:val="21"/>
                <w:highlight w:val="none"/>
                <w:u w:val="none"/>
                <w:lang w:val="en-US" w:eastAsia="zh-CN" w:bidi="ar"/>
              </w:rPr>
              <w:t>供应商</w:t>
            </w:r>
            <w:r>
              <w:rPr>
                <w:rFonts w:hint="eastAsia" w:ascii="宋体" w:hAnsi="宋体" w:eastAsia="宋体" w:cs="宋体"/>
                <w:b/>
                <w:bCs/>
                <w:i w:val="0"/>
                <w:iCs w:val="0"/>
                <w:color w:val="000000"/>
                <w:kern w:val="0"/>
                <w:sz w:val="21"/>
                <w:szCs w:val="21"/>
                <w:highlight w:val="none"/>
                <w:u w:val="none"/>
                <w:lang w:val="en-US" w:eastAsia="zh-CN" w:bidi="ar"/>
              </w:rPr>
              <w:t>提供权威检测机构按照“GB/T 17657-2013”</w:t>
            </w:r>
            <w:r>
              <w:rPr>
                <w:rFonts w:hint="eastAsia" w:ascii="宋体" w:hAnsi="宋体" w:eastAsia="宋体" w:cs="宋体"/>
                <w:b/>
                <w:bCs/>
                <w:i w:val="0"/>
                <w:iCs w:val="0"/>
                <w:color w:val="auto"/>
                <w:kern w:val="0"/>
                <w:sz w:val="21"/>
                <w:szCs w:val="21"/>
                <w:highlight w:val="none"/>
                <w:u w:val="none"/>
                <w:lang w:val="en-US" w:eastAsia="zh-CN" w:bidi="ar"/>
              </w:rPr>
              <w:t>标准进行检测的检测报告</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1.5. 台面板物理性指标达到 GB/T7911-2013 检测标准： 耐磨性能不低于 1100r、 耐香烟灼伤 5 级无变化、表面耐干热 5 级、耐沸水 5 级、色牢度、耐湿热 5 级、 耐水蒸气 5 级、耐龟裂 5 级、抗冲击性能表面无破损、抗拉强度测试结果： ≥120 Mpa，弯曲强度≥150 Mpa，弯曲弹性模量≥12200 Mpa；</w:t>
            </w:r>
            <w:r>
              <w:rPr>
                <w:rFonts w:hint="eastAsia" w:ascii="宋体" w:hAnsi="宋体" w:eastAsia="宋体" w:cs="宋体"/>
                <w:b/>
                <w:bCs/>
                <w:i w:val="0"/>
                <w:iCs w:val="0"/>
                <w:color w:val="000000"/>
                <w:kern w:val="0"/>
                <w:sz w:val="21"/>
                <w:szCs w:val="21"/>
                <w:highlight w:val="none"/>
                <w:u w:val="none"/>
                <w:lang w:val="en-US" w:eastAsia="zh-CN" w:bidi="ar"/>
              </w:rPr>
              <w:t>要求</w:t>
            </w:r>
            <w:r>
              <w:rPr>
                <w:rFonts w:hint="eastAsia" w:ascii="宋体" w:hAnsi="宋体" w:cs="宋体"/>
                <w:b/>
                <w:bCs/>
                <w:i w:val="0"/>
                <w:iCs w:val="0"/>
                <w:color w:val="000000"/>
                <w:kern w:val="0"/>
                <w:sz w:val="21"/>
                <w:szCs w:val="21"/>
                <w:highlight w:val="none"/>
                <w:u w:val="none"/>
                <w:lang w:val="en-US" w:eastAsia="zh-CN" w:bidi="ar"/>
              </w:rPr>
              <w:t>供应商</w:t>
            </w:r>
            <w:r>
              <w:rPr>
                <w:rFonts w:hint="eastAsia" w:ascii="宋体" w:hAnsi="宋体" w:eastAsia="宋体" w:cs="宋体"/>
                <w:b/>
                <w:bCs/>
                <w:i w:val="0"/>
                <w:iCs w:val="0"/>
                <w:color w:val="000000"/>
                <w:kern w:val="0"/>
                <w:sz w:val="21"/>
                <w:szCs w:val="21"/>
                <w:highlight w:val="none"/>
                <w:u w:val="none"/>
                <w:lang w:val="en-US" w:eastAsia="zh-CN" w:bidi="ar"/>
              </w:rPr>
              <w:t>提供权威检测机构按 GB/T7911-2013 标准进行</w:t>
            </w:r>
            <w:r>
              <w:rPr>
                <w:rFonts w:hint="eastAsia" w:ascii="宋体" w:hAnsi="宋体" w:eastAsia="宋体" w:cs="宋体"/>
                <w:b/>
                <w:bCs/>
                <w:i w:val="0"/>
                <w:iCs w:val="0"/>
                <w:color w:val="auto"/>
                <w:kern w:val="0"/>
                <w:sz w:val="21"/>
                <w:szCs w:val="21"/>
                <w:highlight w:val="none"/>
                <w:u w:val="none"/>
                <w:lang w:val="en-US" w:eastAsia="zh-CN" w:bidi="ar"/>
              </w:rPr>
              <w:t>检测的检测报告并加盖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★1.6台面板需提供 “密度”检测且结果需 ≥1.44g/cm³，面板握钉力≥3420N；台面板在浸渍剥离实验中满足无分层情况出现；</w:t>
            </w:r>
            <w:r>
              <w:rPr>
                <w:rFonts w:hint="eastAsia" w:ascii="宋体" w:hAnsi="宋体" w:eastAsia="宋体" w:cs="宋体"/>
                <w:b/>
                <w:bCs/>
                <w:i w:val="0"/>
                <w:iCs w:val="0"/>
                <w:color w:val="000000"/>
                <w:kern w:val="0"/>
                <w:sz w:val="21"/>
                <w:szCs w:val="21"/>
                <w:highlight w:val="none"/>
                <w:u w:val="none"/>
                <w:lang w:val="en-US" w:eastAsia="zh-CN" w:bidi="ar"/>
              </w:rPr>
              <w:t>要求</w:t>
            </w:r>
            <w:r>
              <w:rPr>
                <w:rFonts w:hint="eastAsia" w:ascii="宋体" w:hAnsi="宋体" w:cs="宋体"/>
                <w:b/>
                <w:bCs/>
                <w:i w:val="0"/>
                <w:iCs w:val="0"/>
                <w:color w:val="000000"/>
                <w:kern w:val="0"/>
                <w:sz w:val="21"/>
                <w:szCs w:val="21"/>
                <w:highlight w:val="none"/>
                <w:u w:val="none"/>
                <w:lang w:val="en-US" w:eastAsia="zh-CN" w:bidi="ar"/>
              </w:rPr>
              <w:t>供应商</w:t>
            </w:r>
            <w:r>
              <w:rPr>
                <w:rFonts w:hint="eastAsia" w:ascii="宋体" w:hAnsi="宋体" w:eastAsia="宋体" w:cs="宋体"/>
                <w:b/>
                <w:bCs/>
                <w:i w:val="0"/>
                <w:iCs w:val="0"/>
                <w:color w:val="000000"/>
                <w:kern w:val="0"/>
                <w:sz w:val="21"/>
                <w:szCs w:val="21"/>
                <w:highlight w:val="none"/>
                <w:u w:val="none"/>
                <w:lang w:val="en-US" w:eastAsia="zh-CN" w:bidi="ar"/>
              </w:rPr>
              <w:t>提供权提供CMA及CNAS认证的</w:t>
            </w:r>
            <w:r>
              <w:rPr>
                <w:rFonts w:hint="eastAsia" w:ascii="宋体" w:hAnsi="宋体" w:eastAsia="宋体" w:cs="宋体"/>
                <w:b/>
                <w:bCs/>
                <w:i w:val="0"/>
                <w:iCs w:val="0"/>
                <w:color w:val="auto"/>
                <w:kern w:val="0"/>
                <w:sz w:val="21"/>
                <w:szCs w:val="21"/>
                <w:highlight w:val="none"/>
                <w:u w:val="none"/>
                <w:lang w:val="en-US" w:eastAsia="zh-CN" w:bidi="ar"/>
              </w:rPr>
              <w:t>第三方检测中心检测报告复印件并加盖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★1.7为保证实验室内部环境空气质量，要求台面板厂家须具有金牌绿色卫士（金标）且报告中要求其中TVOC挥发性有机物测试标准最大允许预测浓度为0.22mg/ m³</w:t>
            </w:r>
            <w:r>
              <w:rPr>
                <w:rFonts w:hint="eastAsia" w:ascii="宋体" w:hAnsi="宋体" w:cs="宋体"/>
                <w:i w:val="0"/>
                <w:iCs w:val="0"/>
                <w:color w:val="000000"/>
                <w:kern w:val="0"/>
                <w:sz w:val="21"/>
                <w:szCs w:val="21"/>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1.8要求供应商</w:t>
            </w:r>
            <w:r>
              <w:rPr>
                <w:rFonts w:hint="eastAsia" w:ascii="宋体" w:hAnsi="宋体" w:eastAsia="宋体" w:cs="宋体"/>
                <w:b/>
                <w:bCs/>
                <w:i w:val="0"/>
                <w:iCs w:val="0"/>
                <w:color w:val="auto"/>
                <w:kern w:val="0"/>
                <w:sz w:val="21"/>
                <w:szCs w:val="21"/>
                <w:highlight w:val="none"/>
                <w:u w:val="none"/>
                <w:lang w:val="en-US" w:eastAsia="zh-CN" w:bidi="ar"/>
              </w:rPr>
              <w:t>承诺，在成交通知书发出后3个工作日内提供以上星号关键指标要求提供的相关证明材料（证明材料包括但不限于截图、设备图片、产品彩页、检测报告、软件著作权登记证书）</w:t>
            </w:r>
            <w:r>
              <w:rPr>
                <w:rFonts w:hint="eastAsia" w:ascii="宋体" w:hAnsi="宋体" w:cs="宋体"/>
                <w:b/>
                <w:bCs/>
                <w:i w:val="0"/>
                <w:iCs w:val="0"/>
                <w:color w:val="auto"/>
                <w:kern w:val="0"/>
                <w:sz w:val="21"/>
                <w:szCs w:val="21"/>
                <w:highlight w:val="none"/>
                <w:u w:val="none"/>
                <w:lang w:val="en-US" w:eastAsia="zh-CN" w:bidi="ar"/>
              </w:rPr>
              <w:t>原件核实</w:t>
            </w:r>
            <w:r>
              <w:rPr>
                <w:rFonts w:hint="eastAsia" w:ascii="宋体" w:hAnsi="宋体" w:eastAsia="宋体" w:cs="宋体"/>
                <w:b/>
                <w:bCs/>
                <w:i w:val="0"/>
                <w:iCs w:val="0"/>
                <w:color w:val="auto"/>
                <w:kern w:val="0"/>
                <w:sz w:val="21"/>
                <w:szCs w:val="21"/>
                <w:highlight w:val="none"/>
                <w:u w:val="none"/>
                <w:lang w:val="en-US" w:eastAsia="zh-CN" w:bidi="ar"/>
              </w:rPr>
              <w:t>，若成交人未在要求的期限内提供证明资料或成交人提供的证明资料不能</w:t>
            </w:r>
            <w:r>
              <w:rPr>
                <w:rFonts w:hint="eastAsia" w:ascii="宋体" w:hAnsi="宋体" w:cs="宋体"/>
                <w:b/>
                <w:bCs/>
                <w:i w:val="0"/>
                <w:iCs w:val="0"/>
                <w:color w:val="auto"/>
                <w:kern w:val="0"/>
                <w:sz w:val="21"/>
                <w:szCs w:val="21"/>
                <w:highlight w:val="none"/>
                <w:u w:val="none"/>
                <w:lang w:val="en-US" w:eastAsia="zh-CN" w:bidi="ar"/>
              </w:rPr>
              <w:t>符合</w:t>
            </w:r>
            <w:r>
              <w:rPr>
                <w:rFonts w:hint="eastAsia" w:ascii="宋体" w:hAnsi="宋体" w:eastAsia="宋体" w:cs="宋体"/>
                <w:b/>
                <w:bCs/>
                <w:i w:val="0"/>
                <w:iCs w:val="0"/>
                <w:color w:val="auto"/>
                <w:kern w:val="0"/>
                <w:sz w:val="21"/>
                <w:szCs w:val="21"/>
                <w:highlight w:val="none"/>
                <w:u w:val="none"/>
                <w:lang w:val="en-US" w:eastAsia="zh-CN" w:bidi="ar"/>
              </w:rPr>
              <w:t>要求，则视为虚假响应，采购人将有权与其解除合同，由此引起的一切责任由中标人自行承担。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2、实验边台柜体：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柜体采用1.0mm厚钢板制作加工，表面环氧树脂粉末静电喷涂，颜色白色，高温固化，抗冲击，采用全自动数控激光切割机下料，全自动数控折弯机一次性折弯成型，气体保护焊接工艺。柜体结构整体为拆装式结构分为多个单元独立柜体，柜体深度不低于530mm。门板抽面为内嵌式结构设计，门板抽面均为双层结构，柜体上部分为抽屉，下部分为柜门。柜体前框架为独立整体焊接结构使柜体更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2.2、标准独立柜体，方便组装后期搬移等。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2.3、滑轨：选用三节滚珠静音滑轨，耐用、顺滑、承重性好。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2.4、柜体需配备可调地脚，柜体地脚螺母为预埋式。</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水槽、水龙头</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widowControl/>
              <w:suppressLineNumbers w:val="0"/>
              <w:spacing w:before="0" w:beforeAutospacing="0" w:after="0" w:afterAutospacing="0"/>
              <w:ind w:left="0" w:right="0" w:firstLine="0"/>
              <w:rPr>
                <w:rFonts w:hint="eastAsia" w:eastAsiaTheme="minorEastAsia"/>
                <w:highlight w:val="none"/>
                <w:lang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i w:val="0"/>
                <w:iCs w:val="0"/>
                <w:color w:val="auto"/>
                <w:sz w:val="21"/>
                <w:szCs w:val="21"/>
                <w:highlight w:val="none"/>
                <w:u w:val="none"/>
                <w:lang w:val="en-US" w:eastAsia="zh-CN"/>
              </w:rPr>
              <w:t>1、</w:t>
            </w:r>
            <w:r>
              <w:rPr>
                <w:rFonts w:hint="eastAsia" w:ascii="宋体" w:hAnsi="宋体" w:eastAsia="宋体" w:cs="宋体"/>
                <w:b w:val="0"/>
                <w:bCs w:val="0"/>
                <w:i w:val="0"/>
                <w:iCs w:val="0"/>
                <w:color w:val="auto"/>
                <w:sz w:val="21"/>
                <w:szCs w:val="21"/>
                <w:highlight w:val="none"/>
                <w:u w:val="none"/>
                <w:lang w:val="en-US" w:eastAsia="zh-CN"/>
              </w:rPr>
              <w:t>PP水槽：长*宽*深（mm）：不小于</w:t>
            </w:r>
            <w:r>
              <w:rPr>
                <w:rFonts w:hint="eastAsia" w:ascii="宋体" w:hAnsi="宋体" w:eastAsia="宋体" w:cs="宋体"/>
                <w:i w:val="0"/>
                <w:iCs w:val="0"/>
                <w:color w:val="000000"/>
                <w:kern w:val="0"/>
                <w:sz w:val="21"/>
                <w:szCs w:val="21"/>
                <w:highlight w:val="none"/>
                <w:u w:val="none"/>
                <w:lang w:val="en-US" w:eastAsia="zh-CN" w:bidi="ar"/>
              </w:rPr>
              <w:t>550*450*310mm</w:t>
            </w:r>
            <w:r>
              <w:rPr>
                <w:rFonts w:hint="eastAsia" w:ascii="宋体" w:hAnsi="宋体" w:eastAsia="宋体" w:cs="宋体"/>
                <w:b w:val="0"/>
                <w:bCs w:val="0"/>
                <w:i w:val="0"/>
                <w:iCs w:val="0"/>
                <w:color w:val="auto"/>
                <w:sz w:val="21"/>
                <w:szCs w:val="21"/>
                <w:highlight w:val="none"/>
                <w:u w:val="none"/>
                <w:lang w:val="en-US" w:eastAsia="zh-CN"/>
              </w:rPr>
              <w:t>，PP材质，至少6mm</w:t>
            </w:r>
            <w:r>
              <w:rPr>
                <w:rFonts w:hint="eastAsia" w:ascii="宋体" w:hAnsi="宋体" w:eastAsia="宋体" w:cs="宋体"/>
                <w:b w:val="0"/>
                <w:bCs w:val="0"/>
                <w:i w:val="0"/>
                <w:iCs w:val="0"/>
                <w:color w:val="auto"/>
                <w:kern w:val="2"/>
                <w:sz w:val="21"/>
                <w:szCs w:val="21"/>
                <w:highlight w:val="none"/>
                <w:u w:val="none"/>
                <w:lang w:val="en-US" w:eastAsia="zh-CN" w:bidi="ar-SA"/>
              </w:rPr>
              <w:t>厚一体成型，不易老化，安装时水盆低于台面 。接PP反水弯，防腐蚀，防止水管阻塞功能，并易于拆卸。要求</w:t>
            </w:r>
            <w:r>
              <w:rPr>
                <w:rFonts w:hint="eastAsia" w:ascii="宋体" w:hAnsi="宋体" w:eastAsia="宋体" w:cs="宋体"/>
                <w:b w:val="0"/>
                <w:bCs w:val="0"/>
                <w:i w:val="0"/>
                <w:iCs w:val="0"/>
                <w:color w:val="auto"/>
                <w:sz w:val="21"/>
                <w:szCs w:val="21"/>
                <w:highlight w:val="none"/>
                <w:u w:val="none"/>
                <w:lang w:val="en-US" w:eastAsia="zh-CN"/>
              </w:rPr>
              <w:t>水槽</w:t>
            </w:r>
            <w:r>
              <w:rPr>
                <w:rFonts w:hint="eastAsia" w:ascii="宋体" w:hAnsi="宋体" w:eastAsia="宋体" w:cs="宋体"/>
                <w:b w:val="0"/>
                <w:bCs w:val="0"/>
                <w:i w:val="0"/>
                <w:iCs w:val="0"/>
                <w:color w:val="auto"/>
                <w:kern w:val="2"/>
                <w:sz w:val="21"/>
                <w:szCs w:val="21"/>
                <w:highlight w:val="none"/>
                <w:u w:val="none"/>
                <w:lang w:val="en-US" w:eastAsia="zh-CN" w:bidi="ar-SA"/>
              </w:rPr>
              <w:t>耐酸性经体积分数为0.18的盐酸溶液浸泡24h，再用自来水清洗干净后，与原试样对比，未见明显异常，无腐蚀状况；</w:t>
            </w:r>
            <w:r>
              <w:rPr>
                <w:rFonts w:hint="eastAsia" w:ascii="宋体" w:hAnsi="宋体" w:eastAsia="宋体" w:cs="宋体"/>
                <w:b w:val="0"/>
                <w:bCs w:val="0"/>
                <w:i w:val="0"/>
                <w:iCs w:val="0"/>
                <w:color w:val="auto"/>
                <w:sz w:val="21"/>
                <w:szCs w:val="21"/>
                <w:highlight w:val="none"/>
                <w:u w:val="none"/>
                <w:lang w:val="en-US" w:eastAsia="zh-CN"/>
              </w:rPr>
              <w:t>水槽</w:t>
            </w:r>
            <w:r>
              <w:rPr>
                <w:rFonts w:hint="eastAsia" w:ascii="宋体" w:hAnsi="宋体" w:eastAsia="宋体" w:cs="宋体"/>
                <w:b w:val="0"/>
                <w:bCs w:val="0"/>
                <w:i w:val="0"/>
                <w:iCs w:val="0"/>
                <w:color w:val="auto"/>
                <w:kern w:val="2"/>
                <w:sz w:val="21"/>
                <w:szCs w:val="21"/>
                <w:highlight w:val="none"/>
                <w:u w:val="none"/>
                <w:lang w:val="en-US" w:eastAsia="zh-CN" w:bidi="ar-SA"/>
              </w:rPr>
              <w:t>耐碱性经400g/L的氢氧化钾溶液浸泡24h，再用自来水清洗干净后，与原试样对比，未见明显异常，无腐蚀状况</w:t>
            </w:r>
            <w:r>
              <w:rPr>
                <w:rFonts w:hint="eastAsia" w:ascii="宋体" w:hAnsi="宋体" w:eastAsia="宋体" w:cs="宋体"/>
                <w:b/>
                <w:bCs/>
                <w:i w:val="0"/>
                <w:iCs w:val="0"/>
                <w:color w:val="auto"/>
                <w:kern w:val="2"/>
                <w:sz w:val="21"/>
                <w:szCs w:val="21"/>
                <w:highlight w:val="none"/>
                <w:u w:val="none"/>
                <w:lang w:val="en-US" w:eastAsia="zh-CN" w:bidi="ar-SA"/>
              </w:rPr>
              <w:t>（提供第三方检测报告）</w:t>
            </w:r>
            <w:r>
              <w:rPr>
                <w:rFonts w:hint="eastAsia" w:ascii="宋体" w:hAnsi="宋体" w:eastAsia="宋体" w:cs="宋体"/>
                <w:b w:val="0"/>
                <w:bCs w:val="0"/>
                <w:i w:val="0"/>
                <w:iCs w:val="0"/>
                <w:color w:val="auto"/>
                <w:kern w:val="2"/>
                <w:sz w:val="21"/>
                <w:szCs w:val="21"/>
                <w:highlight w:val="none"/>
                <w:u w:val="none"/>
                <w:lang w:val="en-US" w:eastAsia="zh-CN" w:bidi="ar-SA"/>
              </w:rPr>
              <w:t>；</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i w:val="0"/>
                <w:iCs w:val="0"/>
                <w:color w:val="auto"/>
                <w:sz w:val="21"/>
                <w:szCs w:val="21"/>
                <w:highlight w:val="none"/>
                <w:u w:val="none"/>
                <w:lang w:val="en-US" w:eastAsia="zh-CN"/>
              </w:rPr>
              <w:t>2、实验室专用</w:t>
            </w:r>
            <w:r>
              <w:rPr>
                <w:rFonts w:hint="eastAsia" w:ascii="宋体" w:hAnsi="宋体" w:eastAsia="宋体" w:cs="宋体"/>
                <w:b w:val="0"/>
                <w:bCs w:val="0"/>
                <w:i w:val="0"/>
                <w:iCs w:val="0"/>
                <w:color w:val="auto"/>
                <w:kern w:val="2"/>
                <w:sz w:val="21"/>
                <w:szCs w:val="21"/>
                <w:highlight w:val="none"/>
                <w:u w:val="none"/>
                <w:lang w:val="en-US" w:eastAsia="zh-CN" w:bidi="ar-SA"/>
              </w:rPr>
              <w:t>三口水龙头，采用纯铜制作，经耐酸碱粉末涂料热固处理，防酸碱、耐腐蚀，防紫外线辐射，铜质一体化设计，开关采用精密陶瓷阀心、耐磨、耐腐蚀，开关寿命要求可达50万次，鹅颈出水管可360度旋转，水嘴密封性能符合国家相关标准，静态最大耐压20Pa。可对水流进行微量调节，带冷凝水嘴。要求在耐压性能实验中满足QB/T 1334-2013（2017）《水嘴通用技术条件》标准要求：阀芯上游及不带流量调节器的水嘴阀芯下游的任何零部件无永久性变形</w:t>
            </w:r>
            <w:r>
              <w:rPr>
                <w:rFonts w:hint="eastAsia" w:ascii="宋体" w:hAnsi="宋体" w:eastAsia="宋体" w:cs="宋体"/>
                <w:b/>
                <w:bCs/>
                <w:i w:val="0"/>
                <w:iCs w:val="0"/>
                <w:color w:val="auto"/>
                <w:kern w:val="2"/>
                <w:sz w:val="21"/>
                <w:szCs w:val="21"/>
                <w:highlight w:val="none"/>
                <w:u w:val="none"/>
                <w:lang w:val="en-US" w:eastAsia="zh-CN" w:bidi="ar-SA"/>
              </w:rPr>
              <w:t>（提供第三方检测报告）</w:t>
            </w:r>
            <w:r>
              <w:rPr>
                <w:rFonts w:hint="eastAsia" w:ascii="宋体" w:hAnsi="宋体" w:eastAsia="宋体" w:cs="宋体"/>
                <w:b w:val="0"/>
                <w:bCs w:val="0"/>
                <w:i w:val="0"/>
                <w:iCs w:val="0"/>
                <w:color w:val="auto"/>
                <w:kern w:val="2"/>
                <w:sz w:val="21"/>
                <w:szCs w:val="21"/>
                <w:highlight w:val="none"/>
                <w:u w:val="none"/>
                <w:lang w:val="en-US" w:eastAsia="zh-CN" w:bidi="ar-SA"/>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实验凳</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采用PU材质，防水耐用，不易变形、安全气压支撑杆可360°旋转。</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r>
              <w:rPr>
                <w:rFonts w:hint="eastAsia" w:ascii="宋体" w:hAnsi="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实验室改造</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约</w:t>
            </w:r>
            <w:r>
              <w:rPr>
                <w:rFonts w:hint="eastAsia" w:ascii="宋体" w:hAnsi="宋体" w:cs="宋体"/>
                <w:i w:val="0"/>
                <w:iCs w:val="0"/>
                <w:color w:val="000000"/>
                <w:kern w:val="0"/>
                <w:sz w:val="21"/>
                <w:szCs w:val="21"/>
                <w:highlight w:val="none"/>
                <w:u w:val="none"/>
                <w:lang w:val="en-US" w:eastAsia="zh-CN" w:bidi="ar"/>
              </w:rPr>
              <w:t>160</w:t>
            </w:r>
            <w:r>
              <w:rPr>
                <w:rFonts w:hint="eastAsia" w:ascii="宋体" w:hAnsi="宋体" w:eastAsia="宋体" w:cs="宋体"/>
                <w:i w:val="0"/>
                <w:iCs w:val="0"/>
                <w:color w:val="000000"/>
                <w:kern w:val="0"/>
                <w:sz w:val="21"/>
                <w:szCs w:val="21"/>
                <w:highlight w:val="none"/>
                <w:u w:val="none"/>
                <w:lang w:val="en-US" w:eastAsia="zh-CN" w:bidi="ar"/>
              </w:rPr>
              <w:t>平米实验室改造，包含如下内容：</w:t>
            </w:r>
            <w:r>
              <w:rPr>
                <w:rFonts w:hint="eastAsia" w:ascii="宋体" w:hAnsi="宋体" w:cs="宋体"/>
                <w:i w:val="0"/>
                <w:iCs w:val="0"/>
                <w:color w:val="000000"/>
                <w:kern w:val="0"/>
                <w:sz w:val="21"/>
                <w:szCs w:val="21"/>
                <w:highlight w:val="none"/>
                <w:u w:val="none"/>
                <w:lang w:val="en-US" w:eastAsia="zh-CN" w:bidi="ar"/>
              </w:rPr>
              <w:t>水电改造、</w:t>
            </w:r>
            <w:r>
              <w:rPr>
                <w:rFonts w:hint="eastAsia" w:ascii="宋体" w:hAnsi="宋体" w:eastAsia="宋体" w:cs="宋体"/>
                <w:i w:val="0"/>
                <w:iCs w:val="0"/>
                <w:color w:val="000000"/>
                <w:kern w:val="0"/>
                <w:sz w:val="21"/>
                <w:szCs w:val="21"/>
                <w:highlight w:val="none"/>
                <w:u w:val="none"/>
                <w:lang w:val="en-US" w:eastAsia="zh-CN" w:bidi="ar"/>
              </w:rPr>
              <w:t>墙面翻新、硅酸钙板吊顶、LED平板灯、窗帘制作及安装</w:t>
            </w:r>
            <w:r>
              <w:rPr>
                <w:rFonts w:hint="eastAsia" w:ascii="宋体" w:hAnsi="宋体" w:cs="宋体"/>
                <w:i w:val="0"/>
                <w:iCs w:val="0"/>
                <w:color w:val="000000"/>
                <w:kern w:val="0"/>
                <w:sz w:val="21"/>
                <w:szCs w:val="21"/>
                <w:highlight w:val="none"/>
                <w:u w:val="none"/>
                <w:lang w:val="en-US" w:eastAsia="zh-CN" w:bidi="ar"/>
              </w:rPr>
              <w:t>、砸墙、原有部分墙体拆除、双面石膏板轻钢龙骨隔墙、免漆木门、开关插座及漏电保护开关、垃圾清运等。</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说明：</w:t>
            </w:r>
          </w:p>
          <w:p>
            <w:pPr>
              <w:spacing w:line="360" w:lineRule="auto"/>
              <w:rPr>
                <w:rFonts w:hint="eastAsia" w:ascii="宋体" w:hAnsi="宋体" w:eastAsia="宋体" w:cs="Times New Roman"/>
                <w:b/>
                <w:bCs/>
                <w:kern w:val="2"/>
                <w:sz w:val="21"/>
                <w:szCs w:val="21"/>
                <w:highlight w:val="none"/>
                <w:lang w:val="en-US" w:eastAsia="zh-CN" w:bidi="ar"/>
              </w:rPr>
            </w:pPr>
            <w:r>
              <w:rPr>
                <w:rFonts w:hint="eastAsia" w:ascii="宋体" w:hAnsi="宋体" w:cs="宋体"/>
                <w:b/>
                <w:bCs/>
                <w:color w:val="auto"/>
                <w:szCs w:val="21"/>
                <w:highlight w:val="none"/>
                <w:lang w:val="en-US" w:eastAsia="zh-CN"/>
              </w:rPr>
              <w:t>1、</w:t>
            </w:r>
            <w:r>
              <w:rPr>
                <w:rFonts w:hint="eastAsia" w:ascii="宋体" w:hAnsi="宋体" w:cs="宋体"/>
                <w:b/>
                <w:bCs/>
                <w:color w:val="auto"/>
                <w:sz w:val="21"/>
                <w:szCs w:val="21"/>
                <w:highlight w:val="none"/>
                <w:lang w:val="en-US" w:eastAsia="zh-CN"/>
              </w:rPr>
              <w:t>本项目免费质保期：两年。</w:t>
            </w:r>
            <w:r>
              <w:rPr>
                <w:rFonts w:hint="eastAsia" w:ascii="宋体" w:hAnsi="宋体" w:eastAsia="宋体" w:cs="Times New Roman"/>
                <w:b/>
                <w:bCs/>
                <w:kern w:val="2"/>
                <w:sz w:val="21"/>
                <w:szCs w:val="21"/>
                <w:highlight w:val="none"/>
                <w:lang w:val="en-US" w:eastAsia="zh-CN" w:bidi="ar"/>
              </w:rPr>
              <w:t>无人机及高压蒸汽灭菌器主要产品</w:t>
            </w:r>
            <w:r>
              <w:rPr>
                <w:rFonts w:hint="eastAsia" w:ascii="宋体" w:hAnsi="宋体" w:cs="Times New Roman"/>
                <w:b/>
                <w:bCs/>
                <w:color w:val="auto"/>
                <w:kern w:val="2"/>
                <w:sz w:val="21"/>
                <w:szCs w:val="21"/>
                <w:highlight w:val="none"/>
                <w:lang w:val="en-US" w:eastAsia="zh-CN" w:bidi="ar"/>
              </w:rPr>
              <w:t>免费</w:t>
            </w:r>
            <w:r>
              <w:rPr>
                <w:rFonts w:hint="eastAsia" w:ascii="宋体" w:hAnsi="宋体" w:eastAsia="宋体" w:cs="Times New Roman"/>
                <w:b/>
                <w:bCs/>
                <w:kern w:val="2"/>
                <w:sz w:val="21"/>
                <w:szCs w:val="21"/>
                <w:highlight w:val="none"/>
                <w:lang w:val="en-US" w:eastAsia="zh-CN" w:bidi="ar"/>
              </w:rPr>
              <w:t>质保期3年。</w:t>
            </w:r>
          </w:p>
          <w:p>
            <w:pPr>
              <w:spacing w:line="360" w:lineRule="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b w:val="0"/>
                <w:bCs w:val="0"/>
                <w:color w:val="auto"/>
                <w:szCs w:val="21"/>
                <w:highlight w:val="none"/>
                <w:lang w:val="en-US" w:eastAsia="zh-CN"/>
              </w:rPr>
              <w:t>2、磋商</w:t>
            </w:r>
            <w:r>
              <w:rPr>
                <w:rFonts w:hint="eastAsia" w:ascii="宋体" w:hAnsi="宋体" w:cs="宋体"/>
                <w:b w:val="0"/>
                <w:bCs w:val="0"/>
                <w:color w:val="auto"/>
                <w:szCs w:val="21"/>
                <w:highlight w:val="none"/>
              </w:rPr>
              <w:t>响应人的</w:t>
            </w:r>
            <w:r>
              <w:rPr>
                <w:rFonts w:hint="eastAsia" w:ascii="宋体" w:hAnsi="宋体" w:cs="宋体"/>
                <w:b w:val="0"/>
                <w:bCs w:val="0"/>
                <w:color w:val="auto"/>
                <w:szCs w:val="21"/>
                <w:highlight w:val="none"/>
                <w:lang w:val="en-US" w:eastAsia="zh-CN"/>
              </w:rPr>
              <w:t>磋商</w:t>
            </w:r>
            <w:r>
              <w:rPr>
                <w:rFonts w:hint="eastAsia" w:ascii="宋体" w:hAnsi="宋体" w:cs="宋体"/>
                <w:b w:val="0"/>
                <w:bCs w:val="0"/>
                <w:color w:val="auto"/>
                <w:szCs w:val="21"/>
                <w:highlight w:val="none"/>
              </w:rPr>
              <w:t>响应文件必须标明所投货物的品牌与参数，保证原厂正品供货，提供相关资料等。本次采购最高限价：人民币</w:t>
            </w:r>
            <w:r>
              <w:rPr>
                <w:rFonts w:hint="eastAsia" w:ascii="宋体" w:hAnsi="宋体" w:cs="宋体"/>
                <w:b w:val="0"/>
                <w:bCs w:val="0"/>
                <w:color w:val="auto"/>
                <w:szCs w:val="21"/>
                <w:highlight w:val="none"/>
                <w:lang w:val="en-US" w:eastAsia="zh-CN"/>
              </w:rPr>
              <w:t>贰拾捌万陆仟零贰拾元整</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286020.00</w:t>
            </w:r>
            <w:r>
              <w:rPr>
                <w:rFonts w:hint="eastAsia" w:ascii="宋体" w:hAnsi="宋体" w:cs="宋体"/>
                <w:b w:val="0"/>
                <w:bCs w:val="0"/>
                <w:color w:val="auto"/>
                <w:szCs w:val="21"/>
                <w:highlight w:val="none"/>
              </w:rPr>
              <w:t>元）</w:t>
            </w:r>
          </w:p>
        </w:tc>
      </w:tr>
    </w:tbl>
    <w:p>
      <w:pPr>
        <w:pStyle w:val="2"/>
        <w:rPr>
          <w:rFonts w:hint="eastAsia"/>
          <w:b/>
          <w:bCs/>
          <w:color w:val="000000"/>
          <w:sz w:val="21"/>
          <w:szCs w:val="21"/>
          <w:lang w:val="en-US" w:eastAsia="zh-CN"/>
        </w:rPr>
      </w:pPr>
    </w:p>
    <w:p>
      <w:pPr>
        <w:jc w:val="center"/>
        <w:rPr>
          <w:rFonts w:hint="default" w:eastAsia="宋体"/>
          <w:b/>
          <w:bCs/>
          <w:lang w:val="en-US" w:eastAsia="zh-CN"/>
        </w:rPr>
      </w:pPr>
      <w:r>
        <w:rPr>
          <w:rFonts w:hint="eastAsia"/>
          <w:b/>
          <w:bCs/>
          <w:lang w:val="en-US" w:eastAsia="zh-CN"/>
        </w:rPr>
        <w:t>附件：</w:t>
      </w:r>
      <w:r>
        <w:rPr>
          <w:rFonts w:hint="eastAsia" w:cs="宋体"/>
          <w:b/>
          <w:bCs/>
          <w:i w:val="0"/>
          <w:iCs w:val="0"/>
          <w:color w:val="000000"/>
          <w:kern w:val="0"/>
          <w:sz w:val="21"/>
          <w:szCs w:val="21"/>
          <w:u w:val="none"/>
          <w:lang w:val="en-US" w:eastAsia="zh-CN" w:bidi="ar"/>
        </w:rPr>
        <w:t>实验室改造明细清单</w:t>
      </w:r>
    </w:p>
    <w:tbl>
      <w:tblPr>
        <w:tblStyle w:val="5"/>
        <w:tblpPr w:leftFromText="180" w:rightFromText="180" w:vertAnchor="text" w:horzAnchor="page" w:tblpX="3180" w:tblpY="699"/>
        <w:tblOverlap w:val="never"/>
        <w:tblW w:w="6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2247"/>
        <w:gridCol w:w="846"/>
        <w:gridCol w:w="750"/>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办公会议室</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墙面、顶面拆除</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人工费及垃圾清运费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矿棉板吊顶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规格600*600mm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规格600*600mm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双面石膏板轻钢龙骨隔墙</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轻钢龙骨打底石膏板饰面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免漆木门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实验室</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数量</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矿棉板吊顶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规格600*600mm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水电工程</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数量</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水电安装改造人工费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电路改造（平线）</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电线 pvc套管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弱电改造</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超六类网线 pvc套管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水路改造单价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PPR热水管 规格：</w:t>
            </w:r>
            <w:r>
              <w:rPr>
                <w:rFonts w:hint="eastAsia" w:ascii="宋体" w:hAnsi="宋体" w:cs="宋体"/>
                <w:i w:val="0"/>
                <w:iCs w:val="0"/>
                <w:color w:val="000000"/>
                <w:kern w:val="0"/>
                <w:sz w:val="21"/>
                <w:szCs w:val="21"/>
                <w:highlight w:val="none"/>
                <w:u w:val="none"/>
                <w:lang w:val="en-US" w:eastAsia="zh-CN" w:bidi="ar"/>
              </w:rPr>
              <w:t>厚度</w:t>
            </w:r>
            <w:r>
              <w:rPr>
                <w:rFonts w:hint="eastAsia" w:ascii="宋体" w:hAnsi="宋体" w:eastAsia="宋体" w:cs="宋体"/>
                <w:i w:val="0"/>
                <w:iCs w:val="0"/>
                <w:color w:val="000000"/>
                <w:kern w:val="0"/>
                <w:sz w:val="21"/>
                <w:szCs w:val="21"/>
                <w:highlight w:val="none"/>
                <w:u w:val="none"/>
                <w:lang w:val="en-US" w:eastAsia="zh-CN" w:bidi="ar"/>
              </w:rPr>
              <w:t>20</w:t>
            </w:r>
            <w:r>
              <w:rPr>
                <w:rFonts w:hint="eastAsia" w:ascii="宋体" w:hAnsi="宋体"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外径28mm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开关插座及漏电保护开关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b/>
          <w:bCs/>
          <w:color w:val="000000"/>
          <w:sz w:val="21"/>
          <w:szCs w:val="21"/>
          <w:lang w:val="en-US" w:eastAsia="zh-CN"/>
        </w:rPr>
      </w:pPr>
    </w:p>
    <w:p>
      <w:pPr>
        <w:pStyle w:val="2"/>
        <w:rPr>
          <w:rFonts w:hint="eastAsia"/>
          <w:b/>
          <w:bCs/>
          <w:color w:val="000000"/>
          <w:sz w:val="21"/>
          <w:szCs w:val="21"/>
          <w:lang w:val="en-US" w:eastAsia="zh-CN"/>
        </w:rPr>
      </w:pPr>
    </w:p>
    <w:p>
      <w:pPr>
        <w:rPr>
          <w:rFonts w:hint="eastAsia"/>
          <w:b/>
          <w:bCs/>
          <w:color w:val="000000"/>
          <w:sz w:val="21"/>
          <w:szCs w:val="21"/>
          <w:lang w:val="en-US" w:eastAsia="zh-CN"/>
        </w:rPr>
      </w:pPr>
    </w:p>
    <w:p>
      <w:pPr>
        <w:pStyle w:val="2"/>
        <w:rPr>
          <w:rFonts w:hint="eastAsia"/>
          <w:b/>
          <w:bCs/>
          <w:color w:val="000000"/>
          <w:sz w:val="21"/>
          <w:szCs w:val="21"/>
          <w:lang w:val="en-US" w:eastAsia="zh-CN"/>
        </w:rPr>
      </w:pPr>
    </w:p>
    <w:p>
      <w:pPr>
        <w:rPr>
          <w:rFonts w:hint="eastAsia"/>
          <w:b/>
          <w:bCs/>
          <w:color w:val="000000"/>
          <w:sz w:val="21"/>
          <w:szCs w:val="21"/>
          <w:lang w:val="en-US" w:eastAsia="zh-CN"/>
        </w:rPr>
      </w:pPr>
    </w:p>
    <w:p>
      <w:pPr>
        <w:pStyle w:val="2"/>
        <w:rPr>
          <w:rFonts w:hint="eastAsia"/>
          <w:b/>
          <w:bCs/>
          <w:color w:val="000000"/>
          <w:sz w:val="21"/>
          <w:szCs w:val="21"/>
          <w:lang w:val="en-US" w:eastAsia="zh-CN"/>
        </w:rPr>
      </w:pPr>
    </w:p>
    <w:p>
      <w:pPr>
        <w:rPr>
          <w:rFonts w:hint="default"/>
          <w:lang w:val="en-US" w:eastAsia="zh-CN"/>
        </w:rPr>
      </w:pPr>
    </w:p>
    <w:p>
      <w:pPr>
        <w:numPr>
          <w:ilvl w:val="0"/>
          <w:numId w:val="0"/>
        </w:numPr>
        <w:ind w:leftChars="0"/>
        <w:rPr>
          <w:rFonts w:hint="default"/>
          <w:lang w:val="en-US" w:eastAsia="zh-CN"/>
        </w:rPr>
      </w:pPr>
    </w:p>
    <w:p>
      <w:pPr>
        <w:pStyle w:val="2"/>
        <w:ind w:firstLine="211" w:firstLineChars="100"/>
        <w:jc w:val="both"/>
        <w:rPr>
          <w:rFonts w:hint="eastAsia" w:cs="宋体"/>
          <w:color w:val="000000"/>
          <w:highlight w:val="none"/>
        </w:rPr>
      </w:pPr>
    </w:p>
    <w:p>
      <w:pPr>
        <w:pStyle w:val="2"/>
        <w:ind w:firstLine="211" w:firstLineChars="100"/>
        <w:jc w:val="both"/>
        <w:rPr>
          <w:rFonts w:hint="eastAsia" w:cs="宋体"/>
          <w:color w:val="000000"/>
          <w:highlight w:val="none"/>
        </w:rPr>
      </w:pPr>
    </w:p>
    <w:p>
      <w:pPr>
        <w:pStyle w:val="2"/>
        <w:ind w:firstLine="211" w:firstLineChars="100"/>
        <w:jc w:val="both"/>
        <w:rPr>
          <w:rFonts w:hint="eastAsia" w:cs="宋体"/>
          <w:color w:val="000000"/>
          <w:highlight w:val="none"/>
        </w:rPr>
      </w:pPr>
    </w:p>
    <w:p>
      <w:pPr>
        <w:pStyle w:val="2"/>
        <w:ind w:firstLine="211" w:firstLineChars="100"/>
        <w:jc w:val="both"/>
        <w:rPr>
          <w:rFonts w:hint="eastAsia" w:cs="宋体"/>
          <w:color w:val="000000"/>
          <w:highlight w:val="none"/>
        </w:rPr>
      </w:pPr>
    </w:p>
    <w:p>
      <w:pPr>
        <w:pStyle w:val="2"/>
        <w:ind w:firstLine="211" w:firstLineChars="100"/>
        <w:jc w:val="both"/>
        <w:rPr>
          <w:rFonts w:cs="宋体"/>
          <w:color w:val="000000"/>
          <w:highlight w:val="none"/>
        </w:rPr>
      </w:pPr>
      <w:r>
        <w:rPr>
          <w:rFonts w:hint="eastAsia" w:cs="宋体"/>
          <w:color w:val="000000"/>
          <w:highlight w:val="none"/>
        </w:rPr>
        <w:t>二、人员培训要求</w:t>
      </w:r>
    </w:p>
    <w:p>
      <w:pPr>
        <w:widowControl/>
        <w:spacing w:line="500" w:lineRule="exac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2"/>
        <w:ind w:firstLine="413" w:firstLineChars="196"/>
        <w:jc w:val="both"/>
        <w:rPr>
          <w:rFonts w:cs="宋体"/>
          <w:color w:val="000000"/>
          <w:highlight w:val="none"/>
        </w:rPr>
      </w:pPr>
      <w:bookmarkStart w:id="0" w:name="_Toc21193"/>
      <w:bookmarkStart w:id="1" w:name="_Toc21320"/>
      <w:bookmarkStart w:id="2" w:name="_Toc14028"/>
      <w:bookmarkStart w:id="3" w:name="_Toc8808"/>
      <w:r>
        <w:rPr>
          <w:rFonts w:hint="eastAsia" w:cs="宋体"/>
          <w:color w:val="000000"/>
          <w:highlight w:val="none"/>
        </w:rPr>
        <w:t>三、货物质量及售后服务要求</w:t>
      </w:r>
      <w:bookmarkEnd w:id="0"/>
      <w:bookmarkEnd w:id="1"/>
      <w:bookmarkEnd w:id="2"/>
      <w:bookmarkEnd w:id="3"/>
    </w:p>
    <w:p>
      <w:pPr>
        <w:widowControl/>
        <w:spacing w:line="500" w:lineRule="exact"/>
        <w:rPr>
          <w:rFonts w:ascii="宋体" w:hAnsi="宋体" w:cs="宋体"/>
          <w:color w:val="000000"/>
          <w:szCs w:val="21"/>
          <w:highlight w:val="none"/>
        </w:rPr>
      </w:pPr>
      <w:r>
        <w:rPr>
          <w:rFonts w:hint="eastAsia" w:ascii="宋体" w:hAnsi="宋体" w:cs="宋体"/>
          <w:color w:val="000000"/>
          <w:szCs w:val="21"/>
          <w:highlight w:val="none"/>
        </w:rPr>
        <w:t xml:space="preserve">    1、货物质量：成交人提供的货物必须是全新、原装、合格正品，完全符合国家规定的质量标准和厂方的标准。货物完好，配件齐全。</w:t>
      </w:r>
    </w:p>
    <w:p>
      <w:pPr>
        <w:widowControl/>
        <w:spacing w:line="500" w:lineRule="exact"/>
        <w:rPr>
          <w:rFonts w:ascii="宋体" w:hAnsi="宋体" w:cs="宋体"/>
          <w:color w:val="000000"/>
          <w:szCs w:val="21"/>
          <w:highlight w:val="none"/>
        </w:rPr>
      </w:pPr>
      <w:r>
        <w:rPr>
          <w:rFonts w:hint="eastAsia" w:ascii="宋体" w:hAnsi="宋体" w:cs="宋体"/>
          <w:color w:val="000000"/>
          <w:szCs w:val="21"/>
          <w:highlight w:val="none"/>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pPr>
        <w:pStyle w:val="2"/>
        <w:ind w:firstLine="413" w:firstLineChars="196"/>
        <w:jc w:val="both"/>
        <w:rPr>
          <w:rFonts w:cs="宋体"/>
          <w:color w:val="000000"/>
          <w:highlight w:val="none"/>
        </w:rPr>
      </w:pPr>
      <w:bookmarkStart w:id="4" w:name="_Toc466"/>
      <w:bookmarkStart w:id="5" w:name="_Toc9520"/>
      <w:bookmarkStart w:id="6" w:name="_Toc23163"/>
      <w:bookmarkStart w:id="7" w:name="_Toc23093"/>
      <w:r>
        <w:rPr>
          <w:rFonts w:hint="eastAsia" w:cs="宋体"/>
          <w:color w:val="000000"/>
          <w:highlight w:val="none"/>
        </w:rPr>
        <w:t>四、验收</w:t>
      </w:r>
      <w:bookmarkEnd w:id="4"/>
      <w:bookmarkEnd w:id="5"/>
      <w:bookmarkEnd w:id="6"/>
      <w:bookmarkEnd w:id="7"/>
    </w:p>
    <w:p>
      <w:pPr>
        <w:widowControl/>
        <w:spacing w:line="500" w:lineRule="exact"/>
        <w:rPr>
          <w:rFonts w:hint="eastAsia"/>
        </w:rPr>
      </w:pPr>
      <w:r>
        <w:rPr>
          <w:rFonts w:hint="eastAsia" w:ascii="宋体" w:hAnsi="宋体" w:cs="宋体"/>
          <w:color w:val="000000"/>
          <w:szCs w:val="21"/>
          <w:highlight w:val="none"/>
        </w:rPr>
        <w:t xml:space="preserve">    成交人和采购人双方共同实施验收工作，结果和验收报告经双方确认后生效。</w:t>
      </w:r>
      <w:bookmarkStart w:id="8" w:name="_GoBack"/>
      <w:bookmarkEnd w:id="8"/>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88E17"/>
    <w:multiLevelType w:val="singleLevel"/>
    <w:tmpl w:val="60088E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4433FFB"/>
    <w:rsid w:val="0443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2">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2023-10-13T03:14:00Z</dcterms:created>
  <dc:creator>叶叶叶</dc:creator>
  <cp:lastModifiedBy>叶叶叶</cp:lastModifiedBy>
  <dcterms:modified xsi:type="dcterms:W3CDTF">2023-10-13T03:15:18Z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DAAEEC8048924DC4958C4ABF85D07943_11</vt:lpwstr>
  </property>
</Properties>
</file>