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（二级学院）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执行和落实职业教育国家教学基本文件情况的报告（格式与要求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不少于2000字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一、执行情况。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二级学院关于专业群中执行职业教育国家教学基本文件的实施细则、会议部署、教学经费投入、专项计划、督导检查等工作情况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二、落实情况。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二级学院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落实职业教育国家教学基本文件的基本情况，主要包括专业设置管理、教学标准、人才培养方案、教材管理、实习管理等方面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三、典型做法与经验。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二级学院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落实职业教育国家教学基本文件的好做法、好经验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，可附页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四、主要困难与问题。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梳理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二级学院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在落实职业教育国家教学基本文件中存在的主要困难与问题，分析原因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五、总结与整改。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提出下一步工作考虑和建议，列明对存在问题的整改方向与主要措施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53F04AC-FEEC-437B-B88F-9AAEBE21E2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3F011BC-475B-4B09-90BF-53541BD1FA5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CF719EC-4AF6-421D-B097-04A244A4C5A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9D99519-9E2A-466E-81DD-6D25A3EA2F0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F75272B7-6D48-4A84-8CEA-A50C28E7FA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MTEyYzhmOTJlNWJjZDE5ZmJiMzI3YjNiOTdhZDAifQ=="/>
  </w:docVars>
  <w:rsids>
    <w:rsidRoot w:val="71A061DF"/>
    <w:rsid w:val="07440B95"/>
    <w:rsid w:val="19634C72"/>
    <w:rsid w:val="34145D0B"/>
    <w:rsid w:val="71A061DF"/>
    <w:rsid w:val="76983030"/>
    <w:rsid w:val="7A797360"/>
    <w:rsid w:val="7EB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321</Characters>
  <Lines>0</Lines>
  <Paragraphs>0</Paragraphs>
  <TotalTime>14</TotalTime>
  <ScaleCrop>false</ScaleCrop>
  <LinksUpToDate>false</LinksUpToDate>
  <CharactersWithSpaces>321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2023-09-14T06:32:00Z</dcterms:created>
  <dc:creator>cbj</dc:creator>
  <cp:lastModifiedBy>cq</cp:lastModifiedBy>
  <dcterms:modified xsi:type="dcterms:W3CDTF">2023-10-08T00:28:50Z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0A635723987A455293E829A27059C48D_13</vt:lpwstr>
  </property>
</Properties>
</file>