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eastAsia="zh-CN"/>
        </w:rPr>
        <w:t>安庆职业技术学院教学诊改复核展示用LED显示屏采购</w:t>
      </w:r>
    </w:p>
    <w:p>
      <w:pPr>
        <w:spacing w:line="360" w:lineRule="auto"/>
        <w:jc w:val="center"/>
        <w:rPr>
          <w:rFonts w:ascii="宋体" w:hAnsi="宋体" w:cs="宋体"/>
          <w:b/>
          <w:color w:val="auto"/>
          <w:sz w:val="48"/>
          <w:szCs w:val="48"/>
          <w:highlight w:val="none"/>
        </w:rPr>
      </w:pPr>
    </w:p>
    <w:p>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CG-AZ-2021-024</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 xml:space="preserve"> 月</w:t>
      </w: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10</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27</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二、鉴于新冠肺炎疫情防控工作需要，本项目将于开标前</w:t>
      </w:r>
      <w:r>
        <w:rPr>
          <w:rFonts w:hint="eastAsia" w:ascii="仿宋" w:hAnsi="仿宋" w:eastAsia="仿宋" w:cs="仿宋"/>
          <w:bCs/>
          <w:color w:val="auto"/>
          <w:kern w:val="0"/>
          <w:sz w:val="32"/>
          <w:szCs w:val="32"/>
          <w:lang w:val="en-US" w:eastAsia="zh-CN"/>
        </w:rPr>
        <w:t>半</w:t>
      </w:r>
      <w:r>
        <w:rPr>
          <w:rFonts w:hint="eastAsia" w:ascii="仿宋" w:hAnsi="仿宋" w:eastAsia="仿宋" w:cs="仿宋"/>
          <w:bCs/>
          <w:color w:val="auto"/>
          <w:kern w:val="0"/>
          <w:sz w:val="32"/>
          <w:szCs w:val="32"/>
        </w:rPr>
        <w:t>小时在安庆市公共资源交易中心（龙山路215号）门口处接收磋商响应文件，请供应商在递交响应文件前出示健康码（绿码）（或疫情低风险区域证明；或提交响应文件截止时间七日内核酸检测报告）、授权书、身份证。响应文件递交成功后可</w:t>
      </w:r>
      <w:r>
        <w:rPr>
          <w:rFonts w:hint="eastAsia" w:ascii="仿宋" w:hAnsi="仿宋" w:eastAsia="仿宋" w:cs="仿宋"/>
          <w:bCs/>
          <w:color w:val="auto"/>
          <w:kern w:val="0"/>
          <w:sz w:val="32"/>
          <w:szCs w:val="32"/>
          <w:lang w:val="en-US" w:eastAsia="zh-CN"/>
        </w:rPr>
        <w:t>暂时</w:t>
      </w:r>
      <w:r>
        <w:rPr>
          <w:rFonts w:hint="eastAsia" w:ascii="仿宋" w:hAnsi="仿宋" w:eastAsia="仿宋" w:cs="仿宋"/>
          <w:bCs/>
          <w:color w:val="auto"/>
          <w:kern w:val="0"/>
          <w:sz w:val="32"/>
          <w:szCs w:val="32"/>
        </w:rPr>
        <w:t>离开现场，如有询标或</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事宜将电话通知</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最终报价表</w:t>
      </w:r>
      <w:r>
        <w:rPr>
          <w:rFonts w:hint="eastAsia" w:ascii="仿宋" w:hAnsi="仿宋" w:eastAsia="仿宋" w:cs="仿宋"/>
          <w:bCs/>
          <w:color w:val="auto"/>
          <w:kern w:val="0"/>
          <w:sz w:val="32"/>
          <w:szCs w:val="32"/>
          <w:lang w:val="en-US" w:eastAsia="zh-CN"/>
        </w:rPr>
        <w:t>由各响应人谈判后现场递交</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w:t>
      </w:r>
    </w:p>
    <w:p>
      <w:pPr>
        <w:ind w:firstLine="640" w:firstLineChars="200"/>
        <w:rPr>
          <w:rFonts w:ascii="仿宋" w:hAnsi="仿宋" w:eastAsia="仿宋" w:cs="仿宋"/>
          <w:bCs/>
          <w:color w:val="auto"/>
          <w:kern w:val="0"/>
          <w:sz w:val="32"/>
          <w:szCs w:val="32"/>
        </w:rPr>
      </w:pPr>
    </w:p>
    <w:p>
      <w:pPr>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2、对投标活动中可能发生的质疑、投诉行为，须依法在规定的时间内提出。</w:t>
      </w:r>
    </w:p>
    <w:p>
      <w:pPr>
        <w:widowControl/>
        <w:ind w:firstLine="482" w:firstLineChars="200"/>
        <w:jc w:val="left"/>
        <w:rPr>
          <w:rFonts w:ascii="仿宋" w:hAnsi="仿宋" w:eastAsia="仿宋" w:cs="仿宋"/>
          <w:bCs/>
          <w:color w:val="auto"/>
          <w:kern w:val="0"/>
          <w:sz w:val="32"/>
          <w:szCs w:val="32"/>
        </w:rPr>
      </w:pPr>
      <w:r>
        <w:rPr>
          <w:rFonts w:ascii="宋体" w:hAnsi="宋体" w:cs="宋体"/>
          <w:b/>
          <w:color w:val="auto"/>
          <w:kern w:val="0"/>
          <w:sz w:val="24"/>
        </w:rPr>
        <w:br w:type="page"/>
      </w:r>
    </w:p>
    <w:p>
      <w:pPr>
        <w:widowControl/>
        <w:jc w:val="left"/>
        <w:rPr>
          <w:rFonts w:ascii="宋体" w:hAnsi="宋体" w:cs="宋体"/>
          <w:b/>
          <w:color w:val="auto"/>
          <w:kern w:val="0"/>
          <w:sz w:val="24"/>
        </w:rPr>
      </w:pP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7"/>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28"/>
          <w:rFonts w:ascii="宋体" w:hAnsi="宋体" w:cs="宋体"/>
          <w:b/>
          <w:bCs/>
          <w:color w:val="auto"/>
        </w:rPr>
        <w:t>第一章   竞争性谈判公告</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28"/>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28"/>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28"/>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28"/>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28"/>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8</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28"/>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28"/>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28"/>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28"/>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28"/>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18</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28"/>
          <w:rFonts w:ascii="宋体" w:hAnsi="宋体" w:cs="宋体"/>
          <w:color w:val="auto"/>
        </w:rPr>
        <w:t xml:space="preserve">第三章 </w:t>
      </w:r>
      <w:r>
        <w:rPr>
          <w:rStyle w:val="28"/>
          <w:rFonts w:hint="eastAsia" w:ascii="宋体" w:hAnsi="宋体" w:cs="宋体"/>
          <w:color w:val="auto"/>
          <w:lang w:val="en-US" w:eastAsia="zh-CN"/>
        </w:rPr>
        <w:t>货物</w:t>
      </w:r>
      <w:r>
        <w:rPr>
          <w:rStyle w:val="28"/>
          <w:rFonts w:ascii="宋体" w:hAnsi="宋体" w:cs="宋体"/>
          <w:color w:val="auto"/>
        </w:rPr>
        <w:t>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20</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28"/>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25</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28"/>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28"/>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28"/>
          <w:rFonts w:hAnsi="宋体" w:cs="宋体"/>
          <w:color w:val="auto"/>
        </w:rPr>
        <w:t>二、</w:t>
      </w:r>
      <w:r>
        <w:rPr>
          <w:rStyle w:val="28"/>
          <w:rFonts w:hint="eastAsia" w:hAnsi="宋体" w:cs="宋体"/>
          <w:color w:val="auto"/>
          <w:lang w:eastAsia="zh-CN"/>
        </w:rPr>
        <w:t>货物报价表</w:t>
      </w:r>
      <w:r>
        <w:rPr>
          <w:rStyle w:val="28"/>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30</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28"/>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31</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28"/>
          <w:rFonts w:hAnsi="宋体" w:cs="宋体"/>
          <w:color w:val="auto"/>
        </w:rPr>
        <w:t>三、</w:t>
      </w:r>
      <w:r>
        <w:rPr>
          <w:rStyle w:val="28"/>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32</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28"/>
          <w:rFonts w:hAnsi="宋体" w:cs="宋体"/>
          <w:color w:val="auto"/>
        </w:rPr>
        <w:t>四、服务方案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34</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28"/>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35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28"/>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36</w:t>
      </w:r>
      <w:r>
        <w:rPr>
          <w:color w:val="auto"/>
        </w:rPr>
        <w:fldChar w:fldCharType="end"/>
      </w:r>
      <w:r>
        <w:rPr>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0"/>
        <w:tabs>
          <w:tab w:val="right" w:leader="dot" w:pos="9060"/>
        </w:tabs>
        <w:spacing w:line="240" w:lineRule="auto"/>
        <w:ind w:left="0" w:leftChars="0"/>
        <w:jc w:val="center"/>
        <w:outlineLvl w:val="0"/>
        <w:rPr>
          <w:rStyle w:val="34"/>
          <w:rFonts w:ascii="宋体" w:hAnsi="宋体" w:cs="宋体"/>
          <w:b/>
          <w:bCs/>
          <w:color w:val="auto"/>
          <w:sz w:val="32"/>
          <w:szCs w:val="32"/>
        </w:rPr>
      </w:pPr>
      <w:bookmarkStart w:id="0" w:name="_Toc54939187"/>
      <w:r>
        <w:rPr>
          <w:rStyle w:val="34"/>
          <w:rFonts w:hint="eastAsia" w:ascii="宋体" w:hAnsi="宋体" w:cs="宋体"/>
          <w:b/>
          <w:bCs/>
          <w:color w:val="auto"/>
          <w:sz w:val="32"/>
          <w:szCs w:val="32"/>
        </w:rPr>
        <w:t>第一章   竞争性谈判公告</w:t>
      </w:r>
      <w:bookmarkEnd w:id="0"/>
      <w:bookmarkStart w:id="1" w:name="_Toc35393797"/>
      <w:bookmarkStart w:id="2" w:name="_Toc28359011"/>
    </w:p>
    <w:p>
      <w:pPr>
        <w:pStyle w:val="10"/>
        <w:tabs>
          <w:tab w:val="right" w:leader="dot" w:pos="9060"/>
        </w:tabs>
        <w:spacing w:line="240" w:lineRule="auto"/>
        <w:ind w:left="0" w:leftChars="0"/>
        <w:jc w:val="center"/>
        <w:rPr>
          <w:rFonts w:hint="eastAsia" w:ascii="华文中宋" w:hAnsi="华文中宋" w:eastAsia="华文中宋"/>
          <w:b/>
          <w:bCs/>
          <w:color w:val="auto"/>
          <w:kern w:val="44"/>
          <w:sz w:val="28"/>
          <w:szCs w:val="28"/>
          <w:lang w:eastAsia="zh-CN"/>
        </w:rPr>
      </w:pPr>
      <w:r>
        <w:rPr>
          <w:rFonts w:hint="eastAsia" w:ascii="华文中宋" w:hAnsi="华文中宋" w:eastAsia="华文中宋"/>
          <w:b/>
          <w:bCs/>
          <w:color w:val="auto"/>
          <w:kern w:val="44"/>
          <w:sz w:val="28"/>
          <w:szCs w:val="28"/>
          <w:lang w:eastAsia="zh-CN"/>
        </w:rPr>
        <w:t>安庆职业技术学院教学诊改复核展示用LED显示屏采购</w:t>
      </w:r>
    </w:p>
    <w:p>
      <w:pPr>
        <w:pStyle w:val="10"/>
        <w:tabs>
          <w:tab w:val="right" w:leader="dot" w:pos="9060"/>
        </w:tabs>
        <w:spacing w:line="240" w:lineRule="auto"/>
        <w:ind w:left="0" w:leftChars="0"/>
        <w:jc w:val="center"/>
        <w:rPr>
          <w:rFonts w:ascii="华文中宋" w:hAnsi="华文中宋" w:eastAsia="华文中宋"/>
          <w:b/>
          <w:bCs/>
          <w:color w:val="auto"/>
          <w:kern w:val="44"/>
          <w:sz w:val="28"/>
          <w:szCs w:val="28"/>
        </w:rPr>
      </w:pPr>
      <w:r>
        <w:rPr>
          <w:rFonts w:hint="eastAsia" w:ascii="华文中宋" w:hAnsi="华文中宋" w:eastAsia="华文中宋"/>
          <w:b/>
          <w:bCs/>
          <w:color w:val="auto"/>
          <w:kern w:val="44"/>
          <w:sz w:val="28"/>
          <w:szCs w:val="28"/>
        </w:rPr>
        <w:t>竞争性谈判公告</w:t>
      </w:r>
      <w:bookmarkEnd w:id="1"/>
      <w:bookmarkEnd w:id="2"/>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bookmarkStart w:id="3" w:name="_Toc5725"/>
            <w:bookmarkStart w:id="4" w:name="_Toc54939188"/>
            <w:r>
              <w:rPr>
                <w:rFonts w:hint="eastAsia" w:ascii="仿宋" w:hAnsi="仿宋" w:eastAsia="仿宋"/>
                <w:color w:val="auto"/>
                <w:sz w:val="28"/>
                <w:szCs w:val="28"/>
                <w:highlight w:val="none"/>
              </w:rPr>
              <w:t>项目概况</w:t>
            </w:r>
          </w:p>
          <w:p>
            <w:pPr>
              <w:ind w:left="280" w:hanging="280" w:hangingChars="100"/>
              <w:rPr>
                <w:color w:val="auto"/>
                <w:highlight w:val="none"/>
              </w:rPr>
            </w:pPr>
            <w:r>
              <w:rPr>
                <w:rFonts w:hint="eastAsia" w:ascii="仿宋" w:hAnsi="仿宋" w:eastAsia="仿宋"/>
                <w:color w:val="auto"/>
                <w:sz w:val="28"/>
                <w:szCs w:val="28"/>
                <w:highlight w:val="none"/>
                <w:u w:val="single"/>
                <w:lang w:eastAsia="zh-CN"/>
              </w:rPr>
              <w:t>安庆职业技术学院教学诊改复核展示用LED显示屏采购</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28</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5" w:name="_Toc35393798"/>
      <w:bookmarkStart w:id="6" w:name="_Toc28359089"/>
      <w:bookmarkStart w:id="7" w:name="_Toc28359012"/>
      <w:bookmarkStart w:id="8" w:name="_Toc35393629"/>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CG-AZ-2021-024</w:t>
      </w:r>
    </w:p>
    <w:p>
      <w:pPr>
        <w:ind w:firstLine="708" w:firstLineChars="253"/>
        <w:rPr>
          <w:rFonts w:hint="eastAsia" w:ascii="仿宋" w:hAnsi="仿宋" w:eastAsia="仿宋"/>
          <w:color w:val="0000FF"/>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安庆职业技术学院教学诊改复核展示用LED显示屏采购</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29万元</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29万元</w:t>
      </w:r>
    </w:p>
    <w:p>
      <w:pPr>
        <w:ind w:firstLine="708" w:firstLineChars="253"/>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LED显示屏采购，</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评标</w:t>
      </w:r>
      <w:r>
        <w:rPr>
          <w:rFonts w:hint="eastAsia" w:ascii="仿宋" w:hAnsi="仿宋" w:eastAsia="仿宋" w:cs="仿宋"/>
          <w:color w:val="auto"/>
          <w:sz w:val="28"/>
          <w:szCs w:val="28"/>
          <w:highlight w:val="none"/>
        </w:rPr>
        <w:t>办法：采用符合性评审的有效最低价评审办法</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 xml:space="preserve">合同签字生效后 10 </w:t>
      </w:r>
      <w:r>
        <w:rPr>
          <w:rFonts w:hint="eastAsia" w:ascii="仿宋" w:hAnsi="仿宋" w:eastAsia="仿宋" w:cs="仿宋"/>
          <w:color w:val="auto"/>
          <w:sz w:val="28"/>
          <w:szCs w:val="28"/>
          <w:highlight w:val="none"/>
        </w:rPr>
        <w:t>个</w:t>
      </w:r>
      <w:r>
        <w:rPr>
          <w:rFonts w:hint="eastAsia" w:ascii="仿宋" w:hAnsi="仿宋" w:eastAsia="仿宋" w:cs="仿宋"/>
          <w:color w:val="auto"/>
          <w:sz w:val="28"/>
          <w:szCs w:val="28"/>
          <w:highlight w:val="none"/>
          <w:lang w:val="en-US" w:eastAsia="zh-CN"/>
        </w:rPr>
        <w:t>日历天</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9" w:name="_Toc35393630"/>
      <w:bookmarkStart w:id="10" w:name="_Toc35393799"/>
      <w:bookmarkStart w:id="11" w:name="_Toc28359013"/>
      <w:bookmarkStart w:id="12" w:name="_Toc28359090"/>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14"/>
      <w:bookmarkStart w:id="14" w:name="_Toc28359091"/>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ascii="仿宋" w:hAnsi="仿宋" w:eastAsia="仿宋"/>
          <w:i/>
          <w:iCs/>
          <w:color w:val="auto"/>
          <w:sz w:val="28"/>
          <w:szCs w:val="28"/>
          <w:highlight w:val="none"/>
          <w:u w:val="single"/>
        </w:rPr>
      </w:pPr>
      <w:r>
        <w:rPr>
          <w:rFonts w:hint="eastAsia" w:ascii="仿宋" w:hAnsi="仿宋" w:eastAsia="仿宋"/>
          <w:color w:val="auto"/>
          <w:sz w:val="28"/>
          <w:szCs w:val="28"/>
          <w:highlight w:val="none"/>
        </w:rPr>
        <w:t>3.本项目的特定资格要求：/</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5" w:name="_Toc35393800"/>
      <w:bookmarkStart w:id="16" w:name="_Toc35393631"/>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2021年10月20日17时30分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7" w:name="_Toc28359092"/>
      <w:bookmarkStart w:id="18" w:name="_Toc28359015"/>
      <w:bookmarkStart w:id="19" w:name="_Toc35393801"/>
      <w:bookmarkStart w:id="20" w:name="_Toc35393632"/>
      <w:r>
        <w:rPr>
          <w:rFonts w:hint="eastAsia" w:ascii="黑体" w:hAnsi="黑体" w:eastAsia="黑体" w:cs="宋体"/>
          <w:bCs/>
          <w:color w:val="auto"/>
          <w:sz w:val="28"/>
          <w:szCs w:val="28"/>
          <w:highlight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2021年10月28日15点00分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安庆市公共资源交易中心(具体开标地点见当天一楼大厅电子显示屏)</w:t>
      </w:r>
    </w:p>
    <w:p>
      <w:pPr>
        <w:rPr>
          <w:rFonts w:ascii="黑体" w:hAnsi="黑体" w:eastAsia="黑体" w:cs="宋体"/>
          <w:bCs/>
          <w:color w:val="auto"/>
          <w:sz w:val="28"/>
          <w:szCs w:val="28"/>
          <w:highlight w:val="none"/>
        </w:rPr>
      </w:pPr>
      <w:bookmarkStart w:id="21" w:name="_Toc28359016"/>
      <w:bookmarkStart w:id="22" w:name="_Toc35393802"/>
      <w:bookmarkStart w:id="23" w:name="_Toc35393633"/>
      <w:bookmarkStart w:id="24" w:name="_Toc28359093"/>
      <w:r>
        <w:rPr>
          <w:rFonts w:hint="eastAsia" w:ascii="黑体" w:hAnsi="黑体" w:eastAsia="黑体" w:cs="宋体"/>
          <w:bCs/>
          <w:color w:val="auto"/>
          <w:sz w:val="28"/>
          <w:szCs w:val="28"/>
          <w:highlight w:val="none"/>
        </w:rPr>
        <w:t>五、开启</w:t>
      </w:r>
      <w:bookmarkEnd w:id="21"/>
      <w:bookmarkEnd w:id="22"/>
      <w:bookmarkEnd w:id="23"/>
      <w:bookmarkEnd w:id="24"/>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2021年10月28日15点00分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5" w:name="_Toc28359017"/>
      <w:bookmarkStart w:id="26" w:name="_Toc28359094"/>
      <w:bookmarkStart w:id="27" w:name="_Toc35393803"/>
      <w:bookmarkStart w:id="28" w:name="_Toc35393634"/>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9" w:name="_Toc35393804"/>
      <w:bookmarkStart w:id="30" w:name="_Toc35393635"/>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3.获取竞争性谈判文件，而放弃参加投标的供应商，请在响应文件提交截止日前以单位名义向504476178@qq.com邮箱发送弃标函（格式自拟）。</w:t>
      </w:r>
    </w:p>
    <w:p>
      <w:pPr>
        <w:rPr>
          <w:rFonts w:ascii="黑体" w:hAnsi="黑体" w:eastAsia="黑体" w:cs="宋体"/>
          <w:bCs/>
          <w:color w:val="auto"/>
          <w:sz w:val="28"/>
          <w:szCs w:val="28"/>
          <w:highlight w:val="none"/>
        </w:rPr>
      </w:pPr>
      <w:bookmarkStart w:id="31" w:name="_Toc28359095"/>
      <w:bookmarkStart w:id="32" w:name="_Toc35393805"/>
      <w:bookmarkStart w:id="33" w:name="_Toc28359018"/>
      <w:bookmarkStart w:id="34" w:name="_Toc35393636"/>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28359096"/>
      <w:bookmarkStart w:id="36" w:name="_Toc28359019"/>
      <w:bookmarkStart w:id="37" w:name="_Toc35393637"/>
      <w:bookmarkStart w:id="38" w:name="_Toc35393806"/>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35393807"/>
      <w:bookmarkStart w:id="40" w:name="_Toc28359097"/>
      <w:bookmarkStart w:id="41" w:name="_Toc35393638"/>
      <w:bookmarkStart w:id="42" w:name="_Toc28359020"/>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28359021"/>
      <w:bookmarkStart w:id="44" w:name="_Toc28359098"/>
      <w:bookmarkStart w:id="45" w:name="_Toc35393808"/>
      <w:bookmarkStart w:id="46" w:name="_Toc35393639"/>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pStyle w:val="3"/>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3"/>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我单位要求获取安庆职业技术学院教学诊改复核展示用LED显示屏采购项目的竞争性谈判文件电子版，该电子版仅做本次投标使用，并承诺不做外用。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请将安庆职业技术学院教学诊改复核展示用LED显示屏采购项目竞争性谈判文件发至以下邮箱：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pStyle w:val="3"/>
        <w:rPr>
          <w:rFonts w:ascii="宋体" w:hAnsi="宋体" w:cs="宋体"/>
          <w:color w:val="auto"/>
        </w:rPr>
      </w:pPr>
      <w:r>
        <w:rPr>
          <w:rFonts w:hint="eastAsia" w:ascii="宋体" w:hAnsi="宋体" w:cs="宋体"/>
          <w:color w:val="auto"/>
        </w:rPr>
        <w:t>第二章   谈判响应人须知</w:t>
      </w:r>
      <w:bookmarkEnd w:id="3"/>
      <w:bookmarkEnd w:id="4"/>
    </w:p>
    <w:p>
      <w:pPr>
        <w:pStyle w:val="45"/>
        <w:rPr>
          <w:rFonts w:ascii="宋体" w:hAnsi="宋体"/>
          <w:color w:val="auto"/>
        </w:rPr>
      </w:pPr>
      <w:bookmarkStart w:id="47" w:name="_Toc54939189"/>
      <w:bookmarkStart w:id="48" w:name="_Toc27607"/>
      <w:r>
        <w:rPr>
          <w:rFonts w:hint="eastAsia" w:ascii="宋体" w:hAnsi="宋体"/>
          <w:color w:val="auto"/>
        </w:rPr>
        <w:t>第一节  谈判响应人须知前附表</w:t>
      </w:r>
      <w:bookmarkEnd w:id="47"/>
      <w:bookmarkEnd w:id="48"/>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val="en-US" w:eastAsia="zh-CN"/>
              </w:rPr>
            </w:pPr>
            <w:r>
              <w:rPr>
                <w:rFonts w:hint="eastAsia" w:ascii="宋体" w:hAnsi="宋体" w:cs="宋体"/>
                <w:color w:val="auto"/>
                <w:kern w:val="0"/>
                <w:szCs w:val="21"/>
                <w:highlight w:val="none"/>
                <w:lang w:eastAsia="zh-CN"/>
              </w:rPr>
              <w:t>CG-AZ-2021-024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安庆职业技术学院教学诊改复核展示用LED显示屏采购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29万元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合同签字生效后</w:t>
            </w:r>
            <w:r>
              <w:rPr>
                <w:rFonts w:hint="eastAsia" w:ascii="宋体" w:hAnsi="宋体" w:cs="宋体"/>
                <w:color w:val="auto"/>
                <w:szCs w:val="21"/>
                <w:highlight w:val="none"/>
                <w:lang w:val="en-US" w:eastAsia="zh-CN"/>
              </w:rPr>
              <w:t xml:space="preserve"> 10个日历天内完成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w:t>
            </w:r>
          </w:p>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rPr>
              <w:t>180日历天（从提交谈判响应文件截止时间算起）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2021年10月28日15点00分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eastAsia="宋体" w:cs="宋体"/>
                <w:color w:val="auto"/>
                <w:sz w:val="21"/>
                <w:szCs w:val="21"/>
                <w:highlight w:val="none"/>
                <w:u w:val="none"/>
                <w:lang w:val="en-US" w:eastAsia="zh-CN"/>
              </w:rPr>
              <w:t>2021年10月28日15点00分</w:t>
            </w:r>
            <w:bookmarkStart w:id="105" w:name="_GoBack"/>
            <w:bookmarkEnd w:id="105"/>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验收合格后付合同金额的95%，一年后若无质量问题，一次性支付余下的款项。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1、本竞争性谈判文件的解释权归采购单位；</w:t>
            </w:r>
          </w:p>
          <w:p>
            <w:pPr>
              <w:spacing w:line="420" w:lineRule="exact"/>
              <w:rPr>
                <w:rFonts w:ascii="宋体" w:hAnsi="宋体" w:cs="宋体"/>
                <w:color w:val="auto"/>
                <w:szCs w:val="21"/>
              </w:rPr>
            </w:pPr>
            <w:r>
              <w:rPr>
                <w:rFonts w:hint="eastAsia" w:ascii="宋体" w:hAnsi="宋体" w:cs="宋体"/>
                <w:b/>
                <w:color w:val="auto"/>
                <w:szCs w:val="21"/>
                <w:highlight w:val="none"/>
              </w:rPr>
              <w:t>2、本项目若涉及到专业分包工程，如成交人没有相应资质，则必须委托有资质的单位实施。该专业分包单位的选定须事先征得采购人同意。</w:t>
            </w:r>
          </w:p>
        </w:tc>
      </w:tr>
    </w:tbl>
    <w:p>
      <w:pPr>
        <w:pStyle w:val="45"/>
        <w:rPr>
          <w:rFonts w:ascii="宋体" w:hAnsi="宋体"/>
          <w:color w:val="auto"/>
        </w:rPr>
      </w:pPr>
      <w:bookmarkStart w:id="49" w:name="_Toc14999"/>
      <w:bookmarkStart w:id="50" w:name="_Toc54939190"/>
      <w:r>
        <w:rPr>
          <w:rFonts w:hint="eastAsia" w:ascii="宋体" w:hAnsi="宋体"/>
          <w:color w:val="auto"/>
        </w:rPr>
        <w:t>第二节  谈判响应人须知</w:t>
      </w:r>
      <w:bookmarkEnd w:id="49"/>
      <w:bookmarkEnd w:id="50"/>
    </w:p>
    <w:p>
      <w:pPr>
        <w:pStyle w:val="4"/>
        <w:ind w:firstLine="472" w:firstLineChars="196"/>
        <w:jc w:val="both"/>
        <w:rPr>
          <w:rFonts w:hAnsi="宋体" w:cs="宋体"/>
          <w:color w:val="auto"/>
        </w:rPr>
      </w:pPr>
      <w:bookmarkStart w:id="51" w:name="_Toc54939191"/>
      <w:bookmarkStart w:id="52" w:name="_Toc7034"/>
      <w:r>
        <w:rPr>
          <w:rFonts w:hint="eastAsia" w:hAnsi="宋体" w:cs="宋体"/>
          <w:color w:val="auto"/>
        </w:rPr>
        <w:t>一、总则</w:t>
      </w:r>
      <w:bookmarkEnd w:id="51"/>
      <w:bookmarkEnd w:id="52"/>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rPr>
      </w:pPr>
      <w:r>
        <w:rPr>
          <w:rFonts w:hint="eastAsia" w:ascii="宋体" w:hAnsi="宋体" w:cs="宋体"/>
          <w:b/>
          <w:color w:val="auto"/>
          <w:szCs w:val="21"/>
        </w:rPr>
        <w:t>5、联合体响应</w:t>
      </w:r>
    </w:p>
    <w:p>
      <w:pPr>
        <w:spacing w:line="360" w:lineRule="auto"/>
        <w:rPr>
          <w:rFonts w:ascii="宋体" w:hAnsi="宋体" w:cs="宋体"/>
          <w:color w:val="auto"/>
          <w:szCs w:val="21"/>
        </w:rPr>
      </w:pPr>
      <w:r>
        <w:rPr>
          <w:rFonts w:hint="eastAsia" w:ascii="宋体" w:hAnsi="宋体" w:cs="宋体"/>
          <w:color w:val="auto"/>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rPr>
      </w:pPr>
      <w:r>
        <w:rPr>
          <w:rFonts w:hint="eastAsia" w:ascii="宋体" w:hAnsi="宋体" w:cs="宋体"/>
          <w:color w:val="auto"/>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rPr>
      </w:pPr>
      <w:r>
        <w:rPr>
          <w:rFonts w:hint="eastAsia" w:ascii="宋体" w:hAnsi="宋体" w:cs="宋体"/>
          <w:color w:val="auto"/>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4"/>
        <w:ind w:firstLine="472" w:firstLineChars="196"/>
        <w:rPr>
          <w:rFonts w:hAnsi="宋体" w:cs="宋体"/>
          <w:color w:val="auto"/>
        </w:rPr>
      </w:pPr>
      <w:bookmarkStart w:id="53" w:name="_Toc54939192"/>
      <w:bookmarkStart w:id="54" w:name="_Toc8536"/>
      <w:r>
        <w:rPr>
          <w:rFonts w:hint="eastAsia" w:hAnsi="宋体" w:cs="宋体"/>
          <w:color w:val="auto"/>
        </w:rPr>
        <w:t>二、竞争性谈判文件</w:t>
      </w:r>
      <w:bookmarkEnd w:id="53"/>
      <w:bookmarkEnd w:id="54"/>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（3）第三章  </w:t>
      </w:r>
      <w:r>
        <w:rPr>
          <w:rFonts w:hint="eastAsia" w:ascii="宋体" w:hAnsi="宋体" w:cs="宋体"/>
          <w:color w:val="000000"/>
          <w:szCs w:val="21"/>
          <w:highlight w:val="none"/>
        </w:rPr>
        <w:t>货物需求及技术要求</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4"/>
        <w:ind w:firstLine="482" w:firstLineChars="200"/>
        <w:rPr>
          <w:rFonts w:hAnsi="宋体" w:cs="宋体"/>
          <w:color w:val="auto"/>
        </w:rPr>
      </w:pPr>
      <w:bookmarkStart w:id="55" w:name="_Toc9821"/>
      <w:bookmarkStart w:id="56" w:name="_Toc54939193"/>
      <w:r>
        <w:rPr>
          <w:rFonts w:hint="eastAsia" w:hAnsi="宋体" w:cs="宋体"/>
          <w:color w:val="auto"/>
        </w:rPr>
        <w:t>三、谈判响应文件的编制</w:t>
      </w:r>
      <w:bookmarkEnd w:id="55"/>
      <w:bookmarkEnd w:id="56"/>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w:t>
      </w:r>
      <w:r>
        <w:rPr>
          <w:rFonts w:hint="eastAsia" w:ascii="宋体" w:hAnsi="宋体" w:cs="宋体"/>
          <w:color w:val="000000"/>
          <w:szCs w:val="21"/>
          <w:highlight w:val="none"/>
        </w:rPr>
        <w:t>谈判响应文件的货物报价表(首轮）上应清楚地标明谈判响应人拟提供货物的名称、生产厂家、品牌、型号、单位、数量、单价和总价等内容。单价不作为合同结算依据</w:t>
      </w:r>
      <w:r>
        <w:rPr>
          <w:rFonts w:hint="eastAsia" w:ascii="宋体" w:hAnsi="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w:t>
      </w:r>
      <w:r>
        <w:rPr>
          <w:rFonts w:hint="eastAsia" w:ascii="宋体" w:hAnsi="宋体" w:cs="宋体"/>
          <w:color w:val="000000"/>
          <w:szCs w:val="21"/>
          <w:highlight w:val="none"/>
        </w:rPr>
        <w:t>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highlight w:val="none"/>
        </w:rPr>
        <w:t>后约定</w:t>
      </w:r>
      <w:r>
        <w:rPr>
          <w:rFonts w:hint="eastAsia" w:ascii="宋体" w:hAnsi="宋体" w:cs="宋体"/>
          <w:color w:val="000000"/>
          <w:szCs w:val="21"/>
          <w:highlight w:val="none"/>
        </w:rPr>
        <w:t>期限内维保等）</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default" w:ascii="宋体" w:hAnsi="宋体" w:eastAsia="宋体" w:cs="宋体"/>
          <w:color w:val="auto"/>
          <w:szCs w:val="21"/>
          <w:lang w:val="en-US" w:eastAsia="zh-CN"/>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0" w:firstLineChars="200"/>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、有下列情形之一的，视为谈判响应人串通投标，其谈判响应无效：</w:t>
      </w:r>
    </w:p>
    <w:p>
      <w:pPr>
        <w:spacing w:line="360" w:lineRule="auto"/>
        <w:ind w:firstLine="420" w:firstLineChars="200"/>
        <w:rPr>
          <w:rFonts w:ascii="宋体" w:hAnsi="宋体"/>
          <w:color w:val="auto"/>
          <w:szCs w:val="21"/>
        </w:rPr>
      </w:pPr>
      <w:r>
        <w:rPr>
          <w:rFonts w:hint="eastAsia" w:ascii="宋体" w:hAnsi="宋体"/>
          <w:color w:val="auto"/>
          <w:szCs w:val="21"/>
        </w:rPr>
        <w:t>（1）不同谈判响应人的谈判响应文件由同一单位或者个人编制；</w:t>
      </w:r>
    </w:p>
    <w:p>
      <w:pPr>
        <w:spacing w:line="360" w:lineRule="auto"/>
        <w:ind w:firstLine="420" w:firstLineChars="200"/>
        <w:rPr>
          <w:rFonts w:ascii="宋体" w:hAnsi="宋体"/>
          <w:color w:val="auto"/>
          <w:szCs w:val="21"/>
        </w:rPr>
      </w:pPr>
      <w:r>
        <w:rPr>
          <w:rFonts w:hint="eastAsia" w:ascii="宋体" w:hAnsi="宋体"/>
          <w:color w:val="auto"/>
          <w:szCs w:val="21"/>
        </w:rPr>
        <w:t>（2）不同谈判响应人委托同一单位或者个人办理谈判响应事宜；</w:t>
      </w:r>
    </w:p>
    <w:p>
      <w:pPr>
        <w:spacing w:line="360" w:lineRule="auto"/>
        <w:ind w:firstLine="420" w:firstLineChars="200"/>
        <w:rPr>
          <w:rFonts w:ascii="宋体" w:hAnsi="宋体"/>
          <w:color w:val="auto"/>
          <w:szCs w:val="21"/>
        </w:rPr>
      </w:pPr>
      <w:r>
        <w:rPr>
          <w:rFonts w:hint="eastAsia" w:ascii="宋体" w:hAnsi="宋体"/>
          <w:color w:val="auto"/>
          <w:szCs w:val="21"/>
        </w:rPr>
        <w:t>（3）不同谈判响应人的谈判响应文件载明的项目管理成员或联系人员为同一人；</w:t>
      </w:r>
    </w:p>
    <w:p>
      <w:pPr>
        <w:spacing w:line="360" w:lineRule="auto"/>
        <w:ind w:firstLine="420" w:firstLineChars="200"/>
        <w:rPr>
          <w:rFonts w:ascii="宋体" w:hAnsi="宋体"/>
          <w:color w:val="auto"/>
          <w:szCs w:val="21"/>
        </w:rPr>
      </w:pPr>
      <w:r>
        <w:rPr>
          <w:rFonts w:hint="eastAsia" w:ascii="宋体" w:hAnsi="宋体"/>
          <w:color w:val="auto"/>
          <w:szCs w:val="21"/>
        </w:rPr>
        <w:t>（4）不同谈判响应人的谈判响应文件异常一致或者谈判响应报价呈规律性差异；</w:t>
      </w:r>
    </w:p>
    <w:p>
      <w:pPr>
        <w:spacing w:line="360" w:lineRule="auto"/>
        <w:ind w:firstLine="420" w:firstLineChars="200"/>
        <w:rPr>
          <w:rFonts w:ascii="宋体" w:hAnsi="宋体"/>
          <w:color w:val="auto"/>
          <w:szCs w:val="21"/>
        </w:rPr>
      </w:pPr>
      <w:r>
        <w:rPr>
          <w:rFonts w:hint="eastAsia" w:ascii="宋体" w:hAnsi="宋体"/>
          <w:color w:val="auto"/>
          <w:szCs w:val="21"/>
        </w:rPr>
        <w:t>（5）不同谈判响应人的谈判响应文件相互混装；</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
          <w:color w:val="auto"/>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rPr>
      </w:pPr>
      <w:r>
        <w:rPr>
          <w:rFonts w:hint="eastAsia" w:ascii="宋体" w:hAnsi="宋体" w:cs="宋体"/>
          <w:color w:val="auto"/>
        </w:rPr>
        <w:t>（1）成交后无正当理由不与采购单位签订合同的；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rPr>
        <w:t>（2）</w:t>
      </w:r>
      <w:r>
        <w:rPr>
          <w:rFonts w:hint="eastAsia" w:ascii="宋体" w:hAnsi="宋体" w:cs="宋体"/>
          <w:color w:val="auto"/>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（3）将成交项目转让给他人、或在谈判响应文件中未说明，将成交项目分包给他人的；</w:t>
      </w:r>
    </w:p>
    <w:p>
      <w:pPr>
        <w:spacing w:line="360" w:lineRule="auto"/>
        <w:ind w:firstLine="420" w:firstLineChars="200"/>
        <w:rPr>
          <w:rFonts w:ascii="宋体" w:hAnsi="宋体" w:cs="宋体"/>
          <w:color w:val="auto"/>
        </w:rPr>
      </w:pPr>
      <w:r>
        <w:rPr>
          <w:rFonts w:hint="eastAsia" w:ascii="宋体" w:hAnsi="宋体" w:cs="宋体"/>
          <w:color w:val="auto"/>
        </w:rPr>
        <w:t>（4）</w:t>
      </w:r>
      <w:r>
        <w:rPr>
          <w:rFonts w:hint="eastAsia" w:ascii="宋体" w:hAnsi="宋体" w:cs="宋体"/>
          <w:color w:val="auto"/>
          <w:szCs w:val="21"/>
        </w:rPr>
        <w:t>谈判响应人相互串通或者与采购人串通的；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（5）谈判响应人以向采购人或者谈判小组成员行贿的手段谋取成交的；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（6）谈判响应人以他人名义谈判响应或者以其他方式弄虚作假，骗取成交的；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（7）违法与采购人就价格、方案等实质性内容进行谈判，影响成交结果的；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（8）法律、法规规定及竞争性谈判文件约定的其他情形。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w:t>
      </w:r>
      <w:r>
        <w:rPr>
          <w:rFonts w:hint="eastAsia" w:ascii="宋体" w:hAnsi="宋体" w:cs="宋体"/>
          <w:b/>
          <w:color w:val="auto"/>
          <w:lang w:eastAsia="zh-CN"/>
        </w:rPr>
        <w:t>货物报价表</w:t>
      </w:r>
      <w:r>
        <w:rPr>
          <w:rFonts w:hint="eastAsia" w:ascii="宋体" w:hAnsi="宋体" w:cs="宋体"/>
          <w:b/>
          <w:color w:val="auto"/>
        </w:rPr>
        <w:t>（首轮）、最终报价表、</w:t>
      </w:r>
      <w:r>
        <w:rPr>
          <w:rFonts w:hint="eastAsia" w:ascii="宋体" w:hAnsi="宋体" w:cs="宋体"/>
          <w:b/>
          <w:color w:val="000000"/>
          <w:highlight w:val="none"/>
        </w:rPr>
        <w:t>技术参数响应</w:t>
      </w:r>
      <w:r>
        <w:rPr>
          <w:rFonts w:hint="eastAsia" w:ascii="宋体" w:hAnsi="宋体" w:cs="宋体"/>
          <w:b/>
          <w:color w:val="auto"/>
        </w:rPr>
        <w:t>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w:t>
      </w:r>
      <w:r>
        <w:rPr>
          <w:rFonts w:hint="eastAsia" w:ascii="宋体" w:hAnsi="宋体" w:cs="宋体"/>
          <w:b/>
          <w:color w:val="auto"/>
          <w:spacing w:val="-2"/>
          <w:lang w:eastAsia="zh-CN"/>
        </w:rPr>
        <w:t>货物报价表</w:t>
      </w:r>
      <w:r>
        <w:rPr>
          <w:rFonts w:hint="eastAsia" w:ascii="宋体" w:hAnsi="宋体" w:cs="宋体"/>
          <w:b/>
          <w:color w:val="auto"/>
          <w:spacing w:val="-2"/>
        </w:rPr>
        <w:t>（首轮）、最终报价表、</w:t>
      </w:r>
      <w:r>
        <w:rPr>
          <w:rFonts w:hint="eastAsia" w:ascii="宋体" w:hAnsi="宋体" w:cs="宋体"/>
          <w:b/>
          <w:color w:val="auto"/>
          <w:lang w:eastAsia="zh-CN"/>
        </w:rPr>
        <w:t>技术参数响应表、</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4"/>
        <w:numPr>
          <w:ilvl w:val="0"/>
          <w:numId w:val="2"/>
        </w:numPr>
        <w:ind w:firstLine="472" w:firstLineChars="196"/>
        <w:rPr>
          <w:rFonts w:hAnsi="宋体" w:cs="宋体"/>
          <w:color w:val="auto"/>
        </w:rPr>
      </w:pPr>
      <w:bookmarkStart w:id="57" w:name="_Toc25319"/>
      <w:bookmarkStart w:id="58" w:name="_Toc54939194"/>
      <w:r>
        <w:rPr>
          <w:rFonts w:hint="eastAsia" w:hAnsi="宋体" w:cs="宋体"/>
          <w:color w:val="auto"/>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bookmarkStart w:id="60"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4"/>
        <w:ind w:firstLine="472" w:firstLineChars="196"/>
        <w:rPr>
          <w:rFonts w:hAnsi="宋体" w:cs="宋体"/>
          <w:color w:val="auto"/>
        </w:rPr>
      </w:pPr>
      <w:r>
        <w:rPr>
          <w:rFonts w:hint="eastAsia" w:hAnsi="宋体" w:cs="宋体"/>
          <w:color w:val="auto"/>
        </w:rPr>
        <w:t>五、</w:t>
      </w:r>
      <w:bookmarkEnd w:id="59"/>
      <w:r>
        <w:rPr>
          <w:rFonts w:hint="eastAsia" w:hAnsi="宋体" w:cs="宋体"/>
          <w:color w:val="auto"/>
        </w:rPr>
        <w:t>谈判程序</w:t>
      </w:r>
      <w:bookmarkEnd w:id="60"/>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 xml:space="preserve">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w:t>
      </w:r>
      <w:r>
        <w:rPr>
          <w:rFonts w:hint="eastAsia" w:ascii="宋体" w:hAnsi="宋体"/>
          <w:b/>
          <w:bCs w:val="0"/>
          <w:color w:val="auto"/>
          <w:szCs w:val="21"/>
          <w:highlight w:val="none"/>
        </w:rPr>
        <w:t>书格式见附件）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2</w:t>
      </w:r>
      <w:r>
        <w:rPr>
          <w:rFonts w:hint="eastAsia" w:ascii="宋体" w:hAnsi="宋体" w:cs="宋体"/>
          <w:color w:val="auto"/>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w:t>
      </w:r>
      <w:r>
        <w:rPr>
          <w:rFonts w:hint="eastAsia" w:ascii="宋体" w:hAnsi="宋体" w:cs="宋体"/>
          <w:color w:val="auto"/>
          <w:lang w:eastAsia="zh-CN"/>
        </w:rPr>
        <w:t>货物报价表</w:t>
      </w:r>
      <w:r>
        <w:rPr>
          <w:rFonts w:hint="eastAsia" w:ascii="宋体" w:hAnsi="宋体" w:cs="宋体"/>
          <w:color w:val="auto"/>
        </w:rPr>
        <w:t>（首轮）、最终报价表、</w:t>
      </w:r>
      <w:r>
        <w:rPr>
          <w:rFonts w:hint="eastAsia" w:ascii="宋体" w:hAnsi="宋体" w:cs="宋体"/>
          <w:color w:val="auto"/>
          <w:lang w:eastAsia="zh-CN"/>
        </w:rPr>
        <w:t>技术参数响应表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3</w:t>
      </w:r>
      <w:r>
        <w:rPr>
          <w:rFonts w:hint="eastAsia" w:ascii="宋体" w:hAnsi="宋体" w:cs="宋体"/>
          <w:color w:val="auto"/>
          <w:szCs w:val="21"/>
        </w:rPr>
        <w:t>、谈判响应报价高于谈判最高限价的；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4"/>
        <w:spacing w:line="360" w:lineRule="auto"/>
        <w:ind w:firstLine="472" w:firstLineChars="196"/>
        <w:rPr>
          <w:rFonts w:hAnsi="宋体" w:cs="宋体"/>
          <w:color w:val="auto"/>
        </w:rPr>
      </w:pPr>
      <w:bookmarkStart w:id="61" w:name="_Toc28310"/>
      <w:bookmarkStart w:id="62" w:name="_Toc54939196"/>
      <w:r>
        <w:rPr>
          <w:rFonts w:hint="eastAsia" w:hAnsi="宋体" w:cs="宋体"/>
          <w:color w:val="auto"/>
        </w:rPr>
        <w:t>六、</w:t>
      </w:r>
      <w:bookmarkEnd w:id="61"/>
      <w:r>
        <w:rPr>
          <w:rFonts w:hint="eastAsia" w:hAnsi="宋体" w:cs="宋体"/>
          <w:color w:val="auto"/>
        </w:rPr>
        <w:t>谈判</w:t>
      </w:r>
      <w:bookmarkEnd w:id="62"/>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000000"/>
          <w:szCs w:val="21"/>
          <w:highlight w:val="none"/>
        </w:rPr>
      </w:pPr>
      <w:r>
        <w:rPr>
          <w:rFonts w:hint="eastAsia" w:ascii="宋体" w:hAnsi="宋体" w:cs="宋体"/>
          <w:color w:val="auto"/>
          <w:szCs w:val="21"/>
          <w:highlight w:val="none"/>
        </w:rPr>
        <w:t xml:space="preserve">   </w:t>
      </w:r>
      <w:r>
        <w:rPr>
          <w:rFonts w:hint="eastAsia" w:ascii="宋体" w:hAnsi="宋体" w:cs="宋体"/>
          <w:color w:val="000000"/>
          <w:szCs w:val="21"/>
          <w:highlight w:val="none"/>
        </w:rPr>
        <w:t>（1）谈判响应人资格是否符合竞争性谈判文件要求；</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（3）竞争性谈判文件要求提交的各种资格证明文件是否真实、完整、合法、有效；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）所提供的货物是否有缺少；</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）谈判响应技术参数是否完全响应或优于竞争性谈判文件要求；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）供货及技术方案是否完整、可行且完全响应或优于竞争性谈判文件要求；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）谈判响应文件对法律、法规和竞争性谈判文件其他明确要求的符合性；</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）联合体谈判响应是否提交联合体谈判响应协议书，且联合体协议书中是否明确牵头单位；</w:t>
      </w:r>
    </w:p>
    <w:p>
      <w:pPr>
        <w:widowControl/>
        <w:spacing w:line="360" w:lineRule="auto"/>
        <w:ind w:firstLine="405"/>
        <w:jc w:val="left"/>
        <w:rPr>
          <w:rFonts w:hint="eastAsia" w:ascii="宋体" w:hAnsi="宋体" w:cs="宋体"/>
          <w:color w:val="auto"/>
          <w:szCs w:val="21"/>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）谈判响应文件是否附有采购人不能接受的条件</w:t>
      </w:r>
      <w:r>
        <w:rPr>
          <w:rFonts w:hint="eastAsia" w:ascii="宋体" w:hAnsi="宋体" w:cs="宋体"/>
          <w:color w:val="auto"/>
          <w:szCs w:val="21"/>
        </w:rPr>
        <w:t>；</w:t>
      </w:r>
    </w:p>
    <w:p>
      <w:pPr>
        <w:widowControl/>
        <w:spacing w:line="360" w:lineRule="auto"/>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000000"/>
          <w:szCs w:val="21"/>
          <w:highlight w:val="none"/>
        </w:rPr>
        <w:t>谈判响应文件是否存在竞争性谈判文件中约定的无效谈判响应文件的其他情形；</w:t>
      </w:r>
    </w:p>
    <w:p>
      <w:pPr>
        <w:widowControl/>
        <w:spacing w:line="500" w:lineRule="exact"/>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r>
        <w:rPr>
          <w:rFonts w:hint="eastAsia" w:ascii="宋体" w:hAnsi="宋体" w:cs="宋体"/>
          <w:color w:val="auto"/>
          <w:szCs w:val="21"/>
          <w:lang w:eastAsia="zh-CN"/>
        </w:rPr>
        <w:t>；</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28"/>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417655921"/>
      <w:bookmarkStart w:id="64" w:name="_Toc418517858"/>
      <w:bookmarkStart w:id="65" w:name="_Toc15032"/>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27.4.2、服务费按差额定率累进法计算。以成交价计算基数，按下表约定的</w:t>
      </w:r>
      <w:r>
        <w:rPr>
          <w:rFonts w:hint="eastAsia" w:ascii="宋体" w:hAnsi="宋体" w:cs="宋体"/>
          <w:color w:val="auto"/>
          <w:szCs w:val="21"/>
          <w:lang w:val="en-US" w:eastAsia="zh-CN"/>
        </w:rPr>
        <w:t>货物</w:t>
      </w:r>
      <w:r>
        <w:rPr>
          <w:rFonts w:hint="eastAsia" w:ascii="宋体" w:hAnsi="宋体" w:cs="宋体"/>
          <w:color w:val="auto"/>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63"/>
      <w:bookmarkEnd w:id="64"/>
      <w:bookmarkEnd w:id="65"/>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66" w:name="_Toc417655920"/>
      <w:bookmarkStart w:id="67" w:name="_Toc418517857"/>
      <w:bookmarkStart w:id="68" w:name="_Toc2342"/>
      <w:r>
        <w:rPr>
          <w:rFonts w:hint="eastAsia" w:ascii="宋体" w:hAnsi="宋体" w:cs="宋体"/>
          <w:b/>
          <w:bCs/>
          <w:color w:val="auto"/>
          <w:szCs w:val="20"/>
        </w:rPr>
        <w:t xml:space="preserve">   </w:t>
      </w:r>
      <w:r>
        <w:rPr>
          <w:rFonts w:hint="eastAsia" w:ascii="宋体" w:hAnsi="宋体" w:cs="宋体"/>
          <w:color w:val="auto"/>
          <w:szCs w:val="21"/>
        </w:rPr>
        <w:t xml:space="preserve"> 27.</w:t>
      </w:r>
      <w:bookmarkEnd w:id="66"/>
      <w:bookmarkEnd w:id="67"/>
      <w:bookmarkEnd w:id="68"/>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69" w:name="_Toc23509"/>
      <w:r>
        <w:rPr>
          <w:rFonts w:hint="eastAsia" w:ascii="宋体" w:hAnsi="宋体" w:cs="宋体"/>
          <w:b/>
          <w:bCs/>
          <w:color w:val="auto"/>
          <w:szCs w:val="21"/>
        </w:rPr>
        <w:t xml:space="preserve">    </w:t>
      </w:r>
      <w:bookmarkStart w:id="70" w:name="_Toc54939197"/>
      <w:r>
        <w:rPr>
          <w:rFonts w:hint="eastAsia" w:ascii="宋体" w:hAnsi="宋体" w:cs="宋体"/>
          <w:b/>
          <w:bCs/>
          <w:color w:val="auto"/>
          <w:szCs w:val="21"/>
        </w:rPr>
        <w:t>七、合同授予</w:t>
      </w:r>
      <w:bookmarkEnd w:id="69"/>
      <w:bookmarkEnd w:id="70"/>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71" w:name="_Toc418517860"/>
      <w:bookmarkStart w:id="72" w:name="_Toc21358"/>
      <w:bookmarkStart w:id="73" w:name="_Toc417655923"/>
      <w:r>
        <w:rPr>
          <w:rFonts w:hint="eastAsia" w:ascii="宋体" w:hAnsi="宋体" w:cs="宋体"/>
          <w:color w:val="auto"/>
          <w:szCs w:val="21"/>
        </w:rPr>
        <w:t>签订合同</w:t>
      </w:r>
      <w:bookmarkEnd w:id="71"/>
      <w:bookmarkEnd w:id="72"/>
      <w:bookmarkEnd w:id="73"/>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3"/>
        <w:rPr>
          <w:rFonts w:hint="default" w:ascii="宋体" w:hAnsi="宋体" w:cs="宋体"/>
          <w:color w:val="0000FF"/>
          <w:szCs w:val="21"/>
          <w:highlight w:val="none"/>
          <w:lang w:val="en-US" w:eastAsia="zh-CN"/>
        </w:rPr>
      </w:pPr>
      <w:bookmarkStart w:id="74" w:name="_Toc18076"/>
      <w:bookmarkStart w:id="75" w:name="_Toc54939198"/>
      <w:r>
        <w:rPr>
          <w:rFonts w:hint="eastAsia" w:ascii="宋体" w:hAnsi="宋体" w:cs="宋体"/>
          <w:color w:val="auto"/>
        </w:rPr>
        <w:t xml:space="preserve">第三章 </w:t>
      </w:r>
      <w:bookmarkEnd w:id="74"/>
      <w:bookmarkEnd w:id="75"/>
      <w:r>
        <w:rPr>
          <w:rFonts w:hint="eastAsia" w:ascii="宋体" w:hAnsi="宋体" w:cs="宋体"/>
          <w:color w:val="000000"/>
          <w:highlight w:val="none"/>
        </w:rPr>
        <w:t>货物需求及技术要求</w:t>
      </w:r>
    </w:p>
    <w:p>
      <w:pPr>
        <w:widowControl/>
        <w:spacing w:line="500" w:lineRule="exact"/>
        <w:ind w:firstLine="430"/>
        <w:jc w:val="left"/>
        <w:rPr>
          <w:rFonts w:hint="eastAsia" w:hAnsi="宋体" w:cs="宋体"/>
          <w:color w:val="000000"/>
          <w:highlight w:val="none"/>
        </w:rPr>
      </w:pPr>
      <w:bookmarkStart w:id="76" w:name="_Toc54938481"/>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4"/>
        <w:ind w:firstLine="472" w:firstLineChars="196"/>
        <w:rPr>
          <w:rFonts w:hAnsi="宋体" w:cs="宋体"/>
          <w:bCs/>
          <w:color w:val="000000"/>
          <w:szCs w:val="24"/>
          <w:highlight w:val="none"/>
        </w:rPr>
      </w:pPr>
      <w:r>
        <w:rPr>
          <w:rFonts w:hint="eastAsia" w:hAnsi="宋体" w:cs="宋体"/>
          <w:color w:val="000000"/>
          <w:highlight w:val="none"/>
        </w:rPr>
        <w:t>一、</w:t>
      </w:r>
      <w:r>
        <w:rPr>
          <w:rFonts w:hint="eastAsia" w:hAnsi="宋体" w:cs="宋体"/>
          <w:bCs/>
          <w:color w:val="000000"/>
          <w:szCs w:val="24"/>
          <w:highlight w:val="none"/>
        </w:rPr>
        <w:t>货物需求一览表</w:t>
      </w:r>
      <w:bookmarkEnd w:id="76"/>
    </w:p>
    <w:tbl>
      <w:tblPr>
        <w:tblStyle w:val="22"/>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93"/>
        <w:gridCol w:w="7077"/>
        <w:gridCol w:w="669"/>
        <w:gridCol w:w="641"/>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bookmarkStart w:id="77" w:name="OLE_LINK1"/>
            <w:bookmarkStart w:id="78" w:name="_Toc54938482"/>
            <w:bookmarkStart w:id="79" w:name="_Toc4579"/>
            <w:r>
              <w:rPr>
                <w:rFonts w:hint="eastAsia" w:ascii="宋体" w:hAnsi="宋体" w:cs="宋体"/>
                <w:color w:val="auto"/>
                <w:kern w:val="0"/>
                <w:sz w:val="21"/>
                <w:szCs w:val="21"/>
                <w:highlight w:val="none"/>
              </w:rPr>
              <w:t>序号</w:t>
            </w:r>
          </w:p>
        </w:tc>
        <w:tc>
          <w:tcPr>
            <w:tcW w:w="7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货物名称</w:t>
            </w:r>
          </w:p>
        </w:tc>
        <w:tc>
          <w:tcPr>
            <w:tcW w:w="70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竞争性谈判技术参数</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单位</w:t>
            </w: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数量</w:t>
            </w:r>
          </w:p>
        </w:tc>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6" w:hRule="atLeast"/>
          <w:jc w:val="center"/>
        </w:trPr>
        <w:tc>
          <w:tcPr>
            <w:tcW w:w="672"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9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LED屏</w:t>
            </w:r>
          </w:p>
        </w:tc>
        <w:tc>
          <w:tcPr>
            <w:tcW w:w="7077"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jc w:val="left"/>
              <w:textAlignment w:val="auto"/>
            </w:pPr>
            <w:r>
              <w:rPr>
                <w:rFonts w:hint="eastAsia"/>
                <w:lang w:val="en-US" w:eastAsia="zh-CN"/>
              </w:rPr>
              <w:t>一、</w:t>
            </w:r>
            <w:r>
              <w:rPr>
                <w:rFonts w:hint="eastAsia"/>
              </w:rPr>
              <w:t>LED屏箱体参数</w:t>
            </w:r>
          </w:p>
          <w:p>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jc w:val="left"/>
              <w:textAlignment w:val="auto"/>
            </w:pPr>
            <w:r>
              <w:rPr>
                <w:rFonts w:hint="eastAsia"/>
              </w:rPr>
              <w:t>整屏尺寸：5.76m×2.4m＝13.824㎡</w:t>
            </w:r>
            <w:r>
              <w:t>(</w:t>
            </w:r>
            <w:r>
              <w:rPr>
                <w:rFonts w:hint="eastAsia"/>
              </w:rPr>
              <w:t>含箱体</w:t>
            </w:r>
            <w:r>
              <w:rPr>
                <w:rFonts w:hint="eastAsia"/>
                <w:lang w:eastAsia="zh-CN"/>
              </w:rPr>
              <w:t>，</w:t>
            </w:r>
            <w:r>
              <w:rPr>
                <w:rFonts w:hint="eastAsia"/>
                <w:lang w:val="en-US" w:eastAsia="zh-CN"/>
              </w:rPr>
              <w:t>不含外边框</w:t>
            </w:r>
            <w: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1、像素点间距1.53mm；</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2、像素结构：</w:t>
            </w:r>
            <w:r>
              <w:t>SMD1212</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3、像素组成：</w:t>
            </w:r>
            <w:r>
              <w:t>1R1G1B</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4、显示亮度：校正后</w:t>
            </w:r>
            <w:r>
              <w:t>600cd/m²</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5</w:t>
            </w:r>
            <w:r>
              <w:rPr>
                <w:rFonts w:hint="eastAsia"/>
              </w:rPr>
              <w:t>、白平衡亮度：校正后</w:t>
            </w:r>
            <w:r>
              <w:t>600cd/m²</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6</w:t>
            </w:r>
            <w:r>
              <w:rPr>
                <w:rFonts w:hint="eastAsia"/>
              </w:rPr>
              <w:t>、亮度控制：智能</w:t>
            </w:r>
            <w:r>
              <w:t>/手动</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7、色温：</w:t>
            </w:r>
            <w:r>
              <w:t>2000K~9500K(可调)</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8</w:t>
            </w:r>
            <w:r>
              <w:rPr>
                <w:rFonts w:hint="eastAsia"/>
              </w:rPr>
              <w:t>、视角：水平</w:t>
            </w:r>
            <w:r>
              <w:t>160°/垂直120°</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9、像素密度：</w:t>
            </w:r>
            <w:r>
              <w:t>401111dots/m²</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1</w:t>
            </w:r>
            <w:r>
              <w:t>0</w:t>
            </w:r>
            <w:r>
              <w:rPr>
                <w:rFonts w:hint="eastAsia"/>
              </w:rPr>
              <w:t>、模组分辨率</w:t>
            </w:r>
            <w:r>
              <w:t>(W×H)：208×104 dots</w:t>
            </w:r>
            <w:r>
              <w:rPr>
                <w:rFonts w:hint="eastAsia"/>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11</w:t>
            </w:r>
            <w:r>
              <w:rPr>
                <w:rFonts w:hint="eastAsia"/>
              </w:rPr>
              <w:t>、模组尺寸</w:t>
            </w:r>
            <w:r>
              <w:t>(W×H)：320×160 mm</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1</w:t>
            </w:r>
            <w:r>
              <w:t>2</w:t>
            </w:r>
            <w:r>
              <w:rPr>
                <w:rFonts w:hint="eastAsia"/>
              </w:rPr>
              <w:t>、箱体分辨率</w:t>
            </w:r>
            <w:r>
              <w:t>(W×H)：</w:t>
            </w:r>
            <w:r>
              <w:rPr>
                <w:rFonts w:hint="eastAsia"/>
              </w:rPr>
              <w:t>4</w:t>
            </w:r>
            <w:r>
              <w:t>16×306 dots</w:t>
            </w:r>
            <w:r>
              <w:rPr>
                <w:rFonts w:hint="eastAsia"/>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1</w:t>
            </w:r>
            <w:r>
              <w:t>3</w:t>
            </w:r>
            <w:r>
              <w:rPr>
                <w:rFonts w:hint="eastAsia"/>
              </w:rPr>
              <w:t>、箱体尺寸</w:t>
            </w:r>
            <w:r>
              <w:t>(W×H×D)：640</w:t>
            </w:r>
            <w:r>
              <w:rPr>
                <w:rFonts w:hint="eastAsia"/>
              </w:rPr>
              <w:t>*</w:t>
            </w:r>
            <w:r>
              <w:t>480mm</w:t>
            </w:r>
            <w:r>
              <w:rPr>
                <w:rFonts w:hint="eastAsia"/>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14</w:t>
            </w:r>
            <w:r>
              <w:rPr>
                <w:rFonts w:hint="eastAsia"/>
              </w:rPr>
              <w:t>、材质：压铸铝</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1</w:t>
            </w:r>
            <w:r>
              <w:t>5</w:t>
            </w:r>
            <w:r>
              <w:rPr>
                <w:rFonts w:hint="eastAsia"/>
              </w:rPr>
              <w:t>、防护等级：背面</w:t>
            </w:r>
            <w:r>
              <w:t>IP30/正面IP30</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16</w:t>
            </w:r>
            <w:r>
              <w:rPr>
                <w:rFonts w:hint="eastAsia"/>
              </w:rPr>
              <w:t>、工作温湿度：</w:t>
            </w:r>
            <w:r>
              <w:t>20℃~+50℃/10%~65%RH</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17</w:t>
            </w:r>
            <w:r>
              <w:rPr>
                <w:rFonts w:hint="eastAsia"/>
              </w:rPr>
              <w:t>、存储温湿度：</w:t>
            </w:r>
            <w:r>
              <w:t>-10℃~+30℃/10%~60%RH</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18</w:t>
            </w:r>
            <w:r>
              <w:rPr>
                <w:rFonts w:hint="eastAsia"/>
              </w:rPr>
              <w:t>、箱体平整度：≤</w:t>
            </w:r>
            <w:r>
              <w:t>0.1 mm</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1</w:t>
            </w:r>
            <w:r>
              <w:t>9</w:t>
            </w:r>
            <w:r>
              <w:rPr>
                <w:rFonts w:hint="eastAsia"/>
              </w:rPr>
              <w:t>、颜色处理位数：</w:t>
            </w:r>
            <w:r>
              <w:t>16384 levels per color</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2</w:t>
            </w:r>
            <w:r>
              <w:t>0</w:t>
            </w:r>
            <w:r>
              <w:rPr>
                <w:rFonts w:hint="eastAsia"/>
              </w:rPr>
              <w:t>、灰度等级：</w:t>
            </w:r>
            <w:r>
              <w:t>14 bits</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2</w:t>
            </w:r>
            <w:r>
              <w:t>1</w:t>
            </w:r>
            <w:r>
              <w:rPr>
                <w:rFonts w:hint="eastAsia"/>
              </w:rPr>
              <w:t>、颜色：</w:t>
            </w:r>
            <w:r>
              <w:t>4.39 trillion</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22</w:t>
            </w:r>
            <w:r>
              <w:rPr>
                <w:rFonts w:hint="eastAsia"/>
              </w:rPr>
              <w:t>、单点亮度校正：有</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2</w:t>
            </w:r>
            <w:r>
              <w:t>3</w:t>
            </w:r>
            <w:r>
              <w:rPr>
                <w:rFonts w:hint="eastAsia"/>
              </w:rPr>
              <w:t>、单点色度校正：有</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24</w:t>
            </w:r>
            <w:r>
              <w:rPr>
                <w:rFonts w:hint="eastAsia"/>
              </w:rPr>
              <w:t>、发光点中心距偏差：≤</w:t>
            </w:r>
            <w:r>
              <w:t>3%</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25</w:t>
            </w:r>
            <w:r>
              <w:rPr>
                <w:rFonts w:hint="eastAsia"/>
              </w:rPr>
              <w:t>、亮度均匀性：≥</w:t>
            </w:r>
            <w:r>
              <w:t>97%（校正后）</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26</w:t>
            </w:r>
            <w:r>
              <w:rPr>
                <w:rFonts w:hint="eastAsia"/>
              </w:rPr>
              <w:t>、色度均匀性：</w:t>
            </w:r>
            <w:r>
              <w:t>(x，y)±0.003之内</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27</w:t>
            </w:r>
            <w:r>
              <w:rPr>
                <w:rFonts w:hint="eastAsia"/>
              </w:rPr>
              <w:t>、对比度：</w:t>
            </w:r>
            <w:r>
              <w:t>5000:1</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2</w:t>
            </w:r>
            <w:r>
              <w:t>8</w:t>
            </w:r>
            <w:r>
              <w:rPr>
                <w:rFonts w:hint="eastAsia"/>
              </w:rPr>
              <w:t>、画面帧频：</w:t>
            </w:r>
            <w:r>
              <w:t>50/60 Hz</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29</w:t>
            </w:r>
            <w:r>
              <w:rPr>
                <w:rFonts w:hint="eastAsia"/>
              </w:rPr>
              <w:t>、画面刷新率：≥</w:t>
            </w:r>
            <w:r>
              <w:t>3600 Hz</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30</w:t>
            </w:r>
            <w:r>
              <w:rPr>
                <w:rFonts w:hint="eastAsia"/>
              </w:rPr>
              <w:t>、输入电源：</w:t>
            </w:r>
            <w:r>
              <w:t>AC90V－132V/ AC186V－264V，频率 47Hz～ 63Hz</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31</w:t>
            </w:r>
            <w:r>
              <w:rPr>
                <w:rFonts w:hint="eastAsia"/>
              </w:rPr>
              <w:t>、输入功率</w:t>
            </w:r>
            <w:r>
              <w:t>(最大值)：450 W/m²</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32</w:t>
            </w:r>
            <w:r>
              <w:rPr>
                <w:rFonts w:hint="eastAsia"/>
              </w:rPr>
              <w:t>、输入功率</w:t>
            </w:r>
            <w:r>
              <w:t>(</w:t>
            </w:r>
            <w:r>
              <w:rPr>
                <w:rFonts w:hint="eastAsia"/>
              </w:rPr>
              <w:t>平均</w:t>
            </w:r>
            <w:r>
              <w:t>值)：200W/m²</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33</w:t>
            </w:r>
            <w:r>
              <w:rPr>
                <w:rFonts w:hint="eastAsia"/>
              </w:rPr>
              <w:t>、使用寿命：≥</w:t>
            </w:r>
            <w:r>
              <w:t>100,000 Hours</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3</w:t>
            </w:r>
            <w:r>
              <w:t>4</w:t>
            </w:r>
            <w:r>
              <w:rPr>
                <w:rFonts w:hint="eastAsia"/>
              </w:rPr>
              <w:t>、</w:t>
            </w:r>
            <w:r>
              <w:t>LED波长：R:610~630nm G:520~545nm B:460~480nm</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3</w:t>
            </w:r>
            <w:r>
              <w:t>5</w:t>
            </w:r>
            <w:r>
              <w:rPr>
                <w:rFonts w:hint="eastAsia"/>
              </w:rPr>
              <w:t>、驱动方式：恒流驱动</w:t>
            </w:r>
            <w:r>
              <w:t>,52扫</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t>36</w:t>
            </w:r>
            <w:r>
              <w:rPr>
                <w:rFonts w:hint="eastAsia"/>
              </w:rPr>
              <w:t>、安装方式：固定安装</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pPr>
            <w:r>
              <w:rPr>
                <w:rFonts w:hint="eastAsia"/>
              </w:rPr>
              <w:t>3</w:t>
            </w:r>
            <w:r>
              <w:t>7</w:t>
            </w:r>
            <w:r>
              <w:rPr>
                <w:rFonts w:hint="eastAsia"/>
              </w:rPr>
              <w:t>、维护方式：前维护</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highlight w:val="none"/>
              </w:rPr>
            </w:pPr>
            <w:r>
              <w:t>38</w:t>
            </w:r>
            <w:r>
              <w:rPr>
                <w:rFonts w:hint="eastAsia"/>
              </w:rPr>
              <w:t>、通信</w:t>
            </w:r>
            <w:r>
              <w:rPr>
                <w:rFonts w:hint="eastAsia"/>
                <w:highlight w:val="none"/>
              </w:rPr>
              <w:t>连接：超五类网线</w:t>
            </w:r>
            <w:r>
              <w:rPr>
                <w:highlight w:val="none"/>
              </w:rPr>
              <w:t>100M内；100M-10KM光纤传输；</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strike w:val="0"/>
                <w:dstrike w:val="0"/>
                <w:highlight w:val="none"/>
              </w:rPr>
            </w:pPr>
            <w:r>
              <w:rPr>
                <w:rFonts w:hint="eastAsia"/>
                <w:strike w:val="0"/>
                <w:dstrike w:val="0"/>
                <w:highlight w:val="none"/>
              </w:rPr>
              <w:t>3</w:t>
            </w:r>
            <w:r>
              <w:rPr>
                <w:strike w:val="0"/>
                <w:dstrike w:val="0"/>
                <w:highlight w:val="none"/>
              </w:rPr>
              <w:t>9</w:t>
            </w:r>
            <w:r>
              <w:rPr>
                <w:rFonts w:hint="eastAsia"/>
                <w:strike w:val="0"/>
                <w:dstrike w:val="0"/>
                <w:highlight w:val="none"/>
              </w:rPr>
              <w:t>、运行稳定，不受电源端子传导干扰、不受射频电磁场辐射干扰、不受射频场感应传导干扰（提供封面同时具备</w:t>
            </w:r>
            <w:r>
              <w:rPr>
                <w:strike w:val="0"/>
                <w:dstrike w:val="0"/>
                <w:highlight w:val="none"/>
              </w:rPr>
              <w:t>CMA</w:t>
            </w:r>
            <w:r>
              <w:rPr>
                <w:rFonts w:hint="eastAsia"/>
                <w:strike w:val="0"/>
                <w:dstrike w:val="0"/>
                <w:highlight w:val="none"/>
              </w:rPr>
              <w:t>或</w:t>
            </w:r>
            <w:r>
              <w:rPr>
                <w:strike w:val="0"/>
                <w:dstrike w:val="0"/>
                <w:highlight w:val="none"/>
              </w:rPr>
              <w:t>CNAS</w:t>
            </w:r>
            <w:r>
              <w:rPr>
                <w:rFonts w:hint="eastAsia"/>
                <w:strike w:val="0"/>
                <w:dstrike w:val="0"/>
                <w:highlight w:val="none"/>
              </w:rPr>
              <w:t>标识</w:t>
            </w:r>
            <w:r>
              <w:rPr>
                <w:strike w:val="0"/>
                <w:dstrike w:val="0"/>
                <w:highlight w:val="none"/>
              </w:rPr>
              <w:t>的第三方检测机构出具的检测报告复印件</w:t>
            </w:r>
            <w:r>
              <w:rPr>
                <w:rFonts w:hint="eastAsia"/>
                <w:strike w:val="0"/>
                <w:dstrike w:val="0"/>
                <w:highlight w:val="none"/>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strike w:val="0"/>
                <w:dstrike w:val="0"/>
                <w:highlight w:val="none"/>
              </w:rPr>
            </w:pPr>
            <w:r>
              <w:rPr>
                <w:rFonts w:hint="eastAsia"/>
                <w:strike w:val="0"/>
                <w:dstrike w:val="0"/>
                <w:highlight w:val="none"/>
              </w:rPr>
              <w:t>4</w:t>
            </w:r>
            <w:r>
              <w:rPr>
                <w:strike w:val="0"/>
                <w:dstrike w:val="0"/>
                <w:highlight w:val="none"/>
              </w:rPr>
              <w:t>0</w:t>
            </w:r>
            <w:r>
              <w:rPr>
                <w:rFonts w:hint="eastAsia"/>
                <w:strike w:val="0"/>
                <w:dstrike w:val="0"/>
                <w:highlight w:val="none"/>
              </w:rPr>
              <w:t>、显示屏通过盐雾试验，</w:t>
            </w:r>
            <w:r>
              <w:rPr>
                <w:strike w:val="0"/>
                <w:dstrike w:val="0"/>
                <w:highlight w:val="none"/>
              </w:rPr>
              <w:t>LED显示屏需在35℃/5%浓度环境下连续48H表面无锈蚀</w:t>
            </w:r>
            <w:r>
              <w:rPr>
                <w:rFonts w:hint="eastAsia"/>
                <w:strike w:val="0"/>
                <w:dstrike w:val="0"/>
                <w:highlight w:val="none"/>
              </w:rPr>
              <w:t>（提供封面同时具备</w:t>
            </w:r>
            <w:r>
              <w:rPr>
                <w:strike w:val="0"/>
                <w:dstrike w:val="0"/>
                <w:highlight w:val="none"/>
              </w:rPr>
              <w:t>CMA</w:t>
            </w:r>
            <w:r>
              <w:rPr>
                <w:rFonts w:hint="eastAsia"/>
                <w:strike w:val="0"/>
                <w:dstrike w:val="0"/>
                <w:highlight w:val="none"/>
              </w:rPr>
              <w:t>或</w:t>
            </w:r>
            <w:r>
              <w:rPr>
                <w:strike w:val="0"/>
                <w:dstrike w:val="0"/>
                <w:highlight w:val="none"/>
              </w:rPr>
              <w:t>CNAS</w:t>
            </w:r>
            <w:r>
              <w:rPr>
                <w:rFonts w:hint="eastAsia"/>
                <w:strike w:val="0"/>
                <w:dstrike w:val="0"/>
                <w:highlight w:val="none"/>
              </w:rPr>
              <w:t>标识</w:t>
            </w:r>
            <w:r>
              <w:rPr>
                <w:strike w:val="0"/>
                <w:dstrike w:val="0"/>
                <w:highlight w:val="none"/>
              </w:rPr>
              <w:t>的第三方检测机构出具的检测报告复印件</w:t>
            </w:r>
            <w:r>
              <w:rPr>
                <w:rFonts w:hint="eastAsia"/>
                <w:strike w:val="0"/>
                <w:dstrike w:val="0"/>
                <w:highlight w:val="none"/>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strike/>
                <w:dstrike w:val="0"/>
                <w:highlight w:val="none"/>
              </w:rPr>
            </w:pPr>
            <w:r>
              <w:rPr>
                <w:strike w:val="0"/>
                <w:dstrike w:val="0"/>
                <w:highlight w:val="none"/>
              </w:rPr>
              <w:t>41</w:t>
            </w:r>
            <w:r>
              <w:rPr>
                <w:rFonts w:hint="eastAsia"/>
                <w:strike w:val="0"/>
                <w:dstrike w:val="0"/>
                <w:highlight w:val="none"/>
              </w:rPr>
              <w:t>、为了保证产品软件成熟稳定可靠，显示屏生产厂家已达到CMMI成熟度5级</w:t>
            </w:r>
            <w:r>
              <w:rPr>
                <w:rFonts w:hint="eastAsia"/>
                <w:strike w:val="0"/>
                <w:dstrike w:val="0"/>
                <w:highlight w:val="none"/>
                <w:lang w:eastAsia="zh-CN"/>
              </w:rPr>
              <w:t>。</w:t>
            </w:r>
            <w:r>
              <w:rPr>
                <w:rFonts w:hint="eastAsia"/>
                <w:strike w:val="0"/>
                <w:dstrike w:val="0"/>
                <w:highlight w:val="none"/>
              </w:rPr>
              <w:t>（提供</w:t>
            </w:r>
            <w:r>
              <w:rPr>
                <w:rFonts w:hint="eastAsia"/>
                <w:strike w:val="0"/>
                <w:dstrike w:val="0"/>
                <w:highlight w:val="none"/>
                <w:lang w:val="en-US" w:eastAsia="zh-CN"/>
              </w:rPr>
              <w:t>证书扫描</w:t>
            </w:r>
            <w:r>
              <w:rPr>
                <w:rFonts w:hint="eastAsia"/>
                <w:strike w:val="0"/>
                <w:dstrike w:val="0"/>
                <w:highlight w:val="none"/>
              </w:rPr>
              <w:t>件）</w:t>
            </w:r>
          </w:p>
          <w:p>
            <w:pPr>
              <w:widowControl/>
              <w:snapToGrid w:val="0"/>
              <w:spacing w:line="360" w:lineRule="auto"/>
              <w:ind w:left="840" w:leftChars="200" w:hanging="420" w:hangingChars="200"/>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、投标人所投LED显示屏产品具备</w:t>
            </w:r>
            <w:r>
              <w:rPr>
                <w:rFonts w:ascii="宋体" w:hAnsi="宋体" w:eastAsia="宋体" w:cs="宋体"/>
                <w:color w:val="000000"/>
                <w:kern w:val="0"/>
                <w:sz w:val="21"/>
                <w:szCs w:val="21"/>
                <w:highlight w:val="none"/>
              </w:rPr>
              <w:t>实时映像采集服务软件软件著作权证书</w:t>
            </w:r>
            <w:r>
              <w:rPr>
                <w:rFonts w:hint="eastAsia" w:ascii="宋体" w:hAnsi="宋体" w:eastAsia="宋体" w:cs="宋体"/>
                <w:color w:val="000000"/>
                <w:kern w:val="0"/>
                <w:sz w:val="21"/>
                <w:szCs w:val="21"/>
                <w:highlight w:val="none"/>
              </w:rPr>
              <w:t>(提供扫描件</w:t>
            </w:r>
            <w:r>
              <w:rPr>
                <w:rFonts w:ascii="宋体" w:hAnsi="宋体" w:eastAsia="宋体" w:cs="宋体"/>
                <w:color w:val="000000"/>
                <w:kern w:val="0"/>
                <w:sz w:val="21"/>
                <w:szCs w:val="21"/>
                <w:highlight w:val="none"/>
              </w:rPr>
              <w:t>)</w:t>
            </w:r>
          </w:p>
          <w:p>
            <w:pPr>
              <w:widowControl/>
              <w:snapToGrid w:val="0"/>
              <w:spacing w:line="360" w:lineRule="auto"/>
              <w:ind w:left="840" w:leftChars="200" w:hanging="420" w:hangingChars="200"/>
              <w:rPr>
                <w:rFonts w:hint="eastAsia"/>
                <w:sz w:val="21"/>
                <w:szCs w:val="21"/>
                <w:highlight w:val="none"/>
              </w:rPr>
            </w:pPr>
            <w:r>
              <w:rPr>
                <w:rFonts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3</w:t>
            </w:r>
            <w:r>
              <w:rPr>
                <w:rFonts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rPr>
              <w:t>为保证投屏软件的兼容性投标人所投LED显示屏产品具备</w:t>
            </w:r>
            <w:r>
              <w:rPr>
                <w:rFonts w:ascii="宋体" w:hAnsi="宋体" w:eastAsia="宋体" w:cs="宋体"/>
                <w:color w:val="000000"/>
                <w:kern w:val="0"/>
                <w:sz w:val="21"/>
                <w:szCs w:val="21"/>
                <w:highlight w:val="none"/>
              </w:rPr>
              <w:t>显控开发平台软件著作权证书</w:t>
            </w:r>
            <w:r>
              <w:rPr>
                <w:rFonts w:hint="eastAsia" w:ascii="宋体" w:hAnsi="宋体" w:eastAsia="宋体" w:cs="宋体"/>
                <w:color w:val="000000"/>
                <w:kern w:val="0"/>
                <w:sz w:val="21"/>
                <w:szCs w:val="21"/>
                <w:highlight w:val="none"/>
              </w:rPr>
              <w:t>(提供扫描件</w:t>
            </w:r>
            <w:r>
              <w:rPr>
                <w:rFonts w:ascii="宋体" w:hAnsi="宋体" w:eastAsia="宋体" w:cs="宋体"/>
                <w:color w:val="000000"/>
                <w:kern w:val="0"/>
                <w:sz w:val="21"/>
                <w:szCs w:val="21"/>
                <w:highlight w:val="none"/>
              </w:rPr>
              <w:t>)</w:t>
            </w:r>
          </w:p>
          <w:p>
            <w:pPr>
              <w:widowControl/>
              <w:snapToGrid w:val="0"/>
              <w:spacing w:line="360" w:lineRule="auto"/>
              <w:jc w:val="left"/>
              <w:rPr>
                <w:highlight w:val="none"/>
              </w:rPr>
            </w:pPr>
            <w:r>
              <w:rPr>
                <w:rFonts w:hint="eastAsia"/>
                <w:highlight w:val="none"/>
              </w:rPr>
              <w:t>二、拼接面积</w:t>
            </w:r>
          </w:p>
          <w:p>
            <w:pPr>
              <w:widowControl/>
              <w:snapToGrid w:val="0"/>
              <w:spacing w:line="360" w:lineRule="auto"/>
              <w:ind w:firstLine="420" w:firstLineChars="200"/>
              <w:jc w:val="left"/>
            </w:pPr>
            <w:r>
              <w:rPr>
                <w:rFonts w:hint="eastAsia"/>
                <w:highlight w:val="none"/>
              </w:rPr>
              <w:t>按箱体块数计算：宽</w:t>
            </w:r>
            <w:r>
              <w:rPr>
                <w:highlight w:val="none"/>
              </w:rPr>
              <w:t>9</w:t>
            </w:r>
            <w:r>
              <w:rPr>
                <w:rFonts w:hint="eastAsia"/>
                <w:highlight w:val="none"/>
              </w:rPr>
              <w:t>块，高5</w:t>
            </w:r>
            <w:r>
              <w:rPr>
                <w:rFonts w:hint="eastAsia"/>
              </w:rPr>
              <w:t>块，共</w:t>
            </w:r>
            <w:r>
              <w:rPr>
                <w:rFonts w:hint="eastAsia"/>
                <w:lang w:val="en-US" w:eastAsia="zh-CN"/>
              </w:rPr>
              <w:t>45</w:t>
            </w:r>
            <w:r>
              <w:rPr>
                <w:rFonts w:hint="eastAsia"/>
              </w:rPr>
              <w:t>块</w:t>
            </w:r>
          </w:p>
          <w:p>
            <w:pPr>
              <w:widowControl/>
              <w:snapToGrid w:val="0"/>
              <w:spacing w:line="360" w:lineRule="auto"/>
              <w:ind w:firstLine="420" w:firstLineChars="200"/>
              <w:jc w:val="left"/>
              <w:rPr>
                <w:rFonts w:hint="eastAsia"/>
                <w:vertAlign w:val="superscript"/>
              </w:rPr>
            </w:pPr>
            <w:r>
              <w:rPr>
                <w:rFonts w:hint="eastAsia"/>
              </w:rPr>
              <w:t>按箱体面积计算：每块箱体的尺寸为0.</w:t>
            </w:r>
            <w:r>
              <w:t>64</w:t>
            </w:r>
            <w:r>
              <w:rPr>
                <w:rFonts w:hint="eastAsia"/>
              </w:rPr>
              <w:t>m×0.48m，则屏宽</w:t>
            </w:r>
            <w:r>
              <w:t>9</w:t>
            </w:r>
            <w:r>
              <w:rPr>
                <w:rFonts w:hint="eastAsia"/>
              </w:rPr>
              <w:t>×0.</w:t>
            </w:r>
            <w:r>
              <w:t>64</w:t>
            </w:r>
            <w:r>
              <w:rPr>
                <w:rFonts w:hint="eastAsia"/>
              </w:rPr>
              <w:t>m=5.76m，屏高5×0.48m=2.4m，所以屏的面积为：5.76m×2.4m＝13.824m</w:t>
            </w:r>
            <w:r>
              <w:rPr>
                <w:rFonts w:hint="eastAsia"/>
                <w:vertAlign w:val="superscript"/>
              </w:rPr>
              <w:t>2</w:t>
            </w:r>
          </w:p>
          <w:p>
            <w:pPr>
              <w:pStyle w:val="2"/>
              <w:numPr>
                <w:ilvl w:val="0"/>
                <w:numId w:val="3"/>
              </w:numPr>
              <w:jc w:val="left"/>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控制系统</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w:t>
            </w:r>
            <w:r>
              <w:rPr>
                <w:rFonts w:hint="default" w:ascii="Times New Roman" w:hAnsi="Times New Roman" w:eastAsia="宋体" w:cs="Times New Roman"/>
                <w:b w:val="0"/>
                <w:kern w:val="2"/>
                <w:sz w:val="21"/>
                <w:szCs w:val="24"/>
                <w:lang w:val="en-US" w:eastAsia="zh-CN" w:bidi="ar-SA"/>
              </w:rPr>
              <w:t>单卡支持16组和32组数据输出模式；</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2、</w:t>
            </w:r>
            <w:r>
              <w:rPr>
                <w:rFonts w:hint="default" w:ascii="Times New Roman" w:hAnsi="Times New Roman" w:eastAsia="宋体" w:cs="Times New Roman"/>
                <w:b w:val="0"/>
                <w:kern w:val="2"/>
                <w:sz w:val="21"/>
                <w:szCs w:val="24"/>
                <w:lang w:val="en-US" w:eastAsia="zh-CN" w:bidi="ar-SA"/>
              </w:rPr>
              <w:t>单卡自带16个HUB75  16P接口；</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3、</w:t>
            </w:r>
            <w:r>
              <w:rPr>
                <w:rFonts w:hint="default" w:ascii="Times New Roman" w:hAnsi="Times New Roman" w:eastAsia="宋体" w:cs="Times New Roman"/>
                <w:b w:val="0"/>
                <w:kern w:val="2"/>
                <w:sz w:val="21"/>
                <w:szCs w:val="24"/>
                <w:lang w:val="en-US" w:eastAsia="zh-CN" w:bidi="ar-SA"/>
              </w:rPr>
              <w:t>单卡带载像素128*1024/256*512。</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4、</w:t>
            </w:r>
            <w:r>
              <w:rPr>
                <w:rFonts w:hint="default" w:ascii="Times New Roman" w:hAnsi="Times New Roman" w:eastAsia="宋体" w:cs="Times New Roman"/>
                <w:b w:val="0"/>
                <w:kern w:val="2"/>
                <w:sz w:val="21"/>
                <w:szCs w:val="24"/>
                <w:lang w:val="en-US" w:eastAsia="zh-CN" w:bidi="ar-SA"/>
              </w:rPr>
              <w:t>支持逐点亮色度校正、多批次、亮暗线调节和显示屏效果调节等功能，与3D控制器搭配支持3D效果；</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5、</w:t>
            </w:r>
            <w:r>
              <w:rPr>
                <w:rFonts w:hint="default" w:ascii="Times New Roman" w:hAnsi="Times New Roman" w:eastAsia="宋体" w:cs="Times New Roman"/>
                <w:b w:val="0"/>
                <w:kern w:val="2"/>
                <w:sz w:val="21"/>
                <w:szCs w:val="24"/>
                <w:lang w:val="en-US" w:eastAsia="zh-CN" w:bidi="ar-SA"/>
              </w:rPr>
              <w:t>支持接收卡预存画面和保留最后一帧设置；</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6、</w:t>
            </w:r>
            <w:r>
              <w:rPr>
                <w:rFonts w:hint="default" w:ascii="Times New Roman" w:hAnsi="Times New Roman" w:eastAsia="宋体" w:cs="Times New Roman"/>
                <w:b w:val="0"/>
                <w:kern w:val="2"/>
                <w:sz w:val="21"/>
                <w:szCs w:val="24"/>
                <w:lang w:val="en-US" w:eastAsia="zh-CN" w:bidi="ar-SA"/>
              </w:rPr>
              <w:t>支持灯板flash管理；</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7、</w:t>
            </w:r>
            <w:r>
              <w:rPr>
                <w:rFonts w:hint="default" w:ascii="Times New Roman" w:hAnsi="Times New Roman" w:eastAsia="宋体" w:cs="Times New Roman"/>
                <w:b w:val="0"/>
                <w:kern w:val="2"/>
                <w:sz w:val="21"/>
                <w:szCs w:val="24"/>
                <w:lang w:val="en-US" w:eastAsia="zh-CN" w:bidi="ar-SA"/>
              </w:rPr>
              <w:t>支持5pin液晶模块；</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8、</w:t>
            </w:r>
            <w:r>
              <w:rPr>
                <w:rFonts w:hint="default" w:ascii="Times New Roman" w:hAnsi="Times New Roman" w:eastAsia="宋体" w:cs="Times New Roman"/>
                <w:b w:val="0"/>
                <w:kern w:val="2"/>
                <w:sz w:val="21"/>
                <w:szCs w:val="24"/>
                <w:lang w:val="en-US" w:eastAsia="zh-CN" w:bidi="ar-SA"/>
              </w:rPr>
              <w:t>支持Mapping功能；</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9、</w:t>
            </w:r>
            <w:r>
              <w:rPr>
                <w:rFonts w:hint="default" w:ascii="Times New Roman" w:hAnsi="Times New Roman" w:eastAsia="宋体" w:cs="Times New Roman"/>
                <w:b w:val="0"/>
                <w:kern w:val="2"/>
                <w:sz w:val="21"/>
                <w:szCs w:val="24"/>
                <w:lang w:val="en-US" w:eastAsia="zh-CN" w:bidi="ar-SA"/>
              </w:rPr>
              <w:t>支持3D功能；</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10、</w:t>
            </w:r>
            <w:r>
              <w:rPr>
                <w:rFonts w:hint="default" w:ascii="Times New Roman" w:hAnsi="Times New Roman" w:eastAsia="宋体" w:cs="Times New Roman"/>
                <w:b w:val="0"/>
                <w:kern w:val="2"/>
                <w:sz w:val="21"/>
                <w:szCs w:val="24"/>
                <w:lang w:val="en-US" w:eastAsia="zh-CN" w:bidi="ar-SA"/>
              </w:rPr>
              <w:t>支持接收卡温度电压自检；</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11、</w:t>
            </w:r>
            <w:r>
              <w:rPr>
                <w:rFonts w:hint="default" w:ascii="Times New Roman" w:hAnsi="Times New Roman" w:eastAsia="宋体" w:cs="Times New Roman"/>
                <w:b w:val="0"/>
                <w:kern w:val="2"/>
                <w:sz w:val="21"/>
                <w:szCs w:val="24"/>
                <w:lang w:val="en-US" w:eastAsia="zh-CN" w:bidi="ar-SA"/>
              </w:rPr>
              <w:t>支持千兆网，可通过网线直接连接PC端进行调试和显示；</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12、</w:t>
            </w:r>
            <w:r>
              <w:rPr>
                <w:rFonts w:hint="default" w:ascii="Times New Roman" w:hAnsi="Times New Roman" w:eastAsia="宋体" w:cs="Times New Roman"/>
                <w:b w:val="0"/>
                <w:kern w:val="2"/>
                <w:sz w:val="21"/>
                <w:szCs w:val="24"/>
                <w:lang w:val="en-US" w:eastAsia="zh-CN" w:bidi="ar-SA"/>
              </w:rPr>
              <w:t>支持接收卡参数及程序包回读；</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13、</w:t>
            </w:r>
            <w:r>
              <w:rPr>
                <w:rFonts w:hint="default" w:ascii="Times New Roman" w:hAnsi="Times New Roman" w:eastAsia="宋体" w:cs="Times New Roman"/>
                <w:b w:val="0"/>
                <w:kern w:val="2"/>
                <w:sz w:val="21"/>
                <w:szCs w:val="24"/>
                <w:lang w:val="en-US" w:eastAsia="zh-CN" w:bidi="ar-SA"/>
              </w:rPr>
              <w:t>接收卡具有与灯板一致的电源接口；</w:t>
            </w:r>
          </w:p>
          <w:p>
            <w:pPr>
              <w:numPr>
                <w:ilvl w:val="0"/>
                <w:numId w:val="0"/>
              </w:numPr>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14、</w:t>
            </w:r>
            <w:r>
              <w:rPr>
                <w:rFonts w:hint="default" w:ascii="Times New Roman" w:hAnsi="Times New Roman" w:eastAsia="宋体" w:cs="Times New Roman"/>
                <w:b w:val="0"/>
                <w:kern w:val="2"/>
                <w:sz w:val="21"/>
                <w:szCs w:val="24"/>
                <w:lang w:val="en-US" w:eastAsia="zh-CN" w:bidi="ar-SA"/>
              </w:rPr>
              <w:t>LED显示智能检测及修复校正软件，提供第三方检测机构出具的相关证书</w:t>
            </w:r>
          </w:p>
          <w:p>
            <w:pPr>
              <w:numPr>
                <w:ilvl w:val="0"/>
                <w:numId w:val="0"/>
              </w:numPr>
              <w:rPr>
                <w:rFonts w:hint="default"/>
                <w:sz w:val="21"/>
                <w:szCs w:val="21"/>
                <w:lang w:val="en-US" w:eastAsia="zh-CN"/>
              </w:rPr>
            </w:pPr>
            <w:r>
              <w:rPr>
                <w:rFonts w:hint="eastAsia" w:ascii="Times New Roman" w:hAnsi="Times New Roman" w:eastAsia="宋体" w:cs="Times New Roman"/>
                <w:b w:val="0"/>
                <w:kern w:val="2"/>
                <w:sz w:val="21"/>
                <w:szCs w:val="24"/>
                <w:lang w:val="en-US" w:eastAsia="zh-CN" w:bidi="ar-SA"/>
              </w:rPr>
              <w:t>15、</w:t>
            </w:r>
            <w:r>
              <w:rPr>
                <w:rFonts w:hint="default" w:ascii="Times New Roman" w:hAnsi="Times New Roman" w:eastAsia="宋体" w:cs="Times New Roman"/>
                <w:b w:val="0"/>
                <w:kern w:val="2"/>
                <w:sz w:val="21"/>
                <w:szCs w:val="24"/>
                <w:lang w:val="en-US" w:eastAsia="zh-CN" w:bidi="ar-SA"/>
              </w:rPr>
              <w:t>为保证产品的稳定性，易维性，兼容性，要求LED显示屏，控制系统为同一个品牌或厂家。</w:t>
            </w:r>
          </w:p>
          <w:p>
            <w:pPr>
              <w:widowControl/>
              <w:snapToGrid w:val="0"/>
              <w:spacing w:line="360" w:lineRule="auto"/>
              <w:jc w:val="left"/>
              <w:rPr>
                <w:rFonts w:hint="eastAsia" w:ascii="宋体" w:hAnsi="宋体" w:eastAsia="宋体" w:cs="宋体"/>
                <w:b/>
                <w:bCs/>
                <w:sz w:val="24"/>
                <w:szCs w:val="24"/>
                <w:lang w:val="en-US" w:eastAsia="zh-CN"/>
              </w:rPr>
            </w:pPr>
            <w:r>
              <w:rPr>
                <w:rFonts w:hint="eastAsia"/>
                <w:b/>
                <w:bCs/>
                <w:lang w:val="en-US" w:eastAsia="zh-CN"/>
              </w:rPr>
              <w:t>四、参考效果图</w:t>
            </w:r>
          </w:p>
          <w:p>
            <w:pPr>
              <w:numPr>
                <w:ilvl w:val="0"/>
                <w:numId w:val="0"/>
              </w:numPr>
              <w:snapToGrid w:val="0"/>
              <w:spacing w:line="360" w:lineRule="auto"/>
              <w:ind w:leftChars="0"/>
              <w:rPr>
                <w:rFonts w:hint="default"/>
                <w:lang w:val="en-US" w:eastAsia="zh-CN"/>
              </w:rPr>
            </w:pPr>
            <w:r>
              <w:rPr>
                <w:rFonts w:hint="default" w:ascii="宋体" w:hAnsi="宋体" w:eastAsia="宋体" w:cs="宋体"/>
                <w:sz w:val="24"/>
                <w:szCs w:val="24"/>
                <w:lang w:val="en-US" w:eastAsia="zh-CN"/>
              </w:rPr>
              <w:drawing>
                <wp:inline distT="0" distB="0" distL="114300" distR="114300">
                  <wp:extent cx="4547235" cy="2067560"/>
                  <wp:effectExtent l="0" t="0" r="5715" b="8890"/>
                  <wp:docPr id="4" name="图片 4" descr="微信图片_2021100708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007084324"/>
                          <pic:cNvPicPr>
                            <a:picLocks noChangeAspect="1"/>
                          </pic:cNvPicPr>
                        </pic:nvPicPr>
                        <pic:blipFill>
                          <a:blip r:embed="rId7"/>
                          <a:stretch>
                            <a:fillRect/>
                          </a:stretch>
                        </pic:blipFill>
                        <pic:spPr>
                          <a:xfrm>
                            <a:off x="0" y="0"/>
                            <a:ext cx="4547235" cy="2067560"/>
                          </a:xfrm>
                          <a:prstGeom prst="rect">
                            <a:avLst/>
                          </a:prstGeom>
                        </pic:spPr>
                      </pic:pic>
                    </a:graphicData>
                  </a:graphic>
                </wp:inline>
              </w:drawing>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套</w:t>
            </w: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5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361"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r>
              <w:rPr>
                <w:rFonts w:hint="eastAsia" w:ascii="宋体" w:hAnsi="宋体" w:cs="宋体"/>
                <w:b/>
                <w:color w:val="auto"/>
                <w:sz w:val="21"/>
                <w:szCs w:val="21"/>
                <w:highlight w:val="none"/>
                <w:lang w:val="en-US" w:eastAsia="zh-CN"/>
              </w:rPr>
              <w:t>1、</w:t>
            </w:r>
            <w:r>
              <w:rPr>
                <w:rFonts w:hint="eastAsia" w:ascii="宋体" w:hAnsi="宋体" w:cs="宋体"/>
                <w:b/>
                <w:color w:val="auto"/>
                <w:sz w:val="21"/>
                <w:szCs w:val="21"/>
                <w:highlight w:val="none"/>
              </w:rPr>
              <w:t>谈判响应人的谈判响应文件必须标明所投货物的品牌与参数，保证原厂正品供货，提供相关资料等。</w:t>
            </w:r>
          </w:p>
          <w:p>
            <w:pPr>
              <w:pStyle w:val="2"/>
              <w:jc w:val="left"/>
              <w:rPr>
                <w:rFonts w:hint="eastAsia" w:eastAsia="宋体"/>
                <w:lang w:val="en-US" w:eastAsia="zh-CN"/>
              </w:rPr>
            </w:pPr>
            <w:r>
              <w:rPr>
                <w:rFonts w:hint="eastAsia" w:ascii="宋体" w:hAnsi="宋体" w:cs="宋体"/>
                <w:b/>
                <w:color w:val="auto"/>
                <w:sz w:val="21"/>
                <w:szCs w:val="21"/>
                <w:highlight w:val="none"/>
                <w:lang w:val="en-US" w:eastAsia="zh-CN"/>
              </w:rPr>
              <w:t>2</w:t>
            </w:r>
            <w:r>
              <w:rPr>
                <w:rFonts w:hint="eastAsia" w:ascii="宋体" w:hAnsi="宋体" w:eastAsia="宋体" w:cs="宋体"/>
                <w:b/>
                <w:color w:val="auto"/>
                <w:kern w:val="2"/>
                <w:sz w:val="21"/>
                <w:szCs w:val="21"/>
                <w:highlight w:val="none"/>
                <w:lang w:val="en-US" w:eastAsia="zh-CN" w:bidi="ar-SA"/>
              </w:rPr>
              <w:t>、本项目技术参数中若有要求提供证明资料（例如检测报告</w:t>
            </w:r>
            <w:r>
              <w:rPr>
                <w:rFonts w:hint="eastAsia" w:ascii="宋体" w:hAnsi="宋体" w:cs="宋体"/>
                <w:b/>
                <w:color w:val="auto"/>
                <w:kern w:val="2"/>
                <w:sz w:val="21"/>
                <w:szCs w:val="21"/>
                <w:highlight w:val="none"/>
                <w:lang w:val="en-US" w:eastAsia="zh-CN" w:bidi="ar-SA"/>
              </w:rPr>
              <w:t>、</w:t>
            </w:r>
            <w:r>
              <w:rPr>
                <w:rFonts w:ascii="宋体" w:hAnsi="宋体" w:eastAsia="宋体" w:cs="宋体"/>
                <w:color w:val="auto"/>
                <w:kern w:val="0"/>
                <w:sz w:val="21"/>
                <w:szCs w:val="21"/>
                <w:highlight w:val="none"/>
              </w:rPr>
              <w:t>软件著作权证书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CMMI成熟度5级</w:t>
            </w:r>
            <w:r>
              <w:rPr>
                <w:rFonts w:hint="eastAsia" w:ascii="宋体" w:hAnsi="宋体" w:cs="宋体"/>
                <w:color w:val="auto"/>
                <w:kern w:val="0"/>
                <w:sz w:val="21"/>
                <w:szCs w:val="21"/>
                <w:highlight w:val="none"/>
                <w:lang w:val="en-US" w:eastAsia="zh-CN"/>
              </w:rPr>
              <w:t>证书</w:t>
            </w:r>
            <w:r>
              <w:rPr>
                <w:rFonts w:hint="eastAsia" w:ascii="宋体" w:hAnsi="宋体" w:eastAsia="宋体" w:cs="宋体"/>
                <w:b/>
                <w:color w:val="auto"/>
                <w:kern w:val="2"/>
                <w:sz w:val="21"/>
                <w:szCs w:val="21"/>
                <w:highlight w:val="none"/>
                <w:lang w:val="en-US" w:eastAsia="zh-CN" w:bidi="ar-SA"/>
              </w:rPr>
              <w:t>等）均在成交通知书发出后7个工作日内提供，若成交人未在竞争性谈判文件要求的期限内提供竞争性谈判文件中要求的证明资料或成交人提供的证明资料不能完全符合竞争性谈判文件要求，则视为虚假响应。</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b/>
                <w:color w:val="auto"/>
                <w:kern w:val="0"/>
                <w:sz w:val="21"/>
                <w:szCs w:val="21"/>
                <w:highlight w:val="none"/>
              </w:rPr>
            </w:pPr>
            <w:r>
              <w:rPr>
                <w:rFonts w:hint="eastAsia" w:ascii="宋体" w:hAnsi="宋体" w:cs="宋体"/>
                <w:b/>
                <w:color w:val="auto"/>
                <w:sz w:val="21"/>
                <w:szCs w:val="21"/>
                <w:highlight w:val="none"/>
              </w:rPr>
              <w:t>本次采购最高限价：人民币</w:t>
            </w:r>
            <w:r>
              <w:rPr>
                <w:rFonts w:hint="eastAsia" w:ascii="宋体" w:hAnsi="宋体" w:cs="宋体"/>
                <w:b/>
                <w:color w:val="auto"/>
                <w:sz w:val="21"/>
                <w:szCs w:val="21"/>
                <w:highlight w:val="none"/>
                <w:lang w:val="en-US" w:eastAsia="zh-CN"/>
              </w:rPr>
              <w:t>贰拾玖万</w:t>
            </w:r>
            <w:r>
              <w:rPr>
                <w:rFonts w:hint="eastAsia" w:ascii="宋体" w:hAnsi="宋体" w:cs="宋体"/>
                <w:b/>
                <w:color w:val="auto"/>
                <w:sz w:val="21"/>
                <w:szCs w:val="21"/>
                <w:highlight w:val="none"/>
              </w:rPr>
              <w:t>元整（￥</w:t>
            </w:r>
            <w:r>
              <w:rPr>
                <w:rFonts w:hint="eastAsia" w:ascii="宋体" w:hAnsi="宋体" w:cs="宋体"/>
                <w:b/>
                <w:color w:val="auto"/>
                <w:sz w:val="21"/>
                <w:szCs w:val="21"/>
                <w:highlight w:val="none"/>
                <w:lang w:val="en-US" w:eastAsia="zh-CN"/>
              </w:rPr>
              <w:t>290000.00</w:t>
            </w:r>
            <w:r>
              <w:rPr>
                <w:rFonts w:hint="eastAsia" w:ascii="宋体" w:hAnsi="宋体" w:cs="宋体"/>
                <w:b/>
                <w:color w:val="auto"/>
                <w:sz w:val="21"/>
                <w:szCs w:val="21"/>
                <w:highlight w:val="none"/>
              </w:rPr>
              <w:t>元）</w:t>
            </w:r>
          </w:p>
        </w:tc>
      </w:tr>
      <w:bookmarkEnd w:id="77"/>
    </w:tbl>
    <w:p>
      <w:pPr>
        <w:pStyle w:val="4"/>
        <w:ind w:firstLine="472" w:firstLineChars="196"/>
        <w:rPr>
          <w:rFonts w:hint="eastAsia" w:hAnsi="宋体" w:cs="宋体"/>
          <w:color w:val="000000"/>
          <w:highlight w:val="none"/>
        </w:rPr>
      </w:pPr>
    </w:p>
    <w:p>
      <w:pPr>
        <w:pStyle w:val="4"/>
        <w:ind w:firstLine="472" w:firstLineChars="196"/>
        <w:rPr>
          <w:rFonts w:hAnsi="宋体" w:cs="宋体"/>
          <w:color w:val="000000"/>
          <w:highlight w:val="none"/>
        </w:rPr>
      </w:pPr>
      <w:r>
        <w:rPr>
          <w:rFonts w:hint="eastAsia" w:hAnsi="宋体" w:cs="宋体"/>
          <w:color w:val="000000"/>
          <w:highlight w:val="none"/>
        </w:rPr>
        <w:t>二、人员培训要求</w:t>
      </w:r>
      <w:bookmarkEnd w:id="78"/>
      <w:bookmarkEnd w:id="79"/>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4"/>
        <w:ind w:firstLine="472" w:firstLineChars="196"/>
        <w:rPr>
          <w:rFonts w:hAnsi="宋体" w:cs="宋体"/>
          <w:color w:val="000000"/>
          <w:highlight w:val="none"/>
        </w:rPr>
      </w:pPr>
      <w:bookmarkStart w:id="80" w:name="_Toc21193"/>
      <w:bookmarkStart w:id="81" w:name="_Toc54938483"/>
      <w:r>
        <w:rPr>
          <w:rFonts w:hint="eastAsia" w:hAnsi="宋体" w:cs="宋体"/>
          <w:color w:val="000000"/>
          <w:highlight w:val="none"/>
        </w:rPr>
        <w:t>三、货物质量及售后服务要求</w:t>
      </w:r>
      <w:bookmarkEnd w:id="80"/>
      <w:bookmarkEnd w:id="81"/>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
        <w:ind w:firstLine="472" w:firstLineChars="196"/>
        <w:rPr>
          <w:rFonts w:hAnsi="宋体" w:cs="宋体"/>
          <w:color w:val="000000"/>
          <w:highlight w:val="none"/>
        </w:rPr>
      </w:pPr>
      <w:bookmarkStart w:id="82" w:name="_Toc23093"/>
      <w:bookmarkStart w:id="83" w:name="_Toc54938484"/>
      <w:r>
        <w:rPr>
          <w:rFonts w:hint="eastAsia" w:hAnsi="宋体" w:cs="宋体"/>
          <w:color w:val="000000"/>
          <w:highlight w:val="none"/>
        </w:rPr>
        <w:t>四、验收</w:t>
      </w:r>
      <w:bookmarkEnd w:id="82"/>
      <w:bookmarkEnd w:id="83"/>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rPr>
          <w:rFonts w:ascii="宋体" w:hAnsi="宋体" w:cs="宋体"/>
          <w:color w:val="auto"/>
          <w:szCs w:val="21"/>
        </w:rPr>
      </w:pPr>
      <w:r>
        <w:rPr>
          <w:rFonts w:ascii="宋体" w:hAnsi="宋体" w:cs="宋体"/>
          <w:color w:val="auto"/>
          <w:szCs w:val="21"/>
        </w:rPr>
        <w:br w:type="page"/>
      </w:r>
    </w:p>
    <w:p>
      <w:pPr>
        <w:pStyle w:val="3"/>
        <w:rPr>
          <w:rFonts w:ascii="宋体" w:hAnsi="宋体" w:cs="宋体"/>
          <w:color w:val="auto"/>
        </w:rPr>
      </w:pPr>
      <w:bookmarkStart w:id="84" w:name="_Toc7241"/>
      <w:bookmarkStart w:id="85" w:name="_Toc54939199"/>
      <w:r>
        <w:rPr>
          <w:rFonts w:hint="eastAsia" w:ascii="宋体" w:hAnsi="宋体" w:cs="宋体"/>
          <w:color w:val="auto"/>
        </w:rPr>
        <w:t>第四章  合同主要条款</w:t>
      </w:r>
      <w:bookmarkEnd w:id="84"/>
      <w:bookmarkEnd w:id="85"/>
    </w:p>
    <w:p>
      <w:pPr>
        <w:tabs>
          <w:tab w:val="left" w:pos="3640"/>
        </w:tabs>
        <w:autoSpaceDE w:val="0"/>
        <w:autoSpaceDN w:val="0"/>
        <w:spacing w:line="360" w:lineRule="auto"/>
        <w:rPr>
          <w:rFonts w:ascii="宋体" w:hAnsi="宋体" w:cs="宋体"/>
          <w:color w:val="000000"/>
          <w:szCs w:val="21"/>
          <w:highlight w:val="none"/>
          <w:u w:val="single"/>
        </w:rPr>
      </w:pPr>
      <w:bookmarkStart w:id="86" w:name="_Toc26873"/>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卖方（成交人）：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总价：</w:t>
            </w: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tc>
      </w:tr>
    </w:tbl>
    <w:p>
      <w:pPr>
        <w:tabs>
          <w:tab w:val="left" w:pos="3640"/>
        </w:tabs>
        <w:autoSpaceDE w:val="0"/>
        <w:autoSpaceDN w:val="0"/>
        <w:spacing w:line="360" w:lineRule="auto"/>
        <w:ind w:firstLine="454" w:firstLineChars="200"/>
        <w:rPr>
          <w:rFonts w:ascii="宋体" w:hAnsi="宋体" w:cs="宋体"/>
          <w:b/>
          <w:color w:val="000000"/>
          <w:spacing w:val="8"/>
          <w:szCs w:val="21"/>
          <w:highlight w:val="none"/>
        </w:rPr>
      </w:pPr>
      <w:r>
        <w:rPr>
          <w:rFonts w:hint="eastAsia" w:ascii="宋体" w:hAnsi="宋体" w:cs="宋体"/>
          <w:b/>
          <w:color w:val="000000"/>
          <w:spacing w:val="8"/>
          <w:szCs w:val="21"/>
          <w:highlight w:val="none"/>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highlight w:val="none"/>
        </w:rPr>
      </w:pPr>
      <w:r>
        <w:rPr>
          <w:rFonts w:hint="eastAsia" w:ascii="宋体" w:hAnsi="宋体" w:cs="宋体"/>
          <w:b/>
          <w:color w:val="000000"/>
          <w:spacing w:val="8"/>
          <w:szCs w:val="21"/>
          <w:highlight w:val="none"/>
        </w:rPr>
        <w:t>二、保修及售后服务</w:t>
      </w:r>
      <w:r>
        <w:rPr>
          <w:rFonts w:hint="eastAsia" w:ascii="宋体" w:hAnsi="宋体" w:cs="宋体"/>
          <w:color w:val="000000"/>
          <w:spacing w:val="8"/>
          <w:szCs w:val="21"/>
          <w:highlight w:val="none"/>
        </w:rPr>
        <w:t>：依据商品的保修条款、售后服务条款，竞争性谈判文件另有要求的从其</w:t>
      </w:r>
      <w:r>
        <w:rPr>
          <w:rFonts w:hint="eastAsia" w:ascii="宋体" w:hAnsi="宋体" w:cs="宋体"/>
          <w:color w:val="000000"/>
          <w:szCs w:val="21"/>
          <w:highlight w:val="none"/>
        </w:rPr>
        <w:t>约定</w:t>
      </w:r>
      <w:r>
        <w:rPr>
          <w:rFonts w:hint="eastAsia" w:ascii="宋体" w:hAnsi="宋体" w:cs="宋体"/>
          <w:color w:val="000000"/>
          <w:spacing w:val="8"/>
          <w:szCs w:val="21"/>
          <w:highlight w:val="none"/>
        </w:rPr>
        <w:t>。</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三、交货、安装、调试期：</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四、交货地点：</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highlight w:val="none"/>
        </w:rPr>
      </w:pPr>
      <w:r>
        <w:rPr>
          <w:rFonts w:hint="eastAsia" w:ascii="宋体" w:hAnsi="宋体" w:cs="宋体"/>
          <w:b/>
          <w:color w:val="000000"/>
          <w:szCs w:val="21"/>
          <w:highlight w:val="none"/>
        </w:rPr>
        <w:t>五、</w:t>
      </w:r>
      <w:r>
        <w:rPr>
          <w:rFonts w:hint="eastAsia" w:ascii="宋体" w:hAnsi="宋体" w:cs="宋体"/>
          <w:b/>
          <w:color w:val="000000"/>
          <w:highlight w:val="none"/>
        </w:rPr>
        <w:t>验　　收：</w:t>
      </w:r>
      <w:r>
        <w:rPr>
          <w:rFonts w:hint="eastAsia" w:ascii="宋体" w:hAnsi="宋体" w:cs="宋体"/>
          <w:bCs/>
          <w:color w:val="000000"/>
          <w:highlight w:val="none"/>
          <w:u w:val="single"/>
        </w:rPr>
        <w:t xml:space="preserve">                                                                    </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六、付款方式：</w:t>
      </w:r>
      <w:r>
        <w:rPr>
          <w:rFonts w:hint="eastAsia" w:ascii="宋体" w:hAnsi="宋体" w:cs="宋体"/>
          <w:b/>
          <w:color w:val="000000"/>
          <w:szCs w:val="21"/>
          <w:highlight w:val="none"/>
          <w:u w:val="single"/>
        </w:rPr>
        <w:t xml:space="preserve">                                                                     </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七、履约保证金退还：</w:t>
      </w:r>
    </w:p>
    <w:p>
      <w:pPr>
        <w:spacing w:line="360" w:lineRule="auto"/>
        <w:ind w:firstLine="454" w:firstLineChars="200"/>
        <w:rPr>
          <w:rFonts w:ascii="宋体" w:hAnsi="宋体" w:cs="宋体"/>
          <w:b/>
          <w:color w:val="000000"/>
          <w:szCs w:val="21"/>
          <w:highlight w:val="none"/>
        </w:rPr>
      </w:pPr>
      <w:r>
        <w:rPr>
          <w:rFonts w:hint="eastAsia" w:ascii="宋体" w:hAnsi="宋体" w:cs="宋体"/>
          <w:b/>
          <w:color w:val="000000"/>
          <w:spacing w:val="8"/>
          <w:szCs w:val="21"/>
          <w:highlight w:val="none"/>
        </w:rPr>
        <w:t>八、</w:t>
      </w:r>
      <w:r>
        <w:rPr>
          <w:rFonts w:hint="eastAsia" w:ascii="宋体" w:hAnsi="宋体" w:cs="宋体"/>
          <w:b/>
          <w:color w:val="000000"/>
          <w:szCs w:val="21"/>
          <w:highlight w:val="none"/>
        </w:rPr>
        <w:t>违约责任</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1、买方无正当理由拒收货物，买方向卖方偿付货款总值的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2、买方无正当理由逾期付货款的，买方向卖方每日偿付</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3、卖方不能交付货物的，卖方向买方支付货款总值</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4、卖方逾期交付货物的，卖方向买方每日偿付货款总值的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pPr>
        <w:spacing w:line="360" w:lineRule="auto"/>
        <w:ind w:left="-178" w:leftChars="-85" w:firstLine="580" w:firstLineChars="257"/>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十、</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pPr>
        <w:spacing w:line="360" w:lineRule="auto"/>
        <w:ind w:firstLine="413" w:firstLineChars="196"/>
        <w:rPr>
          <w:rFonts w:ascii="宋体" w:hAnsi="宋体" w:cs="宋体"/>
          <w:b/>
          <w:color w:val="000000"/>
          <w:spacing w:val="8"/>
          <w:szCs w:val="21"/>
          <w:highlight w:val="none"/>
          <w:u w:val="single"/>
        </w:rPr>
      </w:pPr>
      <w:r>
        <w:rPr>
          <w:rFonts w:hint="eastAsia" w:ascii="宋体" w:hAnsi="宋体" w:cs="宋体"/>
          <w:b/>
          <w:color w:val="000000"/>
          <w:szCs w:val="21"/>
          <w:highlight w:val="none"/>
        </w:rPr>
        <w:t>十一、其他</w:t>
      </w:r>
      <w:r>
        <w:rPr>
          <w:rFonts w:hint="eastAsia" w:ascii="宋体" w:hAnsi="宋体" w:cs="宋体"/>
          <w:b/>
          <w:bCs/>
          <w:color w:val="000000"/>
          <w:szCs w:val="21"/>
          <w:highlight w:val="none"/>
        </w:rPr>
        <w:t>约定</w:t>
      </w:r>
      <w:r>
        <w:rPr>
          <w:rFonts w:hint="eastAsia" w:ascii="宋体" w:hAnsi="宋体" w:cs="宋体"/>
          <w:b/>
          <w:color w:val="000000"/>
          <w:szCs w:val="21"/>
          <w:highlight w:val="none"/>
        </w:rPr>
        <w:t>事项：</w:t>
      </w:r>
      <w:r>
        <w:rPr>
          <w:rFonts w:hint="eastAsia" w:ascii="宋体" w:hAnsi="宋体" w:cs="宋体"/>
          <w:color w:val="000000"/>
          <w:spacing w:val="8"/>
          <w:szCs w:val="21"/>
          <w:highlight w:val="none"/>
          <w:u w:val="single"/>
        </w:rPr>
        <w:t xml:space="preserve"> 　　　　　　　　　　　  </w:t>
      </w:r>
      <w:r>
        <w:rPr>
          <w:rFonts w:hint="eastAsia" w:ascii="宋体" w:hAnsi="宋体" w:cs="宋体"/>
          <w:b/>
          <w:color w:val="000000"/>
          <w:spacing w:val="8"/>
          <w:szCs w:val="21"/>
          <w:highlight w:val="none"/>
          <w:u w:val="single"/>
        </w:rPr>
        <w:t xml:space="preserve">                                 </w:t>
      </w:r>
    </w:p>
    <w:p>
      <w:pPr>
        <w:spacing w:line="360" w:lineRule="auto"/>
        <w:ind w:left="-178" w:leftChars="-85" w:firstLine="177" w:firstLineChars="78"/>
        <w:rPr>
          <w:rFonts w:ascii="宋体" w:hAnsi="宋体" w:cs="宋体"/>
          <w:color w:val="000000"/>
          <w:spacing w:val="8"/>
          <w:szCs w:val="21"/>
          <w:highlight w:val="none"/>
          <w:u w:val="single"/>
        </w:rPr>
      </w:pPr>
      <w:r>
        <w:rPr>
          <w:rFonts w:hint="eastAsia" w:ascii="宋体" w:hAnsi="宋体" w:cs="宋体"/>
          <w:b/>
          <w:color w:val="000000"/>
          <w:spacing w:val="8"/>
          <w:szCs w:val="21"/>
          <w:highlight w:val="none"/>
          <w:u w:val="single"/>
        </w:rPr>
        <w:t xml:space="preserve">                                                       </w:t>
      </w:r>
      <w:r>
        <w:rPr>
          <w:rFonts w:hint="eastAsia" w:ascii="宋体" w:hAnsi="宋体" w:cs="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r>
        <w:rPr>
          <w:rFonts w:hint="eastAsia" w:ascii="宋体" w:hAnsi="宋体" w:cs="宋体"/>
          <w:color w:val="000000"/>
          <w:spacing w:val="8"/>
          <w:szCs w:val="21"/>
          <w:highlight w:val="none"/>
          <w:u w:val="single"/>
        </w:rPr>
        <w:t xml:space="preserve">                                                                           </w:t>
      </w:r>
    </w:p>
    <w:p>
      <w:pPr>
        <w:spacing w:line="360" w:lineRule="auto"/>
        <w:rPr>
          <w:rFonts w:ascii="宋体" w:hAnsi="宋体"/>
          <w:color w:val="auto"/>
          <w:spacing w:val="8"/>
          <w:szCs w:val="21"/>
          <w:u w:val="single"/>
        </w:rPr>
      </w:pPr>
    </w:p>
    <w:p>
      <w:pPr>
        <w:tabs>
          <w:tab w:val="left" w:pos="3640"/>
        </w:tabs>
        <w:autoSpaceDE w:val="0"/>
        <w:autoSpaceDN w:val="0"/>
        <w:spacing w:line="360" w:lineRule="auto"/>
        <w:rPr>
          <w:rFonts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3"/>
        <w:rPr>
          <w:rFonts w:ascii="宋体" w:hAnsi="宋体" w:cs="宋体"/>
          <w:color w:val="auto"/>
        </w:rPr>
      </w:pPr>
      <w:bookmarkStart w:id="87" w:name="_Toc54939200"/>
      <w:r>
        <w:rPr>
          <w:rFonts w:hint="eastAsia" w:ascii="宋体" w:hAnsi="宋体" w:cs="宋体"/>
          <w:color w:val="auto"/>
        </w:rPr>
        <w:t>第五章   谈判响应文件格式</w:t>
      </w:r>
      <w:bookmarkEnd w:id="86"/>
      <w:bookmarkEnd w:id="87"/>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货物报价表</w:t>
      </w:r>
      <w:r>
        <w:rPr>
          <w:rFonts w:hint="eastAsia" w:ascii="宋体" w:hAnsi="宋体" w:cs="宋体"/>
          <w:color w:val="auto"/>
          <w:sz w:val="24"/>
        </w:rPr>
        <w:t>（首轮）、最终报价表</w:t>
      </w:r>
    </w:p>
    <w:p>
      <w:pPr>
        <w:spacing w:line="48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三、</w:t>
      </w:r>
      <w:r>
        <w:rPr>
          <w:rFonts w:hint="eastAsia" w:ascii="宋体" w:hAnsi="宋体" w:cs="宋体"/>
          <w:color w:val="auto"/>
          <w:sz w:val="24"/>
          <w:lang w:eastAsia="zh-CN"/>
        </w:rPr>
        <w:t>技术参数响应表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w:t>
      </w:r>
      <w:r>
        <w:rPr>
          <w:rFonts w:hint="eastAsia" w:ascii="宋体" w:hAnsi="宋体" w:cs="宋体"/>
          <w:color w:val="000000"/>
          <w:sz w:val="24"/>
          <w:highlight w:val="none"/>
        </w:rPr>
        <w:t>供货及谈判响应技术方案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4"/>
        <w:jc w:val="center"/>
        <w:rPr>
          <w:rFonts w:hAnsi="宋体" w:cs="宋体"/>
          <w:color w:val="auto"/>
        </w:rPr>
      </w:pPr>
      <w:bookmarkStart w:id="88" w:name="_Toc54939201"/>
      <w:bookmarkStart w:id="89" w:name="_Toc13905"/>
      <w:r>
        <w:rPr>
          <w:rFonts w:hint="eastAsia" w:hAnsi="宋体" w:cs="宋体"/>
          <w:color w:val="auto"/>
        </w:rPr>
        <w:t>一、谈判响应函</w:t>
      </w:r>
      <w:bookmarkEnd w:id="88"/>
      <w:bookmarkEnd w:id="89"/>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1、根据贵方竞争性谈判公告，我方决定参加贵方组织的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安庆职业技术学院教学诊改复核展示用LED显示屏采购</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2、我方愿意按照竞争性谈判文件约定的各项要求，向采购人提供所需的服务，报价为人民币（大写）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元</w:t>
      </w:r>
      <w:r>
        <w:rPr>
          <w:rFonts w:hint="eastAsia" w:hAnsi="宋体" w:cs="宋体"/>
          <w:color w:val="auto"/>
          <w:szCs w:val="21"/>
        </w:rPr>
        <w:t>。</w:t>
      </w:r>
    </w:p>
    <w:p>
      <w:pPr>
        <w:pStyle w:val="11"/>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rPr>
        <w:t>3、一旦我方成交，我方将严格履行合同约定的责任和义</w:t>
      </w:r>
      <w:r>
        <w:rPr>
          <w:rFonts w:hint="eastAsia" w:hAnsi="宋体" w:cs="宋体"/>
          <w:color w:val="auto"/>
          <w:szCs w:val="21"/>
          <w:highlight w:val="none"/>
        </w:rPr>
        <w:t>务，</w:t>
      </w:r>
      <w:r>
        <w:rPr>
          <w:rFonts w:hint="eastAsia" w:hAnsi="宋体"/>
          <w:color w:val="auto"/>
          <w:szCs w:val="21"/>
          <w:highlight w:val="none"/>
        </w:rPr>
        <w:t>保证于合同签字生效后</w:t>
      </w:r>
      <w:r>
        <w:rPr>
          <w:rFonts w:hint="eastAsia" w:hAnsi="宋体"/>
          <w:color w:val="auto"/>
          <w:szCs w:val="21"/>
          <w:highlight w:val="none"/>
          <w:u w:val="single"/>
        </w:rPr>
        <w:t xml:space="preserve">     </w:t>
      </w:r>
      <w:r>
        <w:rPr>
          <w:rFonts w:hint="eastAsia" w:hAnsi="宋体"/>
          <w:color w:val="auto"/>
          <w:szCs w:val="21"/>
          <w:highlight w:val="none"/>
          <w:lang w:val="en-US" w:eastAsia="zh-CN"/>
        </w:rPr>
        <w:t>日历天</w:t>
      </w:r>
      <w:r>
        <w:rPr>
          <w:rFonts w:hint="eastAsia" w:hAnsi="宋体"/>
          <w:color w:val="auto"/>
          <w:szCs w:val="21"/>
          <w:highlight w:val="none"/>
        </w:rPr>
        <w:t>完成项目的交货、安装、调试，并交付采购人验收、使用。</w:t>
      </w:r>
    </w:p>
    <w:p>
      <w:pPr>
        <w:pStyle w:val="11"/>
        <w:tabs>
          <w:tab w:val="left" w:pos="5580"/>
        </w:tabs>
        <w:spacing w:line="360" w:lineRule="auto"/>
        <w:ind w:firstLine="394" w:firstLineChars="199"/>
        <w:rPr>
          <w:rFonts w:hAnsi="宋体" w:cs="宋体"/>
          <w:color w:val="auto"/>
          <w:szCs w:val="21"/>
        </w:rPr>
      </w:pPr>
      <w:r>
        <w:rPr>
          <w:rFonts w:hint="eastAsia" w:hAnsi="宋体" w:cs="宋体"/>
          <w:color w:val="auto"/>
          <w:spacing w:val="-6"/>
          <w:szCs w:val="21"/>
        </w:rPr>
        <w:t>4、</w:t>
      </w:r>
      <w:r>
        <w:rPr>
          <w:rFonts w:hint="eastAsia" w:hAnsi="宋体" w:cs="宋体"/>
          <w:color w:val="auto"/>
          <w:szCs w:val="21"/>
        </w:rPr>
        <w:t>我方保证按照本项目竞争性谈判文件要求提交谈判响应文件。</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1"/>
        <w:tabs>
          <w:tab w:val="left" w:pos="5580"/>
        </w:tabs>
        <w:spacing w:line="360" w:lineRule="auto"/>
        <w:ind w:firstLine="420" w:firstLineChars="200"/>
        <w:rPr>
          <w:rFonts w:hAnsi="宋体" w:cs="宋体"/>
          <w:color w:val="auto"/>
          <w:szCs w:val="21"/>
          <w:u w:val="single"/>
        </w:rPr>
      </w:pPr>
    </w:p>
    <w:p>
      <w:pPr>
        <w:pStyle w:val="11"/>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rPr>
          <w:rFonts w:ascii="宋体" w:hAnsi="宋体" w:cs="宋体"/>
          <w:color w:val="auto"/>
          <w:sz w:val="24"/>
        </w:rPr>
      </w:pPr>
    </w:p>
    <w:p>
      <w:pPr>
        <w:pStyle w:val="4"/>
        <w:jc w:val="center"/>
        <w:rPr>
          <w:rFonts w:hAnsi="宋体" w:cs="宋体"/>
          <w:color w:val="auto"/>
        </w:rPr>
      </w:pPr>
      <w:bookmarkStart w:id="90" w:name="_Toc12161"/>
      <w:bookmarkStart w:id="91" w:name="_Toc7098"/>
      <w:bookmarkStart w:id="92" w:name="_Toc54939202"/>
      <w:r>
        <w:rPr>
          <w:rFonts w:hint="eastAsia" w:hAnsi="宋体" w:cs="宋体"/>
          <w:color w:val="auto"/>
        </w:rPr>
        <w:t>二、</w:t>
      </w:r>
      <w:bookmarkEnd w:id="90"/>
      <w:r>
        <w:rPr>
          <w:rFonts w:hint="eastAsia" w:hAnsi="宋体" w:cs="宋体"/>
          <w:color w:val="auto"/>
          <w:lang w:eastAsia="zh-CN"/>
        </w:rPr>
        <w:t>货物报价表</w:t>
      </w:r>
      <w:r>
        <w:rPr>
          <w:rFonts w:hint="eastAsia" w:hAnsi="宋体" w:cs="宋体"/>
          <w:color w:val="auto"/>
        </w:rPr>
        <w:t>(首轮)</w:t>
      </w:r>
      <w:bookmarkEnd w:id="91"/>
      <w:bookmarkEnd w:id="92"/>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CG-AZ-2021-024</w:t>
      </w:r>
      <w:r>
        <w:rPr>
          <w:rFonts w:hint="eastAsia" w:ascii="宋体" w:hAnsi="宋体" w:cs="宋体"/>
          <w:color w:val="auto"/>
          <w:szCs w:val="21"/>
          <w:highlight w:val="none"/>
        </w:rPr>
        <w:t xml:space="preserve">  </w:t>
      </w:r>
    </w:p>
    <w:p>
      <w:pPr>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安庆职业技术学院教学诊改复核展示用LED显示屏采购</w:t>
      </w:r>
      <w:r>
        <w:rPr>
          <w:rFonts w:hint="eastAsia" w:ascii="宋体" w:hAnsi="宋体" w:cs="宋体"/>
          <w:color w:val="auto"/>
          <w:szCs w:val="21"/>
        </w:rPr>
        <w:t xml:space="preserve">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74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3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9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6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32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r>
              <w:rPr>
                <w:rFonts w:hint="eastAsia" w:ascii="宋体" w:hAnsi="宋体" w:cs="宋体"/>
                <w:color w:val="000000"/>
                <w:spacing w:val="-4"/>
                <w:szCs w:val="21"/>
                <w:highlight w:val="none"/>
              </w:rPr>
              <w:t>总价</w:t>
            </w:r>
          </w:p>
        </w:tc>
        <w:tc>
          <w:tcPr>
            <w:tcW w:w="8677" w:type="dxa"/>
            <w:gridSpan w:val="6"/>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小写：           元</w:t>
            </w:r>
          </w:p>
        </w:tc>
      </w:tr>
    </w:tbl>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2"/>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4"/>
        <w:jc w:val="center"/>
        <w:rPr>
          <w:rFonts w:hAnsi="宋体" w:cs="宋体"/>
          <w:color w:val="auto"/>
          <w:u w:val="single"/>
        </w:rPr>
      </w:pPr>
      <w:bookmarkStart w:id="93" w:name="_Toc10635"/>
      <w:bookmarkStart w:id="94" w:name="_Toc54939203"/>
      <w:bookmarkStart w:id="95" w:name="_Toc15489"/>
      <w:r>
        <w:rPr>
          <w:rFonts w:hint="eastAsia" w:hAnsi="宋体" w:cs="宋体"/>
          <w:color w:val="auto"/>
        </w:rPr>
        <w:t>最终报价表</w:t>
      </w:r>
      <w:bookmarkEnd w:id="93"/>
      <w:bookmarkEnd w:id="94"/>
      <w:bookmarkEnd w:id="95"/>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CG-AZ-2021-024</w:t>
      </w:r>
      <w:r>
        <w:rPr>
          <w:rFonts w:hint="eastAsia" w:ascii="宋体" w:hAnsi="宋体" w:cs="宋体"/>
          <w:color w:val="auto"/>
          <w:szCs w:val="21"/>
          <w:highlight w:val="none"/>
        </w:rPr>
        <w:t xml:space="preserve"> </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 xml:space="preserve">项目编号： </w:t>
      </w:r>
      <w:r>
        <w:rPr>
          <w:rFonts w:hint="eastAsia" w:ascii="宋体" w:hAnsi="宋体" w:cs="宋体"/>
          <w:color w:val="auto"/>
          <w:szCs w:val="21"/>
          <w:lang w:eastAsia="zh-CN"/>
        </w:rPr>
        <w:t>安庆职业技术学院教学诊改复核展示用LED显示屏采购</w:t>
      </w:r>
      <w:r>
        <w:rPr>
          <w:rFonts w:hint="eastAsia" w:ascii="宋体" w:hAnsi="宋体" w:cs="宋体"/>
          <w:color w:val="auto"/>
          <w:szCs w:val="21"/>
        </w:rPr>
        <w:t xml:space="preserve"> </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highlight w:val="none"/>
              </w:rPr>
            </w:pPr>
            <w:r>
              <w:rPr>
                <w:rFonts w:hint="eastAsia" w:ascii="宋体" w:hAnsi="宋体" w:cs="宋体"/>
                <w:color w:val="000000"/>
                <w:sz w:val="24"/>
                <w:highlight w:val="none"/>
              </w:rPr>
              <w:t>交货、安装、</w:t>
            </w:r>
          </w:p>
          <w:p>
            <w:pPr>
              <w:spacing w:line="400" w:lineRule="exact"/>
              <w:ind w:firstLine="120" w:firstLineChars="50"/>
              <w:jc w:val="center"/>
              <w:rPr>
                <w:rFonts w:ascii="宋体" w:hAnsi="宋体" w:cs="宋体"/>
                <w:color w:val="auto"/>
                <w:sz w:val="24"/>
              </w:rPr>
            </w:pPr>
            <w:r>
              <w:rPr>
                <w:rFonts w:hint="eastAsia" w:ascii="宋体" w:hAnsi="宋体" w:cs="宋体"/>
                <w:color w:val="000000"/>
                <w:sz w:val="24"/>
                <w:highlight w:val="none"/>
              </w:rPr>
              <w:t>调试期</w:t>
            </w:r>
          </w:p>
        </w:tc>
        <w:tc>
          <w:tcPr>
            <w:tcW w:w="7507" w:type="dxa"/>
            <w:vAlign w:val="center"/>
          </w:tcPr>
          <w:p>
            <w:pPr>
              <w:spacing w:line="400" w:lineRule="exact"/>
              <w:rPr>
                <w:rFonts w:hint="default" w:ascii="宋体" w:hAnsi="宋体" w:cs="宋体"/>
                <w:color w:val="auto"/>
                <w:sz w:val="24"/>
                <w:lang w:val="en-US"/>
              </w:rPr>
            </w:pPr>
            <w:r>
              <w:rPr>
                <w:rFonts w:hint="eastAsia" w:hAnsi="宋体"/>
                <w:color w:val="auto"/>
                <w:szCs w:val="21"/>
                <w:highlight w:val="none"/>
              </w:rPr>
              <w:t>合同签字生效后</w:t>
            </w:r>
            <w:r>
              <w:rPr>
                <w:rFonts w:hint="eastAsia" w:hAnsi="宋体"/>
                <w:color w:val="auto"/>
                <w:szCs w:val="21"/>
                <w:highlight w:val="none"/>
                <w:u w:val="single"/>
              </w:rPr>
              <w:t xml:space="preserve">     </w:t>
            </w:r>
            <w:r>
              <w:rPr>
                <w:rFonts w:hint="eastAsia" w:hAnsi="宋体"/>
                <w:color w:val="auto"/>
                <w:szCs w:val="21"/>
                <w:highlight w:val="none"/>
                <w:u w:val="none"/>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ascii="宋体" w:hAnsi="宋体" w:cs="宋体"/>
                <w:color w:val="auto"/>
                <w:sz w:val="24"/>
              </w:rPr>
            </w:pPr>
            <w:r>
              <w:rPr>
                <w:rFonts w:hint="eastAsia" w:ascii="宋体" w:hAnsi="宋体" w:cs="宋体"/>
                <w:color w:val="auto"/>
                <w:sz w:val="24"/>
              </w:rPr>
              <w:t>1、分项报价按总报价的同等比例下浮；</w:t>
            </w:r>
          </w:p>
          <w:p>
            <w:pPr>
              <w:spacing w:line="400" w:lineRule="exact"/>
              <w:rPr>
                <w:rFonts w:ascii="宋体" w:hAnsi="宋体" w:cs="宋体"/>
                <w:color w:val="auto"/>
                <w:sz w:val="24"/>
              </w:rPr>
            </w:pPr>
            <w:r>
              <w:rPr>
                <w:rFonts w:hint="eastAsia" w:ascii="宋体" w:hAnsi="宋体" w:cs="宋体"/>
                <w:color w:val="auto"/>
                <w:sz w:val="24"/>
              </w:rPr>
              <w:t>2、最终报价保留两位小数，小数点后第三位四舍五入。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jc w:val="center"/>
        <w:rPr>
          <w:rFonts w:hint="eastAsia" w:hAnsi="宋体" w:eastAsia="宋体" w:cs="宋体"/>
          <w:color w:val="auto"/>
          <w:lang w:eastAsia="zh-CN"/>
        </w:rPr>
      </w:pPr>
      <w:bookmarkStart w:id="96" w:name="_Toc54939204"/>
      <w:bookmarkStart w:id="97" w:name="_Toc28153"/>
      <w:r>
        <w:rPr>
          <w:rFonts w:hint="eastAsia" w:hAnsi="宋体" w:cs="宋体"/>
          <w:color w:val="auto"/>
        </w:rPr>
        <w:t>三、</w:t>
      </w:r>
      <w:bookmarkEnd w:id="96"/>
      <w:bookmarkEnd w:id="97"/>
      <w:r>
        <w:rPr>
          <w:rFonts w:hint="eastAsia" w:hAnsi="宋体" w:cs="宋体"/>
          <w:color w:val="auto"/>
          <w:lang w:eastAsia="zh-CN"/>
        </w:rPr>
        <w:t>技术参数响应表</w:t>
      </w:r>
    </w:p>
    <w:p>
      <w:pPr>
        <w:spacing w:line="360" w:lineRule="auto"/>
        <w:rPr>
          <w:rFonts w:hint="eastAsia" w:ascii="宋体" w:hAnsi="宋体" w:eastAsia="宋体" w:cs="宋体"/>
          <w:b/>
          <w:color w:val="auto"/>
          <w:szCs w:val="21"/>
          <w:lang w:eastAsia="zh-CN"/>
        </w:rPr>
      </w:pPr>
      <w:r>
        <w:rPr>
          <w:rFonts w:hint="eastAsia" w:ascii="宋体" w:hAnsi="宋体" w:cs="宋体"/>
          <w:color w:val="auto"/>
          <w:szCs w:val="21"/>
        </w:rPr>
        <w:t xml:space="preserve">项目名称： </w:t>
      </w:r>
      <w:r>
        <w:rPr>
          <w:rFonts w:hint="eastAsia" w:ascii="宋体" w:hAnsi="宋体" w:cs="宋体"/>
          <w:color w:val="auto"/>
          <w:szCs w:val="21"/>
          <w:lang w:eastAsia="zh-CN"/>
        </w:rPr>
        <w:t>安庆职业技术学院教学诊改复核展示用LED显示屏采购</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8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196"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184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谈判响应技术参数</w:t>
            </w:r>
          </w:p>
        </w:tc>
        <w:tc>
          <w:tcPr>
            <w:tcW w:w="155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响应情况</w:t>
            </w:r>
          </w:p>
        </w:tc>
        <w:tc>
          <w:tcPr>
            <w:tcW w:w="113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bl>
    <w:p>
      <w:pPr>
        <w:tabs>
          <w:tab w:val="left" w:pos="1815"/>
        </w:tabs>
        <w:spacing w:line="360" w:lineRule="auto"/>
        <w:rPr>
          <w:rFonts w:hint="eastAsia" w:ascii="宋体" w:hAnsi="宋体" w:cs="宋体"/>
          <w:b/>
          <w:color w:val="auto"/>
          <w:szCs w:val="21"/>
        </w:rPr>
      </w:pPr>
    </w:p>
    <w:p>
      <w:pPr>
        <w:tabs>
          <w:tab w:val="left" w:pos="1815"/>
        </w:tabs>
        <w:spacing w:line="360" w:lineRule="auto"/>
        <w:rPr>
          <w:rFonts w:ascii="宋体" w:hAnsi="宋体" w:cs="宋体"/>
          <w:color w:val="000000"/>
          <w:szCs w:val="21"/>
          <w:highlight w:val="none"/>
        </w:rPr>
      </w:pPr>
      <w:r>
        <w:rPr>
          <w:rFonts w:hint="eastAsia" w:ascii="宋体" w:hAnsi="宋体" w:cs="宋体"/>
          <w:b/>
          <w:color w:val="000000"/>
          <w:szCs w:val="21"/>
          <w:highlight w:val="none"/>
        </w:rPr>
        <w:t>注：</w:t>
      </w:r>
      <w:r>
        <w:rPr>
          <w:rFonts w:hint="eastAsia" w:ascii="宋体" w:hAnsi="宋体" w:cs="宋体"/>
          <w:color w:val="000000"/>
          <w:szCs w:val="21"/>
          <w:highlight w:val="none"/>
        </w:rPr>
        <w:t>1、谈判响应人必须将自己所投货物真实、准确地填入以上表格中。</w:t>
      </w:r>
    </w:p>
    <w:p>
      <w:pPr>
        <w:pStyle w:val="54"/>
        <w:numPr>
          <w:ilvl w:val="0"/>
          <w:numId w:val="0"/>
        </w:numPr>
        <w:tabs>
          <w:tab w:val="left" w:pos="1815"/>
        </w:tabs>
        <w:spacing w:line="360" w:lineRule="auto"/>
        <w:ind w:left="420" w:leftChars="0"/>
        <w:rPr>
          <w:rFonts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谈判响应人必须根据自己所投货物与“竞争性谈判技术参数”的差异情况，实事求是地填写“响应情况”（优于、满足、不满足） 。</w:t>
      </w:r>
    </w:p>
    <w:p>
      <w:pPr>
        <w:pStyle w:val="54"/>
        <w:tabs>
          <w:tab w:val="left" w:pos="1815"/>
        </w:tabs>
        <w:spacing w:line="360" w:lineRule="auto"/>
        <w:ind w:left="420" w:firstLine="0" w:firstLineChars="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Arial"/>
          <w:b/>
          <w:szCs w:val="21"/>
          <w:highlight w:val="none"/>
        </w:rPr>
        <w:t>若谈判响应人</w:t>
      </w:r>
      <w:r>
        <w:rPr>
          <w:rFonts w:hint="eastAsia" w:ascii="宋体" w:hAnsi="宋体"/>
          <w:b/>
          <w:bCs/>
          <w:szCs w:val="21"/>
          <w:highlight w:val="none"/>
        </w:rPr>
        <w:t>所投货物为进口产品的，必须在表中明确列出所投进口产品的原产地。</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jc w:val="center"/>
        <w:rPr>
          <w:rFonts w:hAnsi="宋体" w:cs="宋体"/>
          <w:color w:val="000000"/>
          <w:highlight w:val="none"/>
          <w:bdr w:val="single" w:color="auto" w:sz="4" w:space="0"/>
        </w:rPr>
      </w:pPr>
      <w:bookmarkStart w:id="98" w:name="_Toc2920"/>
      <w:bookmarkStart w:id="99" w:name="_Toc8668"/>
      <w:bookmarkStart w:id="100" w:name="_Toc54939205"/>
      <w:r>
        <w:rPr>
          <w:rFonts w:hint="eastAsia" w:hAnsi="宋体" w:cs="宋体"/>
          <w:color w:val="auto"/>
        </w:rPr>
        <w:t>四、</w:t>
      </w:r>
      <w:bookmarkEnd w:id="98"/>
      <w:bookmarkEnd w:id="99"/>
      <w:bookmarkEnd w:id="100"/>
      <w:r>
        <w:rPr>
          <w:rFonts w:hint="eastAsia" w:hAnsi="宋体" w:cs="宋体"/>
          <w:color w:val="000000"/>
          <w:highlight w:val="none"/>
        </w:rPr>
        <w:t>供货及谈判响应技术方案</w:t>
      </w:r>
    </w:p>
    <w:p>
      <w:pPr>
        <w:spacing w:line="360" w:lineRule="auto"/>
        <w:rPr>
          <w:rFonts w:ascii="宋体" w:hAnsi="宋体" w:cs="宋体"/>
          <w:color w:val="auto"/>
          <w:szCs w:val="21"/>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谈判响应人依据第三章“货物需求及技术要求”自行提供。</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1、人员培训方案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2、质量保证及售后服务承诺</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3、谈判响应人认为需要提供的其他内容</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4"/>
        <w:jc w:val="center"/>
        <w:rPr>
          <w:rFonts w:hAnsi="宋体" w:cs="宋体"/>
          <w:color w:val="auto"/>
        </w:rPr>
      </w:pPr>
      <w:bookmarkStart w:id="101" w:name="_Toc25547"/>
      <w:bookmarkStart w:id="102" w:name="_Toc54939206"/>
      <w:r>
        <w:rPr>
          <w:rFonts w:hint="eastAsia" w:hAnsi="宋体" w:cs="宋体"/>
          <w:color w:val="auto"/>
        </w:rPr>
        <w:t>五、诚信谈判响应承诺书</w:t>
      </w:r>
      <w:bookmarkEnd w:id="101"/>
      <w:bookmarkEnd w:id="102"/>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jc w:val="right"/>
        <w:rPr>
          <w:rFonts w:ascii="宋体" w:hAnsi="宋体" w:cs="宋体"/>
          <w:b/>
          <w:bCs/>
          <w:color w:val="auto"/>
          <w:szCs w:val="21"/>
        </w:rPr>
      </w:pPr>
    </w:p>
    <w:p>
      <w:pPr>
        <w:spacing w:line="360" w:lineRule="auto"/>
        <w:ind w:firstLine="3479" w:firstLineChars="1650"/>
        <w:rPr>
          <w:rFonts w:ascii="宋体" w:hAnsi="宋体" w:cs="宋体"/>
          <w:b/>
          <w:bCs/>
          <w:color w:val="auto"/>
          <w:szCs w:val="21"/>
        </w:rPr>
      </w:pPr>
      <w:r>
        <w:rPr>
          <w:rFonts w:hint="eastAsia" w:ascii="宋体" w:hAnsi="宋体" w:cs="宋体"/>
          <w:b/>
          <w:bCs/>
          <w:color w:val="auto"/>
          <w:szCs w:val="21"/>
        </w:rPr>
        <w:t xml:space="preserve">     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103"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4"/>
        <w:jc w:val="center"/>
        <w:rPr>
          <w:rFonts w:hAnsi="宋体" w:cs="宋体"/>
          <w:color w:val="auto"/>
          <w:bdr w:val="single" w:color="auto" w:sz="4" w:space="0"/>
        </w:rPr>
      </w:pPr>
      <w:bookmarkStart w:id="104" w:name="_Toc54939209"/>
      <w:r>
        <w:rPr>
          <w:rFonts w:hint="eastAsia" w:hAnsi="宋体" w:cs="宋体"/>
          <w:color w:val="auto"/>
          <w:lang w:val="en-US" w:eastAsia="zh-CN"/>
        </w:rPr>
        <w:t>六</w:t>
      </w:r>
      <w:r>
        <w:rPr>
          <w:rFonts w:hint="eastAsia" w:hAnsi="宋体" w:cs="宋体"/>
          <w:color w:val="auto"/>
        </w:rPr>
        <w:t>、资格证明文件</w:t>
      </w:r>
      <w:bookmarkEnd w:id="103"/>
      <w:bookmarkEnd w:id="104"/>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4"/>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54"/>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1"/>
        <w:snapToGrid w:val="0"/>
        <w:spacing w:line="360" w:lineRule="auto"/>
        <w:ind w:firstLine="480" w:firstLineChars="200"/>
        <w:jc w:val="left"/>
        <w:rPr>
          <w:rFonts w:hAnsi="宋体" w:eastAsia="宋体"/>
          <w:color w:val="auto"/>
          <w:sz w:val="24"/>
          <w:szCs w:val="28"/>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1"/>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1"/>
        <w:snapToGrid w:val="0"/>
        <w:spacing w:line="360" w:lineRule="auto"/>
        <w:ind w:firstLine="480" w:firstLineChars="200"/>
        <w:jc w:val="left"/>
        <w:rPr>
          <w:rFonts w:hAnsi="宋体" w:eastAsia="宋体"/>
          <w:color w:val="auto"/>
          <w:sz w:val="24"/>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1"/>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1"/>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33</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33</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lang w:eastAsia="zh-CN"/>
      </w:rPr>
      <w:t>安庆职业技术学院教学诊改复核展示用LED显示屏采购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26903"/>
    <w:multiLevelType w:val="singleLevel"/>
    <w:tmpl w:val="D9226903"/>
    <w:lvl w:ilvl="0" w:tentative="0">
      <w:start w:val="3"/>
      <w:numFmt w:val="chineseCounting"/>
      <w:suff w:val="nothing"/>
      <w:lvlText w:val="%1、"/>
      <w:lvlJc w:val="left"/>
      <w:rPr>
        <w:rFonts w:hint="eastAsia"/>
      </w:rPr>
    </w:lvl>
  </w:abstractNum>
  <w:abstractNum w:abstractNumId="1">
    <w:nsid w:val="58D9DD69"/>
    <w:multiLevelType w:val="singleLevel"/>
    <w:tmpl w:val="58D9DD69"/>
    <w:lvl w:ilvl="0" w:tentative="0">
      <w:start w:val="3"/>
      <w:numFmt w:val="decimal"/>
      <w:suff w:val="nothing"/>
      <w:lvlText w:val="%1、"/>
      <w:lvlJc w:val="left"/>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0A4"/>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A7346"/>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5DC9"/>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95173"/>
    <w:rsid w:val="011F0678"/>
    <w:rsid w:val="013037ED"/>
    <w:rsid w:val="018A44B4"/>
    <w:rsid w:val="01922DC9"/>
    <w:rsid w:val="019924DC"/>
    <w:rsid w:val="01BB72E8"/>
    <w:rsid w:val="021746DD"/>
    <w:rsid w:val="021A1EAD"/>
    <w:rsid w:val="02316790"/>
    <w:rsid w:val="023E4914"/>
    <w:rsid w:val="02606320"/>
    <w:rsid w:val="026F2CC5"/>
    <w:rsid w:val="02734C55"/>
    <w:rsid w:val="02D57437"/>
    <w:rsid w:val="02E9052A"/>
    <w:rsid w:val="02F06C0E"/>
    <w:rsid w:val="02F10E60"/>
    <w:rsid w:val="031778E3"/>
    <w:rsid w:val="03387229"/>
    <w:rsid w:val="03443A6F"/>
    <w:rsid w:val="035C5FD5"/>
    <w:rsid w:val="03724537"/>
    <w:rsid w:val="03851ED2"/>
    <w:rsid w:val="03A96165"/>
    <w:rsid w:val="03CA7EE4"/>
    <w:rsid w:val="03F265C0"/>
    <w:rsid w:val="03F44933"/>
    <w:rsid w:val="04043AA5"/>
    <w:rsid w:val="04165D84"/>
    <w:rsid w:val="04177769"/>
    <w:rsid w:val="041E7ACD"/>
    <w:rsid w:val="04201B8B"/>
    <w:rsid w:val="04245C53"/>
    <w:rsid w:val="04382BE0"/>
    <w:rsid w:val="043E7102"/>
    <w:rsid w:val="045E7194"/>
    <w:rsid w:val="0477350E"/>
    <w:rsid w:val="0477389A"/>
    <w:rsid w:val="04793B37"/>
    <w:rsid w:val="04875DFF"/>
    <w:rsid w:val="048D42C4"/>
    <w:rsid w:val="0498643B"/>
    <w:rsid w:val="04A006E1"/>
    <w:rsid w:val="04CB32CC"/>
    <w:rsid w:val="04E50C1D"/>
    <w:rsid w:val="04FD4494"/>
    <w:rsid w:val="051A65C3"/>
    <w:rsid w:val="05244A1E"/>
    <w:rsid w:val="052E1C9F"/>
    <w:rsid w:val="052E7D0D"/>
    <w:rsid w:val="0531200C"/>
    <w:rsid w:val="053E109C"/>
    <w:rsid w:val="054C6411"/>
    <w:rsid w:val="05734542"/>
    <w:rsid w:val="05A14822"/>
    <w:rsid w:val="05BD1AA1"/>
    <w:rsid w:val="05E002BE"/>
    <w:rsid w:val="05E35B59"/>
    <w:rsid w:val="05F35EB0"/>
    <w:rsid w:val="061652FD"/>
    <w:rsid w:val="063B4D88"/>
    <w:rsid w:val="06481AD4"/>
    <w:rsid w:val="06521913"/>
    <w:rsid w:val="06567772"/>
    <w:rsid w:val="06805122"/>
    <w:rsid w:val="069353D8"/>
    <w:rsid w:val="06952ADA"/>
    <w:rsid w:val="06A85231"/>
    <w:rsid w:val="06BB4F54"/>
    <w:rsid w:val="06C0258F"/>
    <w:rsid w:val="06DF7532"/>
    <w:rsid w:val="06F36A08"/>
    <w:rsid w:val="06F94826"/>
    <w:rsid w:val="06FB1E54"/>
    <w:rsid w:val="071B4038"/>
    <w:rsid w:val="073E450E"/>
    <w:rsid w:val="07422C6F"/>
    <w:rsid w:val="07632295"/>
    <w:rsid w:val="07655DB3"/>
    <w:rsid w:val="076E24E5"/>
    <w:rsid w:val="0785428B"/>
    <w:rsid w:val="07AE4DBF"/>
    <w:rsid w:val="07AF4527"/>
    <w:rsid w:val="07DA0583"/>
    <w:rsid w:val="0838737A"/>
    <w:rsid w:val="08444D9F"/>
    <w:rsid w:val="08511F00"/>
    <w:rsid w:val="087A5C75"/>
    <w:rsid w:val="087F1843"/>
    <w:rsid w:val="088A4392"/>
    <w:rsid w:val="088A719E"/>
    <w:rsid w:val="089935B7"/>
    <w:rsid w:val="08AA4743"/>
    <w:rsid w:val="08D12404"/>
    <w:rsid w:val="08DA0D79"/>
    <w:rsid w:val="08E15A78"/>
    <w:rsid w:val="08FC28FA"/>
    <w:rsid w:val="0927319F"/>
    <w:rsid w:val="092B3141"/>
    <w:rsid w:val="095D72E5"/>
    <w:rsid w:val="097517AF"/>
    <w:rsid w:val="097A7948"/>
    <w:rsid w:val="09890446"/>
    <w:rsid w:val="098C68F8"/>
    <w:rsid w:val="09AC4724"/>
    <w:rsid w:val="09B87F24"/>
    <w:rsid w:val="09F95F96"/>
    <w:rsid w:val="09FA4F71"/>
    <w:rsid w:val="0A0334B3"/>
    <w:rsid w:val="0A0D26BB"/>
    <w:rsid w:val="0A3C1CA7"/>
    <w:rsid w:val="0A461924"/>
    <w:rsid w:val="0A4B61C6"/>
    <w:rsid w:val="0A6D3720"/>
    <w:rsid w:val="0A7F6EC9"/>
    <w:rsid w:val="0A901CC5"/>
    <w:rsid w:val="0ACE4FC1"/>
    <w:rsid w:val="0AD07978"/>
    <w:rsid w:val="0B072024"/>
    <w:rsid w:val="0B087B11"/>
    <w:rsid w:val="0B0914F5"/>
    <w:rsid w:val="0B110D86"/>
    <w:rsid w:val="0B1C5187"/>
    <w:rsid w:val="0B220186"/>
    <w:rsid w:val="0B2916C2"/>
    <w:rsid w:val="0B2A07B0"/>
    <w:rsid w:val="0B332287"/>
    <w:rsid w:val="0B4232AC"/>
    <w:rsid w:val="0B6C716A"/>
    <w:rsid w:val="0B736FD8"/>
    <w:rsid w:val="0B91761E"/>
    <w:rsid w:val="0B97165A"/>
    <w:rsid w:val="0BCA33E7"/>
    <w:rsid w:val="0BE77B0B"/>
    <w:rsid w:val="0C230BDC"/>
    <w:rsid w:val="0C5A0BAD"/>
    <w:rsid w:val="0C6A4BBC"/>
    <w:rsid w:val="0C74222A"/>
    <w:rsid w:val="0C83295D"/>
    <w:rsid w:val="0C89471E"/>
    <w:rsid w:val="0C907A80"/>
    <w:rsid w:val="0CAE5CFF"/>
    <w:rsid w:val="0CEE671A"/>
    <w:rsid w:val="0D072DFE"/>
    <w:rsid w:val="0D1E19B5"/>
    <w:rsid w:val="0D2152D7"/>
    <w:rsid w:val="0D2231F4"/>
    <w:rsid w:val="0D3E4270"/>
    <w:rsid w:val="0D494161"/>
    <w:rsid w:val="0D4F57E4"/>
    <w:rsid w:val="0D632F8F"/>
    <w:rsid w:val="0D6669BD"/>
    <w:rsid w:val="0D835FCB"/>
    <w:rsid w:val="0DB94BD2"/>
    <w:rsid w:val="0DC64678"/>
    <w:rsid w:val="0DCB05AE"/>
    <w:rsid w:val="0DF70178"/>
    <w:rsid w:val="0DF94899"/>
    <w:rsid w:val="0DFA1324"/>
    <w:rsid w:val="0E260A50"/>
    <w:rsid w:val="0E32410D"/>
    <w:rsid w:val="0E487583"/>
    <w:rsid w:val="0E71114C"/>
    <w:rsid w:val="0E7539B1"/>
    <w:rsid w:val="0E9223D5"/>
    <w:rsid w:val="0EA86D69"/>
    <w:rsid w:val="0EB14180"/>
    <w:rsid w:val="0EBC4E69"/>
    <w:rsid w:val="0EDD408A"/>
    <w:rsid w:val="0EF64818"/>
    <w:rsid w:val="0EFB37A0"/>
    <w:rsid w:val="0F0346C9"/>
    <w:rsid w:val="0F0A3EB9"/>
    <w:rsid w:val="0F137FA4"/>
    <w:rsid w:val="0F2B317B"/>
    <w:rsid w:val="0F34535C"/>
    <w:rsid w:val="0F3D389D"/>
    <w:rsid w:val="0F434292"/>
    <w:rsid w:val="0F8236D5"/>
    <w:rsid w:val="0FA65B55"/>
    <w:rsid w:val="0FC55235"/>
    <w:rsid w:val="0FCC5D84"/>
    <w:rsid w:val="0FD05E00"/>
    <w:rsid w:val="1009280B"/>
    <w:rsid w:val="100D0622"/>
    <w:rsid w:val="100E134E"/>
    <w:rsid w:val="1016473B"/>
    <w:rsid w:val="10264018"/>
    <w:rsid w:val="103A16D1"/>
    <w:rsid w:val="104A2CE1"/>
    <w:rsid w:val="1050087E"/>
    <w:rsid w:val="1058012D"/>
    <w:rsid w:val="107E4A72"/>
    <w:rsid w:val="10B2256F"/>
    <w:rsid w:val="10C1169C"/>
    <w:rsid w:val="10C17787"/>
    <w:rsid w:val="10C64A93"/>
    <w:rsid w:val="10DC68D5"/>
    <w:rsid w:val="111E14AD"/>
    <w:rsid w:val="112F2B2C"/>
    <w:rsid w:val="11355366"/>
    <w:rsid w:val="1146008A"/>
    <w:rsid w:val="11803EC2"/>
    <w:rsid w:val="11970EE3"/>
    <w:rsid w:val="11A03675"/>
    <w:rsid w:val="11AC730F"/>
    <w:rsid w:val="11BC1C1F"/>
    <w:rsid w:val="11C735A4"/>
    <w:rsid w:val="11CF1EF1"/>
    <w:rsid w:val="11EA2CE5"/>
    <w:rsid w:val="11F12D1A"/>
    <w:rsid w:val="11F27F7D"/>
    <w:rsid w:val="121A40C0"/>
    <w:rsid w:val="12486B77"/>
    <w:rsid w:val="12633BA5"/>
    <w:rsid w:val="126D2AE8"/>
    <w:rsid w:val="127514BB"/>
    <w:rsid w:val="12933A7D"/>
    <w:rsid w:val="12994AF8"/>
    <w:rsid w:val="12AE6B32"/>
    <w:rsid w:val="12C43EF0"/>
    <w:rsid w:val="12C4475B"/>
    <w:rsid w:val="12D6647C"/>
    <w:rsid w:val="12F70CDA"/>
    <w:rsid w:val="12F81468"/>
    <w:rsid w:val="132B46CB"/>
    <w:rsid w:val="1338667F"/>
    <w:rsid w:val="1347382D"/>
    <w:rsid w:val="135421F8"/>
    <w:rsid w:val="135C0074"/>
    <w:rsid w:val="13616BDF"/>
    <w:rsid w:val="13644462"/>
    <w:rsid w:val="13753967"/>
    <w:rsid w:val="13A1080A"/>
    <w:rsid w:val="13DF2D80"/>
    <w:rsid w:val="13EB17D3"/>
    <w:rsid w:val="13FF717E"/>
    <w:rsid w:val="140C3B2C"/>
    <w:rsid w:val="142A4E08"/>
    <w:rsid w:val="145C6A1A"/>
    <w:rsid w:val="145E59DA"/>
    <w:rsid w:val="146B3973"/>
    <w:rsid w:val="14825EAC"/>
    <w:rsid w:val="14BB77D1"/>
    <w:rsid w:val="14D457B8"/>
    <w:rsid w:val="14D8207C"/>
    <w:rsid w:val="14DA386A"/>
    <w:rsid w:val="14E42898"/>
    <w:rsid w:val="14F224D3"/>
    <w:rsid w:val="14FF6569"/>
    <w:rsid w:val="15073605"/>
    <w:rsid w:val="1516320B"/>
    <w:rsid w:val="152A4236"/>
    <w:rsid w:val="155807CF"/>
    <w:rsid w:val="156015CA"/>
    <w:rsid w:val="15786FC5"/>
    <w:rsid w:val="158546EC"/>
    <w:rsid w:val="15AD0AE5"/>
    <w:rsid w:val="15D34B8E"/>
    <w:rsid w:val="15E611B3"/>
    <w:rsid w:val="15FA4347"/>
    <w:rsid w:val="16135F43"/>
    <w:rsid w:val="162701DA"/>
    <w:rsid w:val="162B22EC"/>
    <w:rsid w:val="16484942"/>
    <w:rsid w:val="164C31F0"/>
    <w:rsid w:val="164D4538"/>
    <w:rsid w:val="1669259D"/>
    <w:rsid w:val="16771279"/>
    <w:rsid w:val="169F2CC2"/>
    <w:rsid w:val="16AA643D"/>
    <w:rsid w:val="16AF3B22"/>
    <w:rsid w:val="16C16894"/>
    <w:rsid w:val="16E33E89"/>
    <w:rsid w:val="16E62698"/>
    <w:rsid w:val="170161F1"/>
    <w:rsid w:val="170B2AE0"/>
    <w:rsid w:val="170C2076"/>
    <w:rsid w:val="171347E8"/>
    <w:rsid w:val="171F0553"/>
    <w:rsid w:val="17412D20"/>
    <w:rsid w:val="17656EC7"/>
    <w:rsid w:val="17865E6F"/>
    <w:rsid w:val="178B2FCA"/>
    <w:rsid w:val="17AB12FD"/>
    <w:rsid w:val="17B54142"/>
    <w:rsid w:val="17D73777"/>
    <w:rsid w:val="17E12977"/>
    <w:rsid w:val="17E16748"/>
    <w:rsid w:val="17E64412"/>
    <w:rsid w:val="181360BE"/>
    <w:rsid w:val="18143BF3"/>
    <w:rsid w:val="181F3E0B"/>
    <w:rsid w:val="183A16EE"/>
    <w:rsid w:val="184834A6"/>
    <w:rsid w:val="185C0EDF"/>
    <w:rsid w:val="187D7569"/>
    <w:rsid w:val="18801CCD"/>
    <w:rsid w:val="188859CE"/>
    <w:rsid w:val="189F55F4"/>
    <w:rsid w:val="18A75C99"/>
    <w:rsid w:val="18B20FCE"/>
    <w:rsid w:val="18C32252"/>
    <w:rsid w:val="18D0413D"/>
    <w:rsid w:val="18F273A6"/>
    <w:rsid w:val="192A68C8"/>
    <w:rsid w:val="19344358"/>
    <w:rsid w:val="19360119"/>
    <w:rsid w:val="1941533E"/>
    <w:rsid w:val="19486FB2"/>
    <w:rsid w:val="19555DF8"/>
    <w:rsid w:val="195619E7"/>
    <w:rsid w:val="196E49C7"/>
    <w:rsid w:val="198769FC"/>
    <w:rsid w:val="199475C6"/>
    <w:rsid w:val="19963360"/>
    <w:rsid w:val="199F5019"/>
    <w:rsid w:val="19C80352"/>
    <w:rsid w:val="19D51CA0"/>
    <w:rsid w:val="19DF13F6"/>
    <w:rsid w:val="19EB2002"/>
    <w:rsid w:val="1A390864"/>
    <w:rsid w:val="1A6450D0"/>
    <w:rsid w:val="1A6A324A"/>
    <w:rsid w:val="1AC77936"/>
    <w:rsid w:val="1ACA7F54"/>
    <w:rsid w:val="1AEC4961"/>
    <w:rsid w:val="1B06535A"/>
    <w:rsid w:val="1B181533"/>
    <w:rsid w:val="1B734CD7"/>
    <w:rsid w:val="1B7E2B45"/>
    <w:rsid w:val="1BA7556B"/>
    <w:rsid w:val="1BBC3400"/>
    <w:rsid w:val="1BBF252C"/>
    <w:rsid w:val="1BDE1760"/>
    <w:rsid w:val="1BF1026B"/>
    <w:rsid w:val="1BF40591"/>
    <w:rsid w:val="1C2551E1"/>
    <w:rsid w:val="1C4B349A"/>
    <w:rsid w:val="1C4D42C9"/>
    <w:rsid w:val="1C5E38E2"/>
    <w:rsid w:val="1C6379F6"/>
    <w:rsid w:val="1C656F34"/>
    <w:rsid w:val="1C7611AF"/>
    <w:rsid w:val="1C7D059D"/>
    <w:rsid w:val="1C946602"/>
    <w:rsid w:val="1CA232AC"/>
    <w:rsid w:val="1CAA1DEE"/>
    <w:rsid w:val="1CCA7376"/>
    <w:rsid w:val="1CDA731B"/>
    <w:rsid w:val="1D074EC5"/>
    <w:rsid w:val="1D0B7287"/>
    <w:rsid w:val="1D0E5817"/>
    <w:rsid w:val="1D153E51"/>
    <w:rsid w:val="1D2826AC"/>
    <w:rsid w:val="1D535616"/>
    <w:rsid w:val="1DA03128"/>
    <w:rsid w:val="1DA05131"/>
    <w:rsid w:val="1DB25B96"/>
    <w:rsid w:val="1DBB3B9F"/>
    <w:rsid w:val="1DC52A30"/>
    <w:rsid w:val="1DC65517"/>
    <w:rsid w:val="1DD66520"/>
    <w:rsid w:val="1DE870A5"/>
    <w:rsid w:val="1DED5C0B"/>
    <w:rsid w:val="1E042AAB"/>
    <w:rsid w:val="1E16127D"/>
    <w:rsid w:val="1E2A33E0"/>
    <w:rsid w:val="1E465BA2"/>
    <w:rsid w:val="1E5E47E0"/>
    <w:rsid w:val="1E65548D"/>
    <w:rsid w:val="1E663AEA"/>
    <w:rsid w:val="1E6A5CCC"/>
    <w:rsid w:val="1E7235BA"/>
    <w:rsid w:val="1E815AFF"/>
    <w:rsid w:val="1E84689A"/>
    <w:rsid w:val="1E9973EC"/>
    <w:rsid w:val="1E9F3A7D"/>
    <w:rsid w:val="1EC21851"/>
    <w:rsid w:val="1EE94425"/>
    <w:rsid w:val="1F004046"/>
    <w:rsid w:val="1F0F5251"/>
    <w:rsid w:val="1F1555E0"/>
    <w:rsid w:val="1F190F66"/>
    <w:rsid w:val="1F2E7427"/>
    <w:rsid w:val="1F5472F6"/>
    <w:rsid w:val="1F5662B7"/>
    <w:rsid w:val="1F663A3C"/>
    <w:rsid w:val="1F6E7EA0"/>
    <w:rsid w:val="1F805BBC"/>
    <w:rsid w:val="1F855640"/>
    <w:rsid w:val="1FA83428"/>
    <w:rsid w:val="1FA91EA6"/>
    <w:rsid w:val="1FDF274B"/>
    <w:rsid w:val="1FE73C5F"/>
    <w:rsid w:val="1FF877BF"/>
    <w:rsid w:val="1FFA0DFF"/>
    <w:rsid w:val="202915A2"/>
    <w:rsid w:val="202B1EF5"/>
    <w:rsid w:val="20374586"/>
    <w:rsid w:val="2038536A"/>
    <w:rsid w:val="204539A1"/>
    <w:rsid w:val="205D2600"/>
    <w:rsid w:val="206E486C"/>
    <w:rsid w:val="207019F5"/>
    <w:rsid w:val="20806241"/>
    <w:rsid w:val="208D6C00"/>
    <w:rsid w:val="20B030F9"/>
    <w:rsid w:val="20DD7A52"/>
    <w:rsid w:val="20EC75B1"/>
    <w:rsid w:val="20F8561F"/>
    <w:rsid w:val="21087874"/>
    <w:rsid w:val="21346507"/>
    <w:rsid w:val="213C7062"/>
    <w:rsid w:val="21435719"/>
    <w:rsid w:val="21457AA6"/>
    <w:rsid w:val="2156270A"/>
    <w:rsid w:val="215B1406"/>
    <w:rsid w:val="2184057F"/>
    <w:rsid w:val="219C4AB4"/>
    <w:rsid w:val="21B76AE0"/>
    <w:rsid w:val="21C24E53"/>
    <w:rsid w:val="21F63830"/>
    <w:rsid w:val="221A760B"/>
    <w:rsid w:val="223C008F"/>
    <w:rsid w:val="22472B4C"/>
    <w:rsid w:val="2253597B"/>
    <w:rsid w:val="22643497"/>
    <w:rsid w:val="22794F14"/>
    <w:rsid w:val="227F77DE"/>
    <w:rsid w:val="229442B5"/>
    <w:rsid w:val="22C67959"/>
    <w:rsid w:val="22DE2F95"/>
    <w:rsid w:val="22E406C3"/>
    <w:rsid w:val="22FB0688"/>
    <w:rsid w:val="230176DA"/>
    <w:rsid w:val="230828C0"/>
    <w:rsid w:val="231C0C23"/>
    <w:rsid w:val="232063A6"/>
    <w:rsid w:val="23635693"/>
    <w:rsid w:val="236B0591"/>
    <w:rsid w:val="23952134"/>
    <w:rsid w:val="239F4B3B"/>
    <w:rsid w:val="23B76FD3"/>
    <w:rsid w:val="23B97AB4"/>
    <w:rsid w:val="23C44AC9"/>
    <w:rsid w:val="23ED7ADD"/>
    <w:rsid w:val="23EE669F"/>
    <w:rsid w:val="23FA536A"/>
    <w:rsid w:val="240C6AFA"/>
    <w:rsid w:val="24424187"/>
    <w:rsid w:val="2448342E"/>
    <w:rsid w:val="244B7F91"/>
    <w:rsid w:val="245C48D7"/>
    <w:rsid w:val="245E65A0"/>
    <w:rsid w:val="246E108F"/>
    <w:rsid w:val="247422C1"/>
    <w:rsid w:val="2487230D"/>
    <w:rsid w:val="248A20F3"/>
    <w:rsid w:val="24A249FE"/>
    <w:rsid w:val="24AA3C8A"/>
    <w:rsid w:val="24BB2ACC"/>
    <w:rsid w:val="24DE204A"/>
    <w:rsid w:val="24E21F78"/>
    <w:rsid w:val="24E3226F"/>
    <w:rsid w:val="24F37B94"/>
    <w:rsid w:val="25066EF6"/>
    <w:rsid w:val="2518296A"/>
    <w:rsid w:val="253F4C3B"/>
    <w:rsid w:val="253F535A"/>
    <w:rsid w:val="254E52C0"/>
    <w:rsid w:val="25A858F8"/>
    <w:rsid w:val="25AE54D9"/>
    <w:rsid w:val="25B174DB"/>
    <w:rsid w:val="25B52531"/>
    <w:rsid w:val="25BA112C"/>
    <w:rsid w:val="25CE2471"/>
    <w:rsid w:val="25D976AC"/>
    <w:rsid w:val="26066D6F"/>
    <w:rsid w:val="26235A5B"/>
    <w:rsid w:val="26276106"/>
    <w:rsid w:val="262E24B2"/>
    <w:rsid w:val="263C2E00"/>
    <w:rsid w:val="268B284C"/>
    <w:rsid w:val="26935619"/>
    <w:rsid w:val="26A26BEE"/>
    <w:rsid w:val="26C7367F"/>
    <w:rsid w:val="26CC34C5"/>
    <w:rsid w:val="26CD70F0"/>
    <w:rsid w:val="26E511C9"/>
    <w:rsid w:val="26E97493"/>
    <w:rsid w:val="26FE1742"/>
    <w:rsid w:val="26FF1B22"/>
    <w:rsid w:val="2701248A"/>
    <w:rsid w:val="27015D0E"/>
    <w:rsid w:val="272B4880"/>
    <w:rsid w:val="2745366C"/>
    <w:rsid w:val="274F6261"/>
    <w:rsid w:val="277A093D"/>
    <w:rsid w:val="27800637"/>
    <w:rsid w:val="278241BD"/>
    <w:rsid w:val="27862C7D"/>
    <w:rsid w:val="27971706"/>
    <w:rsid w:val="279767AD"/>
    <w:rsid w:val="27B365ED"/>
    <w:rsid w:val="27BA5B18"/>
    <w:rsid w:val="280755BB"/>
    <w:rsid w:val="283E36FB"/>
    <w:rsid w:val="284C2668"/>
    <w:rsid w:val="284F3E95"/>
    <w:rsid w:val="286012E2"/>
    <w:rsid w:val="286D29E1"/>
    <w:rsid w:val="287D0CB8"/>
    <w:rsid w:val="288714FD"/>
    <w:rsid w:val="28902E8A"/>
    <w:rsid w:val="28C90B09"/>
    <w:rsid w:val="28CC3AA7"/>
    <w:rsid w:val="28CF34CF"/>
    <w:rsid w:val="28E656E0"/>
    <w:rsid w:val="28EA436C"/>
    <w:rsid w:val="290411EB"/>
    <w:rsid w:val="2904563C"/>
    <w:rsid w:val="29215BA4"/>
    <w:rsid w:val="292F41B4"/>
    <w:rsid w:val="29660000"/>
    <w:rsid w:val="298174D0"/>
    <w:rsid w:val="298A5CBE"/>
    <w:rsid w:val="29A65A1D"/>
    <w:rsid w:val="29AB58E8"/>
    <w:rsid w:val="29AF38AF"/>
    <w:rsid w:val="29B4634A"/>
    <w:rsid w:val="29CE0EB8"/>
    <w:rsid w:val="29EA6C76"/>
    <w:rsid w:val="29F10992"/>
    <w:rsid w:val="29F1685F"/>
    <w:rsid w:val="29FA3D4D"/>
    <w:rsid w:val="2A035FF2"/>
    <w:rsid w:val="2A065716"/>
    <w:rsid w:val="2A2E1289"/>
    <w:rsid w:val="2A5607F7"/>
    <w:rsid w:val="2A5C6821"/>
    <w:rsid w:val="2A8229CD"/>
    <w:rsid w:val="2A8453B1"/>
    <w:rsid w:val="2A863051"/>
    <w:rsid w:val="2A9920D3"/>
    <w:rsid w:val="2AA56CCB"/>
    <w:rsid w:val="2AC6139B"/>
    <w:rsid w:val="2ADD5BBA"/>
    <w:rsid w:val="2AE37315"/>
    <w:rsid w:val="2B2016DF"/>
    <w:rsid w:val="2B2412CD"/>
    <w:rsid w:val="2B2433DD"/>
    <w:rsid w:val="2B2855EF"/>
    <w:rsid w:val="2B385AC2"/>
    <w:rsid w:val="2B400144"/>
    <w:rsid w:val="2B490619"/>
    <w:rsid w:val="2B7045BE"/>
    <w:rsid w:val="2B9D7C99"/>
    <w:rsid w:val="2BA90F52"/>
    <w:rsid w:val="2BAB53B1"/>
    <w:rsid w:val="2BB51544"/>
    <w:rsid w:val="2BC346BE"/>
    <w:rsid w:val="2BE16598"/>
    <w:rsid w:val="2BE35042"/>
    <w:rsid w:val="2BE374EA"/>
    <w:rsid w:val="2BF269A7"/>
    <w:rsid w:val="2C1C696A"/>
    <w:rsid w:val="2C237808"/>
    <w:rsid w:val="2C263268"/>
    <w:rsid w:val="2C457AB2"/>
    <w:rsid w:val="2C4B1821"/>
    <w:rsid w:val="2C5174E0"/>
    <w:rsid w:val="2C5618F8"/>
    <w:rsid w:val="2C5F33AB"/>
    <w:rsid w:val="2C6A365C"/>
    <w:rsid w:val="2C877A43"/>
    <w:rsid w:val="2C8F59B2"/>
    <w:rsid w:val="2CA86A04"/>
    <w:rsid w:val="2CE22AB5"/>
    <w:rsid w:val="2D050326"/>
    <w:rsid w:val="2D2E767E"/>
    <w:rsid w:val="2D320D1B"/>
    <w:rsid w:val="2D347FF2"/>
    <w:rsid w:val="2D4D44F0"/>
    <w:rsid w:val="2D5E00FB"/>
    <w:rsid w:val="2D64582C"/>
    <w:rsid w:val="2D845825"/>
    <w:rsid w:val="2D9178D8"/>
    <w:rsid w:val="2D9A7120"/>
    <w:rsid w:val="2DA92C24"/>
    <w:rsid w:val="2DAE48B7"/>
    <w:rsid w:val="2DAF0C28"/>
    <w:rsid w:val="2DC50F24"/>
    <w:rsid w:val="2DE435D2"/>
    <w:rsid w:val="2DF36570"/>
    <w:rsid w:val="2E010A58"/>
    <w:rsid w:val="2E0532BC"/>
    <w:rsid w:val="2E235B1A"/>
    <w:rsid w:val="2E2D4D5E"/>
    <w:rsid w:val="2E3512B9"/>
    <w:rsid w:val="2E3A7CE1"/>
    <w:rsid w:val="2E4030C6"/>
    <w:rsid w:val="2E481A9E"/>
    <w:rsid w:val="2E5E27D5"/>
    <w:rsid w:val="2E8C2848"/>
    <w:rsid w:val="2EAA3108"/>
    <w:rsid w:val="2EC628C4"/>
    <w:rsid w:val="2ECC4C86"/>
    <w:rsid w:val="2ECF2A5B"/>
    <w:rsid w:val="2F185165"/>
    <w:rsid w:val="2F285E80"/>
    <w:rsid w:val="2F2D101C"/>
    <w:rsid w:val="2F2D4173"/>
    <w:rsid w:val="2F2E5DF2"/>
    <w:rsid w:val="2F323DD8"/>
    <w:rsid w:val="2F3C308F"/>
    <w:rsid w:val="2F3D0D32"/>
    <w:rsid w:val="2F4879FF"/>
    <w:rsid w:val="2F643906"/>
    <w:rsid w:val="2F66110E"/>
    <w:rsid w:val="2F795989"/>
    <w:rsid w:val="2F8278DB"/>
    <w:rsid w:val="2F9C7A54"/>
    <w:rsid w:val="2F9D6043"/>
    <w:rsid w:val="2FC04163"/>
    <w:rsid w:val="2FCC3FBC"/>
    <w:rsid w:val="2FD71C09"/>
    <w:rsid w:val="2FE13372"/>
    <w:rsid w:val="2FF21B3B"/>
    <w:rsid w:val="3006129D"/>
    <w:rsid w:val="303965FE"/>
    <w:rsid w:val="304246CC"/>
    <w:rsid w:val="30494AE2"/>
    <w:rsid w:val="30B5333E"/>
    <w:rsid w:val="30DC639E"/>
    <w:rsid w:val="30F90549"/>
    <w:rsid w:val="313C614E"/>
    <w:rsid w:val="31505DAD"/>
    <w:rsid w:val="31532F2D"/>
    <w:rsid w:val="31624461"/>
    <w:rsid w:val="31796188"/>
    <w:rsid w:val="318320A8"/>
    <w:rsid w:val="31A40879"/>
    <w:rsid w:val="31C1309B"/>
    <w:rsid w:val="31CD7106"/>
    <w:rsid w:val="31CF68D0"/>
    <w:rsid w:val="31DB3911"/>
    <w:rsid w:val="31F57EDC"/>
    <w:rsid w:val="32000BE1"/>
    <w:rsid w:val="320C1BA8"/>
    <w:rsid w:val="321717C0"/>
    <w:rsid w:val="323E6AE2"/>
    <w:rsid w:val="326D37D4"/>
    <w:rsid w:val="32821075"/>
    <w:rsid w:val="32AA5A6C"/>
    <w:rsid w:val="32B56792"/>
    <w:rsid w:val="32BC30EA"/>
    <w:rsid w:val="32C51192"/>
    <w:rsid w:val="32CD43F3"/>
    <w:rsid w:val="32DC068E"/>
    <w:rsid w:val="32EE7C35"/>
    <w:rsid w:val="330E11CE"/>
    <w:rsid w:val="332848FF"/>
    <w:rsid w:val="334932BF"/>
    <w:rsid w:val="339E01F6"/>
    <w:rsid w:val="33B33591"/>
    <w:rsid w:val="33C14228"/>
    <w:rsid w:val="33C40DAF"/>
    <w:rsid w:val="33CB50F6"/>
    <w:rsid w:val="33E742D8"/>
    <w:rsid w:val="33EA5773"/>
    <w:rsid w:val="33FE6B81"/>
    <w:rsid w:val="34156596"/>
    <w:rsid w:val="341579FF"/>
    <w:rsid w:val="34356D52"/>
    <w:rsid w:val="343B1E3D"/>
    <w:rsid w:val="34601EF9"/>
    <w:rsid w:val="347B2C27"/>
    <w:rsid w:val="3480762C"/>
    <w:rsid w:val="348F7EBE"/>
    <w:rsid w:val="34B563E2"/>
    <w:rsid w:val="34BA47F2"/>
    <w:rsid w:val="34C71782"/>
    <w:rsid w:val="34CA2810"/>
    <w:rsid w:val="34CB7EBB"/>
    <w:rsid w:val="34F73875"/>
    <w:rsid w:val="35033E04"/>
    <w:rsid w:val="350A1874"/>
    <w:rsid w:val="350A2FE5"/>
    <w:rsid w:val="350C4714"/>
    <w:rsid w:val="351A087B"/>
    <w:rsid w:val="35270B41"/>
    <w:rsid w:val="353323D5"/>
    <w:rsid w:val="35552B7F"/>
    <w:rsid w:val="357915CD"/>
    <w:rsid w:val="35925C72"/>
    <w:rsid w:val="35973F2D"/>
    <w:rsid w:val="35BF2FEA"/>
    <w:rsid w:val="35C26DEE"/>
    <w:rsid w:val="35F568F4"/>
    <w:rsid w:val="360F267E"/>
    <w:rsid w:val="3617681A"/>
    <w:rsid w:val="364B6AC0"/>
    <w:rsid w:val="365A50BB"/>
    <w:rsid w:val="366876D8"/>
    <w:rsid w:val="366A7A1A"/>
    <w:rsid w:val="366E68DA"/>
    <w:rsid w:val="36881F0D"/>
    <w:rsid w:val="36A62646"/>
    <w:rsid w:val="36B43748"/>
    <w:rsid w:val="36B83A9F"/>
    <w:rsid w:val="36C41867"/>
    <w:rsid w:val="36CC24F7"/>
    <w:rsid w:val="36DC1879"/>
    <w:rsid w:val="370E4C3C"/>
    <w:rsid w:val="372D5DB7"/>
    <w:rsid w:val="373C3CC0"/>
    <w:rsid w:val="375436D4"/>
    <w:rsid w:val="37545502"/>
    <w:rsid w:val="376C4869"/>
    <w:rsid w:val="37780EEB"/>
    <w:rsid w:val="37855348"/>
    <w:rsid w:val="378927E1"/>
    <w:rsid w:val="37961987"/>
    <w:rsid w:val="37D4606B"/>
    <w:rsid w:val="37FA4F3B"/>
    <w:rsid w:val="37FC2B59"/>
    <w:rsid w:val="3815337F"/>
    <w:rsid w:val="381F5E35"/>
    <w:rsid w:val="383813C8"/>
    <w:rsid w:val="385244BD"/>
    <w:rsid w:val="38623892"/>
    <w:rsid w:val="38650C3E"/>
    <w:rsid w:val="38811C4E"/>
    <w:rsid w:val="388809BB"/>
    <w:rsid w:val="388A07DC"/>
    <w:rsid w:val="38C1223C"/>
    <w:rsid w:val="38C24451"/>
    <w:rsid w:val="38D23B1E"/>
    <w:rsid w:val="38D32E50"/>
    <w:rsid w:val="38D550EC"/>
    <w:rsid w:val="38DF4349"/>
    <w:rsid w:val="38E431AE"/>
    <w:rsid w:val="38E96309"/>
    <w:rsid w:val="38F57B5C"/>
    <w:rsid w:val="38FD069B"/>
    <w:rsid w:val="38FD2469"/>
    <w:rsid w:val="39173D9A"/>
    <w:rsid w:val="391908C8"/>
    <w:rsid w:val="39334744"/>
    <w:rsid w:val="39347ECD"/>
    <w:rsid w:val="393F256E"/>
    <w:rsid w:val="3948026B"/>
    <w:rsid w:val="3956604D"/>
    <w:rsid w:val="3958421A"/>
    <w:rsid w:val="39641092"/>
    <w:rsid w:val="39A1679C"/>
    <w:rsid w:val="39B612BC"/>
    <w:rsid w:val="39C4144C"/>
    <w:rsid w:val="39F12A70"/>
    <w:rsid w:val="3A132F16"/>
    <w:rsid w:val="3A1B3237"/>
    <w:rsid w:val="3A22168F"/>
    <w:rsid w:val="3A852CE4"/>
    <w:rsid w:val="3A8F4331"/>
    <w:rsid w:val="3A93517E"/>
    <w:rsid w:val="3AA20C1F"/>
    <w:rsid w:val="3AEF12C8"/>
    <w:rsid w:val="3B42434C"/>
    <w:rsid w:val="3B8E4A09"/>
    <w:rsid w:val="3BAC6896"/>
    <w:rsid w:val="3BCA17D2"/>
    <w:rsid w:val="3BD07133"/>
    <w:rsid w:val="3BE55A8F"/>
    <w:rsid w:val="3BF44C1A"/>
    <w:rsid w:val="3C030505"/>
    <w:rsid w:val="3C0556F7"/>
    <w:rsid w:val="3C197648"/>
    <w:rsid w:val="3C1C39B6"/>
    <w:rsid w:val="3C2532A1"/>
    <w:rsid w:val="3C2B4FF8"/>
    <w:rsid w:val="3C34574B"/>
    <w:rsid w:val="3C3B492E"/>
    <w:rsid w:val="3C580049"/>
    <w:rsid w:val="3C5A2D1C"/>
    <w:rsid w:val="3C6A5D40"/>
    <w:rsid w:val="3C6B06D9"/>
    <w:rsid w:val="3C7941AB"/>
    <w:rsid w:val="3C845F7F"/>
    <w:rsid w:val="3CAD36F9"/>
    <w:rsid w:val="3CAE366A"/>
    <w:rsid w:val="3CB37024"/>
    <w:rsid w:val="3CCE6D65"/>
    <w:rsid w:val="3CD66A6C"/>
    <w:rsid w:val="3CD8386C"/>
    <w:rsid w:val="3CE47750"/>
    <w:rsid w:val="3CF159F1"/>
    <w:rsid w:val="3D057F7D"/>
    <w:rsid w:val="3D0976C4"/>
    <w:rsid w:val="3D273C63"/>
    <w:rsid w:val="3D4752E9"/>
    <w:rsid w:val="3D7E34D1"/>
    <w:rsid w:val="3D86314C"/>
    <w:rsid w:val="3D8C258A"/>
    <w:rsid w:val="3DA7157D"/>
    <w:rsid w:val="3DC75D75"/>
    <w:rsid w:val="3DE83C0E"/>
    <w:rsid w:val="3DEC3000"/>
    <w:rsid w:val="3DED1264"/>
    <w:rsid w:val="3DEE70ED"/>
    <w:rsid w:val="3DF57A61"/>
    <w:rsid w:val="3E0347A6"/>
    <w:rsid w:val="3E301932"/>
    <w:rsid w:val="3E37139E"/>
    <w:rsid w:val="3E386E20"/>
    <w:rsid w:val="3E3E18DD"/>
    <w:rsid w:val="3E403714"/>
    <w:rsid w:val="3E5C5F16"/>
    <w:rsid w:val="3E6A3007"/>
    <w:rsid w:val="3E7811DF"/>
    <w:rsid w:val="3E7E6A1E"/>
    <w:rsid w:val="3E820C3B"/>
    <w:rsid w:val="3E940F01"/>
    <w:rsid w:val="3EBC691E"/>
    <w:rsid w:val="3EC81074"/>
    <w:rsid w:val="3ECE2706"/>
    <w:rsid w:val="3EEA3D95"/>
    <w:rsid w:val="3EF21A56"/>
    <w:rsid w:val="3F3527DB"/>
    <w:rsid w:val="3F364787"/>
    <w:rsid w:val="3F5049AF"/>
    <w:rsid w:val="3F610CAF"/>
    <w:rsid w:val="3F6312C4"/>
    <w:rsid w:val="3F92191C"/>
    <w:rsid w:val="3F9815AC"/>
    <w:rsid w:val="3FBA3CFE"/>
    <w:rsid w:val="3FCD2F32"/>
    <w:rsid w:val="3FE4290B"/>
    <w:rsid w:val="3FFE1515"/>
    <w:rsid w:val="40130954"/>
    <w:rsid w:val="402F14D9"/>
    <w:rsid w:val="4042437C"/>
    <w:rsid w:val="40437225"/>
    <w:rsid w:val="40635616"/>
    <w:rsid w:val="40666255"/>
    <w:rsid w:val="40852B71"/>
    <w:rsid w:val="40A4504A"/>
    <w:rsid w:val="40A56A55"/>
    <w:rsid w:val="40D04F96"/>
    <w:rsid w:val="40D25774"/>
    <w:rsid w:val="40FA6177"/>
    <w:rsid w:val="41232AC2"/>
    <w:rsid w:val="412D4371"/>
    <w:rsid w:val="412F650A"/>
    <w:rsid w:val="4154383A"/>
    <w:rsid w:val="415826D8"/>
    <w:rsid w:val="416A77B2"/>
    <w:rsid w:val="4176596F"/>
    <w:rsid w:val="417B2704"/>
    <w:rsid w:val="41BD4938"/>
    <w:rsid w:val="41C97DFF"/>
    <w:rsid w:val="41CB3410"/>
    <w:rsid w:val="42092064"/>
    <w:rsid w:val="425056D7"/>
    <w:rsid w:val="426B7473"/>
    <w:rsid w:val="427E562E"/>
    <w:rsid w:val="428075BF"/>
    <w:rsid w:val="428B1B6D"/>
    <w:rsid w:val="428B291D"/>
    <w:rsid w:val="428F5C09"/>
    <w:rsid w:val="42C22B34"/>
    <w:rsid w:val="42C269D8"/>
    <w:rsid w:val="42C433F4"/>
    <w:rsid w:val="42E6571C"/>
    <w:rsid w:val="42F36A35"/>
    <w:rsid w:val="42F624A6"/>
    <w:rsid w:val="43124F15"/>
    <w:rsid w:val="43132F50"/>
    <w:rsid w:val="43297F3D"/>
    <w:rsid w:val="434C069A"/>
    <w:rsid w:val="43707565"/>
    <w:rsid w:val="43814E59"/>
    <w:rsid w:val="43BF2F1D"/>
    <w:rsid w:val="43CC24F9"/>
    <w:rsid w:val="43D60296"/>
    <w:rsid w:val="43DA723D"/>
    <w:rsid w:val="43EA6CA9"/>
    <w:rsid w:val="4412373D"/>
    <w:rsid w:val="441C40BA"/>
    <w:rsid w:val="445503D4"/>
    <w:rsid w:val="44575606"/>
    <w:rsid w:val="44846EF4"/>
    <w:rsid w:val="448B20BD"/>
    <w:rsid w:val="449667D9"/>
    <w:rsid w:val="44BB0670"/>
    <w:rsid w:val="44D00889"/>
    <w:rsid w:val="44D70EFE"/>
    <w:rsid w:val="44DB3186"/>
    <w:rsid w:val="44F11AA7"/>
    <w:rsid w:val="45271EFC"/>
    <w:rsid w:val="453146CD"/>
    <w:rsid w:val="45535650"/>
    <w:rsid w:val="455A36D4"/>
    <w:rsid w:val="45642733"/>
    <w:rsid w:val="456854C1"/>
    <w:rsid w:val="456D1461"/>
    <w:rsid w:val="45851C29"/>
    <w:rsid w:val="45880124"/>
    <w:rsid w:val="45A97F48"/>
    <w:rsid w:val="45FB5915"/>
    <w:rsid w:val="461D2D9C"/>
    <w:rsid w:val="462875A5"/>
    <w:rsid w:val="462E6C0B"/>
    <w:rsid w:val="468E2831"/>
    <w:rsid w:val="46955EA9"/>
    <w:rsid w:val="469E676A"/>
    <w:rsid w:val="46A401F3"/>
    <w:rsid w:val="46D21E0D"/>
    <w:rsid w:val="470044F7"/>
    <w:rsid w:val="4702235F"/>
    <w:rsid w:val="47074A07"/>
    <w:rsid w:val="47077F50"/>
    <w:rsid w:val="4750237F"/>
    <w:rsid w:val="475A0EB2"/>
    <w:rsid w:val="475B3E56"/>
    <w:rsid w:val="475E4BEA"/>
    <w:rsid w:val="47766E62"/>
    <w:rsid w:val="478D6840"/>
    <w:rsid w:val="479E21BE"/>
    <w:rsid w:val="47A32293"/>
    <w:rsid w:val="47AB5258"/>
    <w:rsid w:val="47B25FFC"/>
    <w:rsid w:val="47CB5980"/>
    <w:rsid w:val="47D72EBB"/>
    <w:rsid w:val="47E7569B"/>
    <w:rsid w:val="47F14B7F"/>
    <w:rsid w:val="48145B11"/>
    <w:rsid w:val="48541AB4"/>
    <w:rsid w:val="488739F0"/>
    <w:rsid w:val="489D3FD7"/>
    <w:rsid w:val="48AF30F8"/>
    <w:rsid w:val="48B35E3A"/>
    <w:rsid w:val="48BA78DE"/>
    <w:rsid w:val="48C2276C"/>
    <w:rsid w:val="48CA70FD"/>
    <w:rsid w:val="48CB5058"/>
    <w:rsid w:val="48CC2435"/>
    <w:rsid w:val="490D4C4F"/>
    <w:rsid w:val="49134474"/>
    <w:rsid w:val="494065BB"/>
    <w:rsid w:val="494824A6"/>
    <w:rsid w:val="499814CB"/>
    <w:rsid w:val="499C42E2"/>
    <w:rsid w:val="49C11DC8"/>
    <w:rsid w:val="49C24E8D"/>
    <w:rsid w:val="49FA026B"/>
    <w:rsid w:val="49FA3470"/>
    <w:rsid w:val="4A062529"/>
    <w:rsid w:val="4A092EEB"/>
    <w:rsid w:val="4A3F23A4"/>
    <w:rsid w:val="4A594DC7"/>
    <w:rsid w:val="4A596B7C"/>
    <w:rsid w:val="4A5E3A23"/>
    <w:rsid w:val="4A92373A"/>
    <w:rsid w:val="4A9471BB"/>
    <w:rsid w:val="4A9B3C4D"/>
    <w:rsid w:val="4AA043AA"/>
    <w:rsid w:val="4ABA51D3"/>
    <w:rsid w:val="4ABD1A49"/>
    <w:rsid w:val="4AD16E3D"/>
    <w:rsid w:val="4AF931B1"/>
    <w:rsid w:val="4AFC3933"/>
    <w:rsid w:val="4B17556D"/>
    <w:rsid w:val="4B1914B2"/>
    <w:rsid w:val="4B2C59F9"/>
    <w:rsid w:val="4B46248B"/>
    <w:rsid w:val="4B51159D"/>
    <w:rsid w:val="4B724254"/>
    <w:rsid w:val="4B804DBA"/>
    <w:rsid w:val="4B8D6483"/>
    <w:rsid w:val="4B994F91"/>
    <w:rsid w:val="4BA03B14"/>
    <w:rsid w:val="4BA63D80"/>
    <w:rsid w:val="4BA80D67"/>
    <w:rsid w:val="4BB46B5A"/>
    <w:rsid w:val="4BB677DA"/>
    <w:rsid w:val="4BBA51A4"/>
    <w:rsid w:val="4BBD33CE"/>
    <w:rsid w:val="4BC75233"/>
    <w:rsid w:val="4C5A7917"/>
    <w:rsid w:val="4C5B7BDE"/>
    <w:rsid w:val="4C6355B0"/>
    <w:rsid w:val="4C857C82"/>
    <w:rsid w:val="4C9B0C2F"/>
    <w:rsid w:val="4CAA6DEC"/>
    <w:rsid w:val="4CB37826"/>
    <w:rsid w:val="4CBB5870"/>
    <w:rsid w:val="4CC24C50"/>
    <w:rsid w:val="4D021AEB"/>
    <w:rsid w:val="4D0E12D1"/>
    <w:rsid w:val="4D291727"/>
    <w:rsid w:val="4D2A6786"/>
    <w:rsid w:val="4D365321"/>
    <w:rsid w:val="4D3913B2"/>
    <w:rsid w:val="4D566C80"/>
    <w:rsid w:val="4D681C3A"/>
    <w:rsid w:val="4D6E540A"/>
    <w:rsid w:val="4D976B7C"/>
    <w:rsid w:val="4DA27A1C"/>
    <w:rsid w:val="4DAA76F7"/>
    <w:rsid w:val="4DBE1C1A"/>
    <w:rsid w:val="4DE652ED"/>
    <w:rsid w:val="4DEF06D0"/>
    <w:rsid w:val="4DFF0486"/>
    <w:rsid w:val="4DFF3300"/>
    <w:rsid w:val="4E0C0B2F"/>
    <w:rsid w:val="4E1405C7"/>
    <w:rsid w:val="4E1D0257"/>
    <w:rsid w:val="4E397276"/>
    <w:rsid w:val="4EA15BFF"/>
    <w:rsid w:val="4EA53DCB"/>
    <w:rsid w:val="4EC877D1"/>
    <w:rsid w:val="4ED72506"/>
    <w:rsid w:val="4F203DE0"/>
    <w:rsid w:val="4F372F2D"/>
    <w:rsid w:val="4F4825FC"/>
    <w:rsid w:val="4F72431F"/>
    <w:rsid w:val="4F7941E6"/>
    <w:rsid w:val="4F7E3D22"/>
    <w:rsid w:val="4FA90FFB"/>
    <w:rsid w:val="4FB63C92"/>
    <w:rsid w:val="4FBE780A"/>
    <w:rsid w:val="4FF442B8"/>
    <w:rsid w:val="4FF74036"/>
    <w:rsid w:val="50155B19"/>
    <w:rsid w:val="5023371B"/>
    <w:rsid w:val="50250A3D"/>
    <w:rsid w:val="503A7D50"/>
    <w:rsid w:val="505173DF"/>
    <w:rsid w:val="50573EE0"/>
    <w:rsid w:val="50687EE1"/>
    <w:rsid w:val="507D4863"/>
    <w:rsid w:val="50825ABD"/>
    <w:rsid w:val="50847E24"/>
    <w:rsid w:val="508B2042"/>
    <w:rsid w:val="50A117D4"/>
    <w:rsid w:val="50DC48AF"/>
    <w:rsid w:val="50F1625A"/>
    <w:rsid w:val="5124215A"/>
    <w:rsid w:val="51320B4E"/>
    <w:rsid w:val="513F47ED"/>
    <w:rsid w:val="515B0BD9"/>
    <w:rsid w:val="515D7E45"/>
    <w:rsid w:val="517806BF"/>
    <w:rsid w:val="519B7926"/>
    <w:rsid w:val="51B15013"/>
    <w:rsid w:val="51E62428"/>
    <w:rsid w:val="51F04FD8"/>
    <w:rsid w:val="520E3310"/>
    <w:rsid w:val="52177C0F"/>
    <w:rsid w:val="52211FC4"/>
    <w:rsid w:val="5222697F"/>
    <w:rsid w:val="5253705D"/>
    <w:rsid w:val="52641C31"/>
    <w:rsid w:val="527375B5"/>
    <w:rsid w:val="527C558B"/>
    <w:rsid w:val="52BD5372"/>
    <w:rsid w:val="52C066E1"/>
    <w:rsid w:val="52D93B7C"/>
    <w:rsid w:val="52E0721B"/>
    <w:rsid w:val="52E51C8D"/>
    <w:rsid w:val="52E7467F"/>
    <w:rsid w:val="52F50027"/>
    <w:rsid w:val="530379C0"/>
    <w:rsid w:val="5318224A"/>
    <w:rsid w:val="531B5267"/>
    <w:rsid w:val="53211D72"/>
    <w:rsid w:val="53254D94"/>
    <w:rsid w:val="5334399F"/>
    <w:rsid w:val="533A3138"/>
    <w:rsid w:val="537D1372"/>
    <w:rsid w:val="53AD7C8F"/>
    <w:rsid w:val="53B762C6"/>
    <w:rsid w:val="53BB45BD"/>
    <w:rsid w:val="53D8574B"/>
    <w:rsid w:val="53E93774"/>
    <w:rsid w:val="53FE4378"/>
    <w:rsid w:val="53FF22C9"/>
    <w:rsid w:val="541146DE"/>
    <w:rsid w:val="54124691"/>
    <w:rsid w:val="54227209"/>
    <w:rsid w:val="542F6611"/>
    <w:rsid w:val="54311292"/>
    <w:rsid w:val="543D1288"/>
    <w:rsid w:val="54457447"/>
    <w:rsid w:val="544E4D2A"/>
    <w:rsid w:val="54747F77"/>
    <w:rsid w:val="548B4358"/>
    <w:rsid w:val="54A52B04"/>
    <w:rsid w:val="54BD3E01"/>
    <w:rsid w:val="54E53569"/>
    <w:rsid w:val="55061C05"/>
    <w:rsid w:val="550A1D0E"/>
    <w:rsid w:val="550D4C7E"/>
    <w:rsid w:val="5534034E"/>
    <w:rsid w:val="55361973"/>
    <w:rsid w:val="55826059"/>
    <w:rsid w:val="559C4EB4"/>
    <w:rsid w:val="559D39F6"/>
    <w:rsid w:val="55B577AC"/>
    <w:rsid w:val="55B840E3"/>
    <w:rsid w:val="55DB4169"/>
    <w:rsid w:val="55E42A54"/>
    <w:rsid w:val="55EA0851"/>
    <w:rsid w:val="55FB65C8"/>
    <w:rsid w:val="56021E2A"/>
    <w:rsid w:val="560A0CCC"/>
    <w:rsid w:val="560A7BA7"/>
    <w:rsid w:val="561E24B4"/>
    <w:rsid w:val="5624608C"/>
    <w:rsid w:val="564358DF"/>
    <w:rsid w:val="566762AF"/>
    <w:rsid w:val="567233E3"/>
    <w:rsid w:val="56794633"/>
    <w:rsid w:val="56813D12"/>
    <w:rsid w:val="56A35EB9"/>
    <w:rsid w:val="56B53234"/>
    <w:rsid w:val="56C07344"/>
    <w:rsid w:val="56D53EDE"/>
    <w:rsid w:val="56D54FFD"/>
    <w:rsid w:val="56FE0584"/>
    <w:rsid w:val="57070F3F"/>
    <w:rsid w:val="5738023E"/>
    <w:rsid w:val="573B17CB"/>
    <w:rsid w:val="573D4E87"/>
    <w:rsid w:val="57780164"/>
    <w:rsid w:val="577A4C43"/>
    <w:rsid w:val="5781514F"/>
    <w:rsid w:val="578D15B1"/>
    <w:rsid w:val="57A25E51"/>
    <w:rsid w:val="57A80A97"/>
    <w:rsid w:val="57C16AE7"/>
    <w:rsid w:val="57E45843"/>
    <w:rsid w:val="57F22874"/>
    <w:rsid w:val="57F77A99"/>
    <w:rsid w:val="58036FF1"/>
    <w:rsid w:val="580E26D8"/>
    <w:rsid w:val="581F31B7"/>
    <w:rsid w:val="58367EC4"/>
    <w:rsid w:val="585B2F03"/>
    <w:rsid w:val="58803767"/>
    <w:rsid w:val="58807951"/>
    <w:rsid w:val="58A9400E"/>
    <w:rsid w:val="58C53BF9"/>
    <w:rsid w:val="58DF4006"/>
    <w:rsid w:val="591724CF"/>
    <w:rsid w:val="591D14AE"/>
    <w:rsid w:val="591F64C4"/>
    <w:rsid w:val="59272B65"/>
    <w:rsid w:val="59284BD5"/>
    <w:rsid w:val="593016BD"/>
    <w:rsid w:val="59324F49"/>
    <w:rsid w:val="593928F1"/>
    <w:rsid w:val="593F07F8"/>
    <w:rsid w:val="596E2614"/>
    <w:rsid w:val="59847F15"/>
    <w:rsid w:val="59890768"/>
    <w:rsid w:val="59B30F36"/>
    <w:rsid w:val="59B66A5C"/>
    <w:rsid w:val="59E35308"/>
    <w:rsid w:val="5A151319"/>
    <w:rsid w:val="5A384853"/>
    <w:rsid w:val="5A567EF5"/>
    <w:rsid w:val="5A770A50"/>
    <w:rsid w:val="5A7E4921"/>
    <w:rsid w:val="5A8A3DB1"/>
    <w:rsid w:val="5A972372"/>
    <w:rsid w:val="5AA9184E"/>
    <w:rsid w:val="5AB23F52"/>
    <w:rsid w:val="5AD433FA"/>
    <w:rsid w:val="5AD9352C"/>
    <w:rsid w:val="5ADC5520"/>
    <w:rsid w:val="5AE31628"/>
    <w:rsid w:val="5AE80B9C"/>
    <w:rsid w:val="5B0C3AF9"/>
    <w:rsid w:val="5B1B7F7F"/>
    <w:rsid w:val="5B1F1202"/>
    <w:rsid w:val="5B3028BF"/>
    <w:rsid w:val="5B747B40"/>
    <w:rsid w:val="5B9135E6"/>
    <w:rsid w:val="5B976158"/>
    <w:rsid w:val="5BA3302A"/>
    <w:rsid w:val="5BC85BF2"/>
    <w:rsid w:val="5BD15CD7"/>
    <w:rsid w:val="5BD62506"/>
    <w:rsid w:val="5C281CBF"/>
    <w:rsid w:val="5C3277DB"/>
    <w:rsid w:val="5C375F97"/>
    <w:rsid w:val="5C3F2313"/>
    <w:rsid w:val="5C4736A1"/>
    <w:rsid w:val="5C7F704A"/>
    <w:rsid w:val="5C9E38DD"/>
    <w:rsid w:val="5CA659F6"/>
    <w:rsid w:val="5CC51228"/>
    <w:rsid w:val="5CD003EE"/>
    <w:rsid w:val="5CD502ED"/>
    <w:rsid w:val="5CDB0255"/>
    <w:rsid w:val="5CDB4E7D"/>
    <w:rsid w:val="5CED0783"/>
    <w:rsid w:val="5CF750B0"/>
    <w:rsid w:val="5D0040C4"/>
    <w:rsid w:val="5D05095E"/>
    <w:rsid w:val="5D1B5705"/>
    <w:rsid w:val="5D3868D0"/>
    <w:rsid w:val="5D3D5F84"/>
    <w:rsid w:val="5D3E03A7"/>
    <w:rsid w:val="5D464C29"/>
    <w:rsid w:val="5D476C64"/>
    <w:rsid w:val="5D72396D"/>
    <w:rsid w:val="5D771884"/>
    <w:rsid w:val="5D793CE0"/>
    <w:rsid w:val="5D82078A"/>
    <w:rsid w:val="5D9406D1"/>
    <w:rsid w:val="5D96394F"/>
    <w:rsid w:val="5DCC1CA1"/>
    <w:rsid w:val="5DF6043F"/>
    <w:rsid w:val="5DFE13F7"/>
    <w:rsid w:val="5E05039E"/>
    <w:rsid w:val="5E0A56D8"/>
    <w:rsid w:val="5E1E33A9"/>
    <w:rsid w:val="5E230800"/>
    <w:rsid w:val="5E271CE1"/>
    <w:rsid w:val="5E364141"/>
    <w:rsid w:val="5E3B3CA9"/>
    <w:rsid w:val="5E3F7DAD"/>
    <w:rsid w:val="5E4B58CC"/>
    <w:rsid w:val="5E53162C"/>
    <w:rsid w:val="5E53548E"/>
    <w:rsid w:val="5E5A6FD4"/>
    <w:rsid w:val="5E8377B9"/>
    <w:rsid w:val="5E9C1ACB"/>
    <w:rsid w:val="5EC1643C"/>
    <w:rsid w:val="5ECA75B8"/>
    <w:rsid w:val="5F095276"/>
    <w:rsid w:val="5F103D27"/>
    <w:rsid w:val="5F2F7AD8"/>
    <w:rsid w:val="5F3D0212"/>
    <w:rsid w:val="5F4D7E8D"/>
    <w:rsid w:val="5F88394B"/>
    <w:rsid w:val="5F8A6E4E"/>
    <w:rsid w:val="5F924DC1"/>
    <w:rsid w:val="5FA227CC"/>
    <w:rsid w:val="5FB95257"/>
    <w:rsid w:val="5FC664C8"/>
    <w:rsid w:val="5FC93F13"/>
    <w:rsid w:val="5FD93159"/>
    <w:rsid w:val="5FE837F5"/>
    <w:rsid w:val="5FEB1FCC"/>
    <w:rsid w:val="5FF6617D"/>
    <w:rsid w:val="5FFE2592"/>
    <w:rsid w:val="600F4284"/>
    <w:rsid w:val="603F0023"/>
    <w:rsid w:val="604134CD"/>
    <w:rsid w:val="604C0C43"/>
    <w:rsid w:val="605D42EA"/>
    <w:rsid w:val="608C5BFD"/>
    <w:rsid w:val="60A61E75"/>
    <w:rsid w:val="60A6637C"/>
    <w:rsid w:val="60BA6E4F"/>
    <w:rsid w:val="60BC2341"/>
    <w:rsid w:val="60DB75D3"/>
    <w:rsid w:val="60FE77FC"/>
    <w:rsid w:val="60FF5D94"/>
    <w:rsid w:val="61243ADB"/>
    <w:rsid w:val="615A7F35"/>
    <w:rsid w:val="618668C8"/>
    <w:rsid w:val="61A27EE7"/>
    <w:rsid w:val="61A84337"/>
    <w:rsid w:val="61AC22C2"/>
    <w:rsid w:val="61B13F9A"/>
    <w:rsid w:val="61BC05B0"/>
    <w:rsid w:val="61BF0745"/>
    <w:rsid w:val="61E115A5"/>
    <w:rsid w:val="62007B87"/>
    <w:rsid w:val="620361E5"/>
    <w:rsid w:val="62444D1E"/>
    <w:rsid w:val="625D260E"/>
    <w:rsid w:val="626211CB"/>
    <w:rsid w:val="626B4E79"/>
    <w:rsid w:val="627D15E7"/>
    <w:rsid w:val="62851CDD"/>
    <w:rsid w:val="62A71108"/>
    <w:rsid w:val="62B12EE3"/>
    <w:rsid w:val="62C872A0"/>
    <w:rsid w:val="62FA0886"/>
    <w:rsid w:val="632623AE"/>
    <w:rsid w:val="6334467B"/>
    <w:rsid w:val="634B6A33"/>
    <w:rsid w:val="63537050"/>
    <w:rsid w:val="635860FB"/>
    <w:rsid w:val="6366073D"/>
    <w:rsid w:val="637451BA"/>
    <w:rsid w:val="63856835"/>
    <w:rsid w:val="638C7095"/>
    <w:rsid w:val="63B1118B"/>
    <w:rsid w:val="64481CC9"/>
    <w:rsid w:val="645001CA"/>
    <w:rsid w:val="645A63E0"/>
    <w:rsid w:val="648264B3"/>
    <w:rsid w:val="649C0C41"/>
    <w:rsid w:val="64B74F47"/>
    <w:rsid w:val="64BE1CEE"/>
    <w:rsid w:val="64CA33E1"/>
    <w:rsid w:val="64D360F3"/>
    <w:rsid w:val="64EB5CA0"/>
    <w:rsid w:val="64F91C54"/>
    <w:rsid w:val="65031CD1"/>
    <w:rsid w:val="650352E9"/>
    <w:rsid w:val="65053E1E"/>
    <w:rsid w:val="65054FBD"/>
    <w:rsid w:val="650B73ED"/>
    <w:rsid w:val="65420171"/>
    <w:rsid w:val="65526949"/>
    <w:rsid w:val="65797519"/>
    <w:rsid w:val="65835D41"/>
    <w:rsid w:val="65BD50D4"/>
    <w:rsid w:val="65D5075D"/>
    <w:rsid w:val="65DD5452"/>
    <w:rsid w:val="65FC49E9"/>
    <w:rsid w:val="661704E7"/>
    <w:rsid w:val="661B69F5"/>
    <w:rsid w:val="66240CDA"/>
    <w:rsid w:val="662A0A38"/>
    <w:rsid w:val="662C4755"/>
    <w:rsid w:val="66486107"/>
    <w:rsid w:val="66494234"/>
    <w:rsid w:val="665011DF"/>
    <w:rsid w:val="66695C78"/>
    <w:rsid w:val="666E2F01"/>
    <w:rsid w:val="66785605"/>
    <w:rsid w:val="668318A7"/>
    <w:rsid w:val="6684029B"/>
    <w:rsid w:val="668C16E3"/>
    <w:rsid w:val="669A7F65"/>
    <w:rsid w:val="66A65502"/>
    <w:rsid w:val="66AB1F18"/>
    <w:rsid w:val="66B2251C"/>
    <w:rsid w:val="66B353FF"/>
    <w:rsid w:val="66B35A7A"/>
    <w:rsid w:val="66C815ED"/>
    <w:rsid w:val="66D76328"/>
    <w:rsid w:val="66DA3D3C"/>
    <w:rsid w:val="66DC180B"/>
    <w:rsid w:val="66E50D0E"/>
    <w:rsid w:val="66EC2A81"/>
    <w:rsid w:val="66F0645A"/>
    <w:rsid w:val="66F82670"/>
    <w:rsid w:val="67247A5C"/>
    <w:rsid w:val="672B1A53"/>
    <w:rsid w:val="67427C8E"/>
    <w:rsid w:val="67C30AB2"/>
    <w:rsid w:val="67E4117A"/>
    <w:rsid w:val="67E75E72"/>
    <w:rsid w:val="680C0D40"/>
    <w:rsid w:val="682A4B88"/>
    <w:rsid w:val="682F10B1"/>
    <w:rsid w:val="682F5D03"/>
    <w:rsid w:val="683819C4"/>
    <w:rsid w:val="68946DA9"/>
    <w:rsid w:val="68A42409"/>
    <w:rsid w:val="68A62796"/>
    <w:rsid w:val="68E77426"/>
    <w:rsid w:val="690909C7"/>
    <w:rsid w:val="690D5ADF"/>
    <w:rsid w:val="691C697F"/>
    <w:rsid w:val="692D497F"/>
    <w:rsid w:val="693A0334"/>
    <w:rsid w:val="69563B27"/>
    <w:rsid w:val="69567D99"/>
    <w:rsid w:val="69674BBF"/>
    <w:rsid w:val="69836008"/>
    <w:rsid w:val="69841C93"/>
    <w:rsid w:val="69892653"/>
    <w:rsid w:val="69945335"/>
    <w:rsid w:val="69C27024"/>
    <w:rsid w:val="69CC7479"/>
    <w:rsid w:val="69CF5080"/>
    <w:rsid w:val="69E43C45"/>
    <w:rsid w:val="69EB1A1A"/>
    <w:rsid w:val="69F5715D"/>
    <w:rsid w:val="6A270136"/>
    <w:rsid w:val="6A346DB0"/>
    <w:rsid w:val="6A5128E7"/>
    <w:rsid w:val="6A555782"/>
    <w:rsid w:val="6A617017"/>
    <w:rsid w:val="6A62085F"/>
    <w:rsid w:val="6A6D17E9"/>
    <w:rsid w:val="6A7F68EE"/>
    <w:rsid w:val="6A832F5C"/>
    <w:rsid w:val="6A897109"/>
    <w:rsid w:val="6A8E6B03"/>
    <w:rsid w:val="6A9017D1"/>
    <w:rsid w:val="6A9F20FF"/>
    <w:rsid w:val="6AAD7CD0"/>
    <w:rsid w:val="6AC04C83"/>
    <w:rsid w:val="6AC255E7"/>
    <w:rsid w:val="6ADE2B64"/>
    <w:rsid w:val="6AEF0C5E"/>
    <w:rsid w:val="6B08446F"/>
    <w:rsid w:val="6B2270C3"/>
    <w:rsid w:val="6B31046B"/>
    <w:rsid w:val="6B3A79C8"/>
    <w:rsid w:val="6B400911"/>
    <w:rsid w:val="6B41632D"/>
    <w:rsid w:val="6B4C4CA6"/>
    <w:rsid w:val="6B4F2CA1"/>
    <w:rsid w:val="6B612D07"/>
    <w:rsid w:val="6B6B40D8"/>
    <w:rsid w:val="6B9E7741"/>
    <w:rsid w:val="6BA0669E"/>
    <w:rsid w:val="6BC16A63"/>
    <w:rsid w:val="6BCB6198"/>
    <w:rsid w:val="6BCC12CB"/>
    <w:rsid w:val="6BD865A2"/>
    <w:rsid w:val="6BE31CE9"/>
    <w:rsid w:val="6BF77DC1"/>
    <w:rsid w:val="6C0C36AA"/>
    <w:rsid w:val="6C1908AC"/>
    <w:rsid w:val="6C2D5854"/>
    <w:rsid w:val="6C696408"/>
    <w:rsid w:val="6C6D2D0D"/>
    <w:rsid w:val="6C7453DE"/>
    <w:rsid w:val="6C855301"/>
    <w:rsid w:val="6CA026F1"/>
    <w:rsid w:val="6CBC13F4"/>
    <w:rsid w:val="6CD25BDE"/>
    <w:rsid w:val="6D014DE6"/>
    <w:rsid w:val="6D016666"/>
    <w:rsid w:val="6D1F041D"/>
    <w:rsid w:val="6D4C79DE"/>
    <w:rsid w:val="6D5D2EA7"/>
    <w:rsid w:val="6D8650A8"/>
    <w:rsid w:val="6D9D054D"/>
    <w:rsid w:val="6DA97C2D"/>
    <w:rsid w:val="6DB036E0"/>
    <w:rsid w:val="6DF10C7C"/>
    <w:rsid w:val="6DF767A3"/>
    <w:rsid w:val="6E000787"/>
    <w:rsid w:val="6E091096"/>
    <w:rsid w:val="6E4352D1"/>
    <w:rsid w:val="6E55391B"/>
    <w:rsid w:val="6E68594D"/>
    <w:rsid w:val="6E737441"/>
    <w:rsid w:val="6EA47D63"/>
    <w:rsid w:val="6EBC030F"/>
    <w:rsid w:val="6EE71652"/>
    <w:rsid w:val="6EE7690C"/>
    <w:rsid w:val="6F221BDF"/>
    <w:rsid w:val="6F2F55F5"/>
    <w:rsid w:val="6F64004E"/>
    <w:rsid w:val="6F6D549F"/>
    <w:rsid w:val="6F833ED3"/>
    <w:rsid w:val="6F9A06A0"/>
    <w:rsid w:val="6FB27F32"/>
    <w:rsid w:val="6FE31E38"/>
    <w:rsid w:val="6FF806A1"/>
    <w:rsid w:val="700B69B6"/>
    <w:rsid w:val="70165542"/>
    <w:rsid w:val="7016717C"/>
    <w:rsid w:val="701F46BD"/>
    <w:rsid w:val="70347A30"/>
    <w:rsid w:val="704F6C8A"/>
    <w:rsid w:val="70512CBB"/>
    <w:rsid w:val="706F7AF1"/>
    <w:rsid w:val="7073649E"/>
    <w:rsid w:val="708B1E74"/>
    <w:rsid w:val="70997EB1"/>
    <w:rsid w:val="709E7998"/>
    <w:rsid w:val="70B7737C"/>
    <w:rsid w:val="70C61C53"/>
    <w:rsid w:val="70D06298"/>
    <w:rsid w:val="70D154FC"/>
    <w:rsid w:val="70D37054"/>
    <w:rsid w:val="70EF1E06"/>
    <w:rsid w:val="70F03E32"/>
    <w:rsid w:val="70F41DF3"/>
    <w:rsid w:val="70F43C20"/>
    <w:rsid w:val="70FD6B31"/>
    <w:rsid w:val="70FE4B3B"/>
    <w:rsid w:val="71263532"/>
    <w:rsid w:val="713904F5"/>
    <w:rsid w:val="714B12EA"/>
    <w:rsid w:val="716554F5"/>
    <w:rsid w:val="71DF5A6C"/>
    <w:rsid w:val="71EE6E25"/>
    <w:rsid w:val="71FC599A"/>
    <w:rsid w:val="72085F0E"/>
    <w:rsid w:val="721943A1"/>
    <w:rsid w:val="723C7C02"/>
    <w:rsid w:val="7248108B"/>
    <w:rsid w:val="724A05E8"/>
    <w:rsid w:val="724D54DA"/>
    <w:rsid w:val="726D2B99"/>
    <w:rsid w:val="72811853"/>
    <w:rsid w:val="729C3ADB"/>
    <w:rsid w:val="729C5E28"/>
    <w:rsid w:val="72BC0523"/>
    <w:rsid w:val="72BD5E94"/>
    <w:rsid w:val="72D37019"/>
    <w:rsid w:val="72F64228"/>
    <w:rsid w:val="73112B0E"/>
    <w:rsid w:val="733878DB"/>
    <w:rsid w:val="733F0605"/>
    <w:rsid w:val="7342058C"/>
    <w:rsid w:val="73580214"/>
    <w:rsid w:val="73735CE2"/>
    <w:rsid w:val="738730CC"/>
    <w:rsid w:val="738C1DEC"/>
    <w:rsid w:val="73905898"/>
    <w:rsid w:val="73B2346F"/>
    <w:rsid w:val="73C05842"/>
    <w:rsid w:val="73CD5085"/>
    <w:rsid w:val="73D253C5"/>
    <w:rsid w:val="73D9728E"/>
    <w:rsid w:val="73FD0B65"/>
    <w:rsid w:val="73FE6354"/>
    <w:rsid w:val="74045F5B"/>
    <w:rsid w:val="741065A6"/>
    <w:rsid w:val="74261C2A"/>
    <w:rsid w:val="743E4FDA"/>
    <w:rsid w:val="74454306"/>
    <w:rsid w:val="745312BB"/>
    <w:rsid w:val="745D14B7"/>
    <w:rsid w:val="74610E04"/>
    <w:rsid w:val="74824798"/>
    <w:rsid w:val="74A7265D"/>
    <w:rsid w:val="74AE7EC3"/>
    <w:rsid w:val="74BE1A94"/>
    <w:rsid w:val="74F536B8"/>
    <w:rsid w:val="74F61B22"/>
    <w:rsid w:val="7502185A"/>
    <w:rsid w:val="75042CB0"/>
    <w:rsid w:val="751F5A9C"/>
    <w:rsid w:val="75325F01"/>
    <w:rsid w:val="7553092D"/>
    <w:rsid w:val="755B7EA8"/>
    <w:rsid w:val="7595642F"/>
    <w:rsid w:val="75C07742"/>
    <w:rsid w:val="75CD5B0E"/>
    <w:rsid w:val="75F730E2"/>
    <w:rsid w:val="76075D1D"/>
    <w:rsid w:val="762B6B2F"/>
    <w:rsid w:val="76367614"/>
    <w:rsid w:val="763F7F9F"/>
    <w:rsid w:val="76427ADC"/>
    <w:rsid w:val="76495049"/>
    <w:rsid w:val="76511A2A"/>
    <w:rsid w:val="76680E2B"/>
    <w:rsid w:val="767239E5"/>
    <w:rsid w:val="767637F9"/>
    <w:rsid w:val="769F52A1"/>
    <w:rsid w:val="76AA20E5"/>
    <w:rsid w:val="76B37D2C"/>
    <w:rsid w:val="76EE55AC"/>
    <w:rsid w:val="76F0723C"/>
    <w:rsid w:val="76F220C7"/>
    <w:rsid w:val="77033E66"/>
    <w:rsid w:val="772671D2"/>
    <w:rsid w:val="77286DDB"/>
    <w:rsid w:val="77405661"/>
    <w:rsid w:val="77440E21"/>
    <w:rsid w:val="77746DB1"/>
    <w:rsid w:val="778945D8"/>
    <w:rsid w:val="77912C80"/>
    <w:rsid w:val="779F79D2"/>
    <w:rsid w:val="77A25E58"/>
    <w:rsid w:val="77AE4C12"/>
    <w:rsid w:val="780139E8"/>
    <w:rsid w:val="78121F2E"/>
    <w:rsid w:val="78265BB8"/>
    <w:rsid w:val="78344EE6"/>
    <w:rsid w:val="783A61D4"/>
    <w:rsid w:val="7844255D"/>
    <w:rsid w:val="78444A87"/>
    <w:rsid w:val="784721A0"/>
    <w:rsid w:val="785E0E06"/>
    <w:rsid w:val="78696411"/>
    <w:rsid w:val="7883255F"/>
    <w:rsid w:val="7885742D"/>
    <w:rsid w:val="78866106"/>
    <w:rsid w:val="78915E65"/>
    <w:rsid w:val="78972FCD"/>
    <w:rsid w:val="78AC6981"/>
    <w:rsid w:val="78B16E23"/>
    <w:rsid w:val="78B54A54"/>
    <w:rsid w:val="78C920C8"/>
    <w:rsid w:val="78CB24D8"/>
    <w:rsid w:val="78CB4BD8"/>
    <w:rsid w:val="78D34F4C"/>
    <w:rsid w:val="78D90277"/>
    <w:rsid w:val="78E215F4"/>
    <w:rsid w:val="78F66B43"/>
    <w:rsid w:val="79037684"/>
    <w:rsid w:val="7907149F"/>
    <w:rsid w:val="792E5ADB"/>
    <w:rsid w:val="793A736F"/>
    <w:rsid w:val="79484259"/>
    <w:rsid w:val="795A6E1D"/>
    <w:rsid w:val="79630533"/>
    <w:rsid w:val="7972680A"/>
    <w:rsid w:val="79795E1A"/>
    <w:rsid w:val="799F4D83"/>
    <w:rsid w:val="79B35723"/>
    <w:rsid w:val="79BF0825"/>
    <w:rsid w:val="7A030083"/>
    <w:rsid w:val="7A3352C5"/>
    <w:rsid w:val="7A3D27CB"/>
    <w:rsid w:val="7A435623"/>
    <w:rsid w:val="7A496ADC"/>
    <w:rsid w:val="7A5A4664"/>
    <w:rsid w:val="7A5C08CD"/>
    <w:rsid w:val="7A616204"/>
    <w:rsid w:val="7A840D5E"/>
    <w:rsid w:val="7A981DCF"/>
    <w:rsid w:val="7A990E28"/>
    <w:rsid w:val="7AAD422E"/>
    <w:rsid w:val="7AEB472F"/>
    <w:rsid w:val="7AF00FBF"/>
    <w:rsid w:val="7B036CB8"/>
    <w:rsid w:val="7B0D6371"/>
    <w:rsid w:val="7B425546"/>
    <w:rsid w:val="7B5E2D46"/>
    <w:rsid w:val="7B62387C"/>
    <w:rsid w:val="7B631AB3"/>
    <w:rsid w:val="7B715A61"/>
    <w:rsid w:val="7B7C01F3"/>
    <w:rsid w:val="7B8E0777"/>
    <w:rsid w:val="7B9A1458"/>
    <w:rsid w:val="7BB0072A"/>
    <w:rsid w:val="7BC71E77"/>
    <w:rsid w:val="7BF662EE"/>
    <w:rsid w:val="7BF7021D"/>
    <w:rsid w:val="7BFE143E"/>
    <w:rsid w:val="7BFF1548"/>
    <w:rsid w:val="7C0F05A7"/>
    <w:rsid w:val="7C16565F"/>
    <w:rsid w:val="7C2E610C"/>
    <w:rsid w:val="7C536936"/>
    <w:rsid w:val="7C585E3C"/>
    <w:rsid w:val="7C816FEB"/>
    <w:rsid w:val="7CBB532E"/>
    <w:rsid w:val="7CE945FD"/>
    <w:rsid w:val="7CF01E50"/>
    <w:rsid w:val="7D0E7EB8"/>
    <w:rsid w:val="7D254BDC"/>
    <w:rsid w:val="7D2D083F"/>
    <w:rsid w:val="7D703797"/>
    <w:rsid w:val="7D783084"/>
    <w:rsid w:val="7D7C1DCA"/>
    <w:rsid w:val="7D7D0F19"/>
    <w:rsid w:val="7D7F4BE5"/>
    <w:rsid w:val="7D814D3F"/>
    <w:rsid w:val="7D90280C"/>
    <w:rsid w:val="7D9163DF"/>
    <w:rsid w:val="7D9D3F82"/>
    <w:rsid w:val="7DAD2EB0"/>
    <w:rsid w:val="7DAF0FF3"/>
    <w:rsid w:val="7DD11077"/>
    <w:rsid w:val="7DF7205D"/>
    <w:rsid w:val="7E291EEA"/>
    <w:rsid w:val="7E307384"/>
    <w:rsid w:val="7E5068C1"/>
    <w:rsid w:val="7E57474F"/>
    <w:rsid w:val="7E597CD7"/>
    <w:rsid w:val="7E5A355A"/>
    <w:rsid w:val="7E783B8E"/>
    <w:rsid w:val="7E914CB0"/>
    <w:rsid w:val="7EB0558F"/>
    <w:rsid w:val="7EF62377"/>
    <w:rsid w:val="7EF96EB6"/>
    <w:rsid w:val="7EFF54A2"/>
    <w:rsid w:val="7F0A2079"/>
    <w:rsid w:val="7F1B49D7"/>
    <w:rsid w:val="7F2002CB"/>
    <w:rsid w:val="7F377547"/>
    <w:rsid w:val="7F3D15CE"/>
    <w:rsid w:val="7F4A43D7"/>
    <w:rsid w:val="7F694513"/>
    <w:rsid w:val="7F765689"/>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2">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5"/>
    <w:link w:val="5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8"/>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0"/>
    <w:qFormat/>
    <w:uiPriority w:val="0"/>
    <w:rPr>
      <w:rFonts w:ascii="宋体"/>
      <w:sz w:val="18"/>
      <w:szCs w:val="18"/>
    </w:rPr>
  </w:style>
  <w:style w:type="paragraph" w:styleId="7">
    <w:name w:val="annotation text"/>
    <w:basedOn w:val="1"/>
    <w:link w:val="31"/>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7"/>
    <w:qFormat/>
    <w:uiPriority w:val="0"/>
    <w:pPr>
      <w:spacing w:after="120"/>
      <w:ind w:left="420" w:leftChars="200"/>
    </w:pPr>
  </w:style>
  <w:style w:type="paragraph" w:styleId="10">
    <w:name w:val="toc 3"/>
    <w:basedOn w:val="1"/>
    <w:next w:val="1"/>
    <w:link w:val="34"/>
    <w:qFormat/>
    <w:uiPriority w:val="39"/>
    <w:pPr>
      <w:spacing w:line="500" w:lineRule="exact"/>
      <w:ind w:left="400" w:leftChars="400"/>
    </w:pPr>
    <w:rPr>
      <w:kern w:val="0"/>
      <w:sz w:val="24"/>
      <w:szCs w:val="20"/>
    </w:rPr>
  </w:style>
  <w:style w:type="paragraph" w:styleId="11">
    <w:name w:val="Plain Text"/>
    <w:basedOn w:val="1"/>
    <w:link w:val="35"/>
    <w:qFormat/>
    <w:uiPriority w:val="0"/>
    <w:rPr>
      <w:rFonts w:ascii="宋体" w:hAnsi="Courier New"/>
      <w:szCs w:val="20"/>
    </w:rPr>
  </w:style>
  <w:style w:type="paragraph" w:styleId="12">
    <w:name w:val="Date"/>
    <w:basedOn w:val="1"/>
    <w:next w:val="1"/>
    <w:link w:val="39"/>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character" w:customStyle="1" w:styleId="30">
    <w:name w:val="文档结构图 字符"/>
    <w:link w:val="6"/>
    <w:qFormat/>
    <w:uiPriority w:val="0"/>
    <w:rPr>
      <w:rFonts w:ascii="宋体" w:eastAsia="宋体"/>
      <w:kern w:val="2"/>
      <w:sz w:val="18"/>
      <w:szCs w:val="18"/>
      <w:lang w:val="en-US" w:eastAsia="zh-CN" w:bidi="ar-SA"/>
    </w:rPr>
  </w:style>
  <w:style w:type="character" w:customStyle="1" w:styleId="31">
    <w:name w:val="批注文字 字符"/>
    <w:link w:val="7"/>
    <w:qFormat/>
    <w:uiPriority w:val="99"/>
    <w:rPr>
      <w:rFonts w:ascii="仿宋_GB2312" w:eastAsia="仿宋_GB2312"/>
      <w:kern w:val="2"/>
      <w:sz w:val="32"/>
      <w:szCs w:val="32"/>
    </w:rPr>
  </w:style>
  <w:style w:type="character" w:customStyle="1" w:styleId="32">
    <w:name w:val="样式（正文） Char"/>
    <w:link w:val="33"/>
    <w:qFormat/>
    <w:locked/>
    <w:uiPriority w:val="0"/>
    <w:rPr>
      <w:rFonts w:ascii="宋体" w:hAnsi="宋体" w:eastAsia="宋体"/>
      <w:kern w:val="2"/>
      <w:sz w:val="24"/>
      <w:szCs w:val="22"/>
      <w:lang w:bidi="ar-SA"/>
    </w:rPr>
  </w:style>
  <w:style w:type="paragraph" w:customStyle="1" w:styleId="33">
    <w:name w:val="样式（正文）"/>
    <w:basedOn w:val="1"/>
    <w:link w:val="32"/>
    <w:qFormat/>
    <w:uiPriority w:val="0"/>
    <w:pPr>
      <w:spacing w:line="360" w:lineRule="auto"/>
      <w:ind w:firstLine="200" w:firstLineChars="200"/>
    </w:pPr>
    <w:rPr>
      <w:rFonts w:ascii="宋体" w:hAnsi="宋体"/>
      <w:sz w:val="24"/>
      <w:szCs w:val="22"/>
    </w:rPr>
  </w:style>
  <w:style w:type="character" w:customStyle="1" w:styleId="34">
    <w:name w:val="目录 3 字符"/>
    <w:link w:val="10"/>
    <w:qFormat/>
    <w:uiPriority w:val="39"/>
    <w:rPr>
      <w:sz w:val="24"/>
    </w:rPr>
  </w:style>
  <w:style w:type="character" w:customStyle="1" w:styleId="35">
    <w:name w:val="纯文本 字符"/>
    <w:link w:val="11"/>
    <w:qFormat/>
    <w:uiPriority w:val="0"/>
    <w:rPr>
      <w:rFonts w:ascii="宋体" w:hAnsi="Courier New"/>
      <w:kern w:val="2"/>
      <w:sz w:val="21"/>
    </w:rPr>
  </w:style>
  <w:style w:type="character" w:customStyle="1" w:styleId="36">
    <w:name w:val="页脚 字符"/>
    <w:basedOn w:val="24"/>
    <w:link w:val="15"/>
    <w:qFormat/>
    <w:uiPriority w:val="99"/>
    <w:rPr>
      <w:kern w:val="2"/>
      <w:sz w:val="18"/>
      <w:szCs w:val="18"/>
    </w:rPr>
  </w:style>
  <w:style w:type="character" w:customStyle="1" w:styleId="37">
    <w:name w:val="正文文本缩进 字符"/>
    <w:link w:val="9"/>
    <w:qFormat/>
    <w:uiPriority w:val="0"/>
  </w:style>
  <w:style w:type="character" w:customStyle="1" w:styleId="38">
    <w:name w:val="正文缩进 字符"/>
    <w:link w:val="5"/>
    <w:qFormat/>
    <w:uiPriority w:val="0"/>
    <w:rPr>
      <w:rFonts w:ascii="宋体" w:eastAsia="宋体"/>
      <w:sz w:val="24"/>
      <w:lang w:val="en-US" w:eastAsia="zh-CN" w:bidi="ar-SA"/>
    </w:rPr>
  </w:style>
  <w:style w:type="character" w:customStyle="1" w:styleId="39">
    <w:name w:val="日期 字符"/>
    <w:basedOn w:val="24"/>
    <w:link w:val="12"/>
    <w:qFormat/>
    <w:uiPriority w:val="0"/>
    <w:rPr>
      <w:kern w:val="2"/>
      <w:sz w:val="21"/>
      <w:szCs w:val="24"/>
    </w:rPr>
  </w:style>
  <w:style w:type="paragraph" w:customStyle="1" w:styleId="40">
    <w:name w:val="Char Char1"/>
    <w:basedOn w:val="1"/>
    <w:qFormat/>
    <w:uiPriority w:val="0"/>
  </w:style>
  <w:style w:type="paragraph" w:customStyle="1" w:styleId="41">
    <w:name w:val="p0"/>
    <w:basedOn w:val="1"/>
    <w:qFormat/>
    <w:uiPriority w:val="0"/>
    <w:pPr>
      <w:widowControl/>
      <w:snapToGrid w:val="0"/>
      <w:spacing w:after="200"/>
      <w:jc w:val="left"/>
    </w:pPr>
    <w:rPr>
      <w:rFonts w:ascii="Tahoma" w:hAnsi="Tahoma" w:cs="Tahoma"/>
      <w:kern w:val="0"/>
      <w:sz w:val="22"/>
      <w:szCs w:val="22"/>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Char1"/>
    <w:basedOn w:val="1"/>
    <w:qFormat/>
    <w:uiPriority w:val="0"/>
    <w:rPr>
      <w:rFonts w:ascii="Tahoma" w:hAnsi="Tahoma"/>
      <w:sz w:val="24"/>
      <w:szCs w:val="20"/>
    </w:rPr>
  </w:style>
  <w:style w:type="paragraph" w:customStyle="1" w:styleId="44">
    <w:name w:val="Char"/>
    <w:basedOn w:val="1"/>
    <w:qFormat/>
    <w:uiPriority w:val="0"/>
    <w:pPr>
      <w:tabs>
        <w:tab w:val="left" w:pos="432"/>
      </w:tabs>
      <w:spacing w:beforeLines="50" w:afterLines="50"/>
      <w:ind w:left="864" w:hanging="432"/>
    </w:pPr>
    <w:rPr>
      <w:sz w:val="24"/>
    </w:rPr>
  </w:style>
  <w:style w:type="paragraph" w:customStyle="1" w:styleId="45">
    <w:name w:val="样式 标题 2 + 段后: 156 磅"/>
    <w:basedOn w:val="2"/>
    <w:qFormat/>
    <w:uiPriority w:val="0"/>
    <w:pPr>
      <w:spacing w:before="100" w:after="100" w:line="240" w:lineRule="auto"/>
    </w:pPr>
    <w:rPr>
      <w:rFonts w:cs="宋体"/>
      <w:bCs/>
      <w:sz w:val="30"/>
    </w:rPr>
  </w:style>
  <w:style w:type="paragraph" w:customStyle="1" w:styleId="46">
    <w:name w:val="Char Char11"/>
    <w:basedOn w:val="1"/>
    <w:qFormat/>
    <w:uiPriority w:val="0"/>
    <w:rPr>
      <w:szCs w:val="20"/>
    </w:rPr>
  </w:style>
  <w:style w:type="paragraph" w:customStyle="1" w:styleId="47">
    <w:name w:val="样式1"/>
    <w:basedOn w:val="4"/>
    <w:qFormat/>
    <w:uiPriority w:val="0"/>
    <w:pPr>
      <w:jc w:val="center"/>
    </w:pPr>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Char11"/>
    <w:basedOn w:val="1"/>
    <w:qFormat/>
    <w:uiPriority w:val="0"/>
    <w:rPr>
      <w:rFonts w:ascii="Tahoma" w:hAnsi="Tahoma"/>
      <w:sz w:val="24"/>
      <w:szCs w:val="20"/>
    </w:rPr>
  </w:style>
  <w:style w:type="paragraph" w:customStyle="1" w:styleId="50">
    <w:name w:val="Char2"/>
    <w:basedOn w:val="1"/>
    <w:next w:val="1"/>
    <w:qFormat/>
    <w:uiPriority w:val="0"/>
    <w:pPr>
      <w:widowControl/>
      <w:spacing w:line="360" w:lineRule="auto"/>
      <w:jc w:val="left"/>
    </w:pPr>
    <w:rPr>
      <w:kern w:val="0"/>
      <w:szCs w:val="20"/>
      <w:lang w:eastAsia="en-US"/>
    </w:rPr>
  </w:style>
  <w:style w:type="paragraph" w:customStyle="1" w:styleId="51">
    <w:name w:val="表文"/>
    <w:basedOn w:val="1"/>
    <w:qFormat/>
    <w:uiPriority w:val="0"/>
    <w:rPr>
      <w:rFonts w:ascii="宋体" w:hAnsi="宋体" w:cs="宋体"/>
      <w:color w:val="000000"/>
      <w:kern w:val="0"/>
      <w:szCs w:val="21"/>
    </w:rPr>
  </w:style>
  <w:style w:type="paragraph" w:customStyle="1" w:styleId="5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Char1"/>
    <w:basedOn w:val="24"/>
    <w:semiHidden/>
    <w:qFormat/>
    <w:uiPriority w:val="99"/>
    <w:rPr>
      <w:rFonts w:ascii="Times New Roman" w:hAnsi="Times New Roman" w:eastAsia="宋体" w:cs="Times New Roman"/>
      <w:szCs w:val="24"/>
    </w:rPr>
  </w:style>
  <w:style w:type="paragraph" w:styleId="54">
    <w:name w:val="List Paragraph"/>
    <w:basedOn w:val="1"/>
    <w:qFormat/>
    <w:uiPriority w:val="99"/>
    <w:pPr>
      <w:ind w:firstLine="420" w:firstLineChars="200"/>
    </w:pPr>
  </w:style>
  <w:style w:type="character" w:customStyle="1" w:styleId="55">
    <w:name w:val="标题 3 字符"/>
    <w:basedOn w:val="24"/>
    <w:link w:val="4"/>
    <w:qFormat/>
    <w:uiPriority w:val="0"/>
    <w:rPr>
      <w:rFonts w:ascii="宋体"/>
      <w:b/>
      <w:sz w:val="24"/>
    </w:rPr>
  </w:style>
  <w:style w:type="paragraph" w:customStyle="1" w:styleId="56">
    <w:name w:val="表格样式 2 A"/>
    <w:qFormat/>
    <w:uiPriority w:val="0"/>
    <w:rPr>
      <w:rFonts w:hint="eastAsia" w:ascii="Arial Unicode MS" w:hAnsi="Arial Unicode MS" w:eastAsia="Helvetica" w:cs="Arial Unicode MS"/>
      <w:color w:val="000000"/>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19190</Words>
  <Characters>21077</Characters>
  <Lines>208</Lines>
  <Paragraphs>58</Paragraphs>
  <TotalTime>26</TotalTime>
  <ScaleCrop>false</ScaleCrop>
  <LinksUpToDate>false</LinksUpToDate>
  <CharactersWithSpaces>23946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2021-10-14T07:50:36Z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1D760FD6382044FDBAC07D89872DF9E6</vt:lpwstr>
  </property>
</Properties>
</file>