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92149B">
      <w:pPr>
        <w:pStyle w:val="4"/>
        <w:rPr>
          <w:rFonts w:ascii="宋体" w:hAnsi="宋体" w:cs="宋体"/>
          <w:color w:val="000000"/>
          <w:highlight w:val="none"/>
        </w:rPr>
      </w:pPr>
      <w:bookmarkStart w:id="0" w:name="_Toc15203"/>
      <w:bookmarkStart w:id="1" w:name="_Toc17535"/>
      <w:bookmarkStart w:id="2" w:name="_Toc18076"/>
      <w:r>
        <w:rPr>
          <w:rFonts w:hint="eastAsia" w:ascii="宋体" w:hAnsi="宋体" w:cs="宋体"/>
          <w:color w:val="000000"/>
          <w:highlight w:val="none"/>
        </w:rPr>
        <w:t>第三章</w:t>
      </w:r>
      <w:r>
        <w:rPr>
          <w:rFonts w:hint="eastAsia" w:ascii="宋体" w:hAnsi="宋体" w:cs="宋体"/>
          <w:color w:val="000000"/>
          <w:highlight w:val="non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highlight w:val="none"/>
        </w:rPr>
        <w:t xml:space="preserve"> </w:t>
      </w:r>
      <w:r>
        <w:rPr>
          <w:rFonts w:hint="eastAsia" w:ascii="宋体" w:hAnsi="宋体" w:cs="宋体"/>
          <w:color w:val="000000"/>
          <w:highlight w:val="none"/>
          <w:lang w:val="en-US" w:eastAsia="zh-CN"/>
        </w:rPr>
        <w:t xml:space="preserve"> 货物</w:t>
      </w:r>
      <w:r>
        <w:rPr>
          <w:rFonts w:hint="eastAsia" w:ascii="宋体" w:hAnsi="宋体" w:cs="宋体"/>
          <w:color w:val="000000"/>
          <w:highlight w:val="none"/>
        </w:rPr>
        <w:t>需求及</w:t>
      </w:r>
      <w:r>
        <w:rPr>
          <w:rFonts w:hint="eastAsia" w:ascii="宋体" w:hAnsi="宋体" w:cs="宋体"/>
          <w:color w:val="000000"/>
          <w:highlight w:val="none"/>
          <w:lang w:val="en-US" w:eastAsia="zh-CN"/>
        </w:rPr>
        <w:t>技术</w:t>
      </w:r>
      <w:r>
        <w:rPr>
          <w:rFonts w:hint="eastAsia" w:ascii="宋体" w:hAnsi="宋体" w:cs="宋体"/>
          <w:color w:val="000000"/>
          <w:highlight w:val="none"/>
        </w:rPr>
        <w:t>要求</w:t>
      </w:r>
      <w:bookmarkEnd w:id="0"/>
      <w:bookmarkEnd w:id="1"/>
      <w:bookmarkEnd w:id="2"/>
    </w:p>
    <w:p w14:paraId="37A6FA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2" w:firstLineChars="200"/>
        <w:textAlignment w:val="auto"/>
        <w:rPr>
          <w:rFonts w:hint="eastAsia"/>
          <w:b/>
          <w:bCs/>
          <w:sz w:val="21"/>
          <w:szCs w:val="21"/>
        </w:rPr>
      </w:pPr>
      <w:r>
        <w:rPr>
          <w:rFonts w:hint="eastAsia"/>
          <w:b/>
          <w:bCs/>
          <w:sz w:val="21"/>
          <w:szCs w:val="21"/>
        </w:rPr>
        <w:t>为鼓励不同品牌的充分竞争，如某设备的某技术参数或要求属于个别品牌专有，则该技术参数及要求不具有限制性，</w:t>
      </w:r>
      <w:r>
        <w:rPr>
          <w:rFonts w:hint="eastAsia"/>
          <w:b/>
          <w:bCs/>
          <w:sz w:val="21"/>
          <w:szCs w:val="21"/>
          <w:lang w:eastAsia="zh-CN"/>
        </w:rPr>
        <w:t>响应</w:t>
      </w:r>
      <w:r>
        <w:rPr>
          <w:rFonts w:hint="eastAsia"/>
          <w:b/>
          <w:bCs/>
          <w:sz w:val="21"/>
          <w:szCs w:val="21"/>
        </w:rPr>
        <w:t>人可对该参数或要求进行适当调整，但这种调整整体上要优于或相当于</w:t>
      </w:r>
      <w:r>
        <w:rPr>
          <w:rFonts w:hint="eastAsia"/>
          <w:b/>
          <w:bCs/>
          <w:sz w:val="21"/>
          <w:szCs w:val="21"/>
          <w:lang w:eastAsia="zh-CN"/>
        </w:rPr>
        <w:t>谈判</w:t>
      </w:r>
      <w:r>
        <w:rPr>
          <w:rFonts w:hint="eastAsia"/>
          <w:b/>
          <w:bCs/>
          <w:sz w:val="21"/>
          <w:szCs w:val="21"/>
        </w:rPr>
        <w:t>文件的相关要求，并说明调整理由，且该调整须经</w:t>
      </w:r>
      <w:r>
        <w:rPr>
          <w:rFonts w:hint="eastAsia"/>
          <w:b/>
          <w:bCs/>
          <w:sz w:val="21"/>
          <w:szCs w:val="21"/>
          <w:lang w:eastAsia="zh-CN"/>
        </w:rPr>
        <w:t>谈判小组</w:t>
      </w:r>
      <w:r>
        <w:rPr>
          <w:rFonts w:hint="eastAsia"/>
          <w:b/>
          <w:bCs/>
          <w:sz w:val="21"/>
          <w:szCs w:val="21"/>
        </w:rPr>
        <w:t>审核认可。</w:t>
      </w:r>
    </w:p>
    <w:p w14:paraId="37A14BA7">
      <w:pPr>
        <w:numPr>
          <w:ilvl w:val="0"/>
          <w:numId w:val="0"/>
        </w:numPr>
        <w:ind w:firstLine="422" w:firstLineChars="200"/>
        <w:rPr>
          <w:rFonts w:hint="eastAsia" w:ascii="宋体" w:hAnsi="宋体" w:eastAsia="宋体" w:cs="Times New Roman"/>
          <w:b/>
          <w:bCs/>
          <w:color w:val="auto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Times New Roman"/>
          <w:b/>
          <w:bCs/>
          <w:color w:val="auto"/>
          <w:kern w:val="2"/>
          <w:sz w:val="21"/>
          <w:szCs w:val="21"/>
          <w:lang w:val="en-US" w:eastAsia="zh-CN" w:bidi="ar-SA"/>
        </w:rPr>
        <w:t>一、商务要求：</w:t>
      </w:r>
    </w:p>
    <w:tbl>
      <w:tblPr>
        <w:tblStyle w:val="6"/>
        <w:tblW w:w="85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8"/>
        <w:gridCol w:w="2077"/>
        <w:gridCol w:w="5658"/>
      </w:tblGrid>
      <w:tr w14:paraId="756E35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9" w:hRule="atLeast"/>
          <w:jc w:val="center"/>
        </w:trPr>
        <w:tc>
          <w:tcPr>
            <w:tcW w:w="808" w:type="dxa"/>
            <w:vAlign w:val="center"/>
          </w:tcPr>
          <w:p w14:paraId="32F4AE7A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2077" w:type="dxa"/>
            <w:vAlign w:val="center"/>
          </w:tcPr>
          <w:p w14:paraId="3EBAABF3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商务条款名称</w:t>
            </w:r>
          </w:p>
        </w:tc>
        <w:tc>
          <w:tcPr>
            <w:tcW w:w="5658" w:type="dxa"/>
            <w:vAlign w:val="center"/>
          </w:tcPr>
          <w:p w14:paraId="76806405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具体要求内容</w:t>
            </w:r>
          </w:p>
        </w:tc>
      </w:tr>
      <w:tr w14:paraId="6365A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1" w:hRule="atLeast"/>
          <w:jc w:val="center"/>
        </w:trPr>
        <w:tc>
          <w:tcPr>
            <w:tcW w:w="808" w:type="dxa"/>
            <w:vAlign w:val="center"/>
          </w:tcPr>
          <w:p w14:paraId="6320FD1B">
            <w:pPr>
              <w:jc w:val="center"/>
              <w:rPr>
                <w:sz w:val="21"/>
                <w:szCs w:val="21"/>
                <w:highlight w:val="none"/>
              </w:rPr>
            </w:pPr>
            <w:r>
              <w:rPr>
                <w:sz w:val="21"/>
                <w:szCs w:val="21"/>
                <w:highlight w:val="none"/>
              </w:rPr>
              <w:t>1</w:t>
            </w:r>
          </w:p>
        </w:tc>
        <w:tc>
          <w:tcPr>
            <w:tcW w:w="2077" w:type="dxa"/>
            <w:vAlign w:val="center"/>
          </w:tcPr>
          <w:p w14:paraId="5B302533">
            <w:pPr>
              <w:jc w:val="center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color w:val="auto"/>
                <w:sz w:val="21"/>
                <w:szCs w:val="21"/>
                <w:highlight w:val="none"/>
              </w:rPr>
              <w:t>付款方式</w:t>
            </w:r>
          </w:p>
        </w:tc>
        <w:tc>
          <w:tcPr>
            <w:tcW w:w="5658" w:type="dxa"/>
            <w:vAlign w:val="center"/>
          </w:tcPr>
          <w:p w14:paraId="226690D4">
            <w:pPr>
              <w:rPr>
                <w:rFonts w:hint="default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/>
                <w:color w:val="auto"/>
                <w:sz w:val="21"/>
                <w:szCs w:val="21"/>
                <w:highlight w:val="none"/>
                <w:lang w:val="en-US" w:eastAsia="zh-CN"/>
              </w:rPr>
              <w:t>供货及安装完成，经采购人验收合格后一次性付清合同价款。</w:t>
            </w:r>
          </w:p>
        </w:tc>
      </w:tr>
      <w:tr w14:paraId="15A8C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808" w:type="dxa"/>
            <w:vAlign w:val="center"/>
          </w:tcPr>
          <w:p w14:paraId="0F61BA3E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</w:t>
            </w:r>
          </w:p>
        </w:tc>
        <w:tc>
          <w:tcPr>
            <w:tcW w:w="2077" w:type="dxa"/>
            <w:vAlign w:val="center"/>
          </w:tcPr>
          <w:p w14:paraId="0E784DF5">
            <w:pPr>
              <w:jc w:val="center"/>
              <w:rPr>
                <w:rFonts w:hint="eastAsia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eastAsia="zh-CN"/>
              </w:rPr>
              <w:t>供货及安装地点</w:t>
            </w:r>
          </w:p>
        </w:tc>
        <w:tc>
          <w:tcPr>
            <w:tcW w:w="5658" w:type="dxa"/>
            <w:vAlign w:val="center"/>
          </w:tcPr>
          <w:p w14:paraId="6EA2478B">
            <w:pPr>
              <w:rPr>
                <w:rFonts w:hint="default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安庆职业技术学院</w:t>
            </w:r>
          </w:p>
        </w:tc>
      </w:tr>
      <w:tr w14:paraId="0A528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808" w:type="dxa"/>
            <w:vAlign w:val="center"/>
          </w:tcPr>
          <w:p w14:paraId="30FAE3E0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3</w:t>
            </w:r>
          </w:p>
        </w:tc>
        <w:tc>
          <w:tcPr>
            <w:tcW w:w="2077" w:type="dxa"/>
            <w:vAlign w:val="center"/>
          </w:tcPr>
          <w:p w14:paraId="02C43995">
            <w:pPr>
              <w:jc w:val="center"/>
              <w:rPr>
                <w:rFonts w:hint="eastAsia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  <w:lang w:eastAsia="zh-CN"/>
              </w:rPr>
              <w:t>供货及安装期限</w:t>
            </w:r>
          </w:p>
        </w:tc>
        <w:tc>
          <w:tcPr>
            <w:tcW w:w="5658" w:type="dxa"/>
            <w:vAlign w:val="center"/>
          </w:tcPr>
          <w:p w14:paraId="1C126AC6">
            <w:pPr>
              <w:rPr>
                <w:rFonts w:hint="default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/>
                <w:color w:val="auto"/>
                <w:sz w:val="21"/>
                <w:szCs w:val="21"/>
                <w:highlight w:val="none"/>
                <w:lang w:val="en-US" w:eastAsia="zh-CN"/>
              </w:rPr>
              <w:t>合同签订后</w:t>
            </w:r>
            <w:r>
              <w:rPr>
                <w:rFonts w:hint="eastAsia"/>
                <w:color w:val="auto"/>
                <w:sz w:val="21"/>
                <w:szCs w:val="21"/>
                <w:highlight w:val="none"/>
                <w:lang w:val="en-US" w:eastAsia="zh-CN"/>
              </w:rPr>
              <w:t>30</w:t>
            </w:r>
            <w:r>
              <w:rPr>
                <w:rFonts w:hint="default"/>
                <w:color w:val="auto"/>
                <w:sz w:val="21"/>
                <w:szCs w:val="21"/>
                <w:highlight w:val="none"/>
                <w:lang w:val="en-US" w:eastAsia="zh-CN"/>
              </w:rPr>
              <w:t>日历天内完成供货安装调试</w:t>
            </w:r>
          </w:p>
        </w:tc>
      </w:tr>
      <w:tr w14:paraId="3B773D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  <w:jc w:val="center"/>
        </w:trPr>
        <w:tc>
          <w:tcPr>
            <w:tcW w:w="808" w:type="dxa"/>
            <w:vAlign w:val="center"/>
          </w:tcPr>
          <w:p w14:paraId="2AE8E78B">
            <w:pPr>
              <w:jc w:val="center"/>
              <w:rPr>
                <w:rFonts w:hint="eastAsia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077" w:type="dxa"/>
            <w:vAlign w:val="center"/>
          </w:tcPr>
          <w:p w14:paraId="5B8A8F8C">
            <w:pPr>
              <w:jc w:val="center"/>
              <w:rPr>
                <w:rFonts w:hint="eastAsia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  <w:lang w:val="en-US" w:eastAsia="zh-CN"/>
              </w:rPr>
              <w:t>免费质保期</w:t>
            </w:r>
          </w:p>
        </w:tc>
        <w:tc>
          <w:tcPr>
            <w:tcW w:w="5658" w:type="dxa"/>
            <w:vAlign w:val="center"/>
          </w:tcPr>
          <w:p w14:paraId="16EFD656">
            <w:pPr>
              <w:rPr>
                <w:rFonts w:hint="default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  <w:lang w:val="en-US" w:eastAsia="zh-CN"/>
              </w:rPr>
              <w:t>十年</w:t>
            </w:r>
          </w:p>
        </w:tc>
      </w:tr>
    </w:tbl>
    <w:p w14:paraId="44D545DD">
      <w:pPr>
        <w:numPr>
          <w:ilvl w:val="0"/>
          <w:numId w:val="0"/>
        </w:numPr>
        <w:rPr>
          <w:rFonts w:hint="eastAsia"/>
          <w:sz w:val="21"/>
          <w:szCs w:val="21"/>
        </w:rPr>
      </w:pPr>
    </w:p>
    <w:p w14:paraId="62186B08">
      <w:pPr>
        <w:numPr>
          <w:ilvl w:val="0"/>
          <w:numId w:val="0"/>
        </w:numPr>
        <w:ind w:firstLine="422" w:firstLineChars="200"/>
        <w:rPr>
          <w:rFonts w:hint="eastAsia" w:ascii="宋体" w:hAnsi="宋体" w:eastAsia="宋体" w:cs="Times New Roman"/>
          <w:b/>
          <w:bCs/>
          <w:color w:val="auto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Times New Roman"/>
          <w:b/>
          <w:bCs/>
          <w:color w:val="auto"/>
          <w:kern w:val="2"/>
          <w:sz w:val="21"/>
          <w:szCs w:val="21"/>
          <w:lang w:val="en-US" w:eastAsia="zh-CN" w:bidi="ar-SA"/>
        </w:rPr>
        <w:t>二、技术要求一览表</w:t>
      </w:r>
    </w:p>
    <w:tbl>
      <w:tblPr>
        <w:tblStyle w:val="6"/>
        <w:tblpPr w:leftFromText="180" w:rightFromText="180" w:vertAnchor="text" w:horzAnchor="page" w:tblpX="1305" w:tblpY="214"/>
        <w:tblOverlap w:val="never"/>
        <w:tblW w:w="89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1275"/>
        <w:gridCol w:w="3745"/>
        <w:gridCol w:w="960"/>
        <w:gridCol w:w="1005"/>
        <w:gridCol w:w="1286"/>
      </w:tblGrid>
      <w:tr w14:paraId="4CB98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5C0A79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4BE9A1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货物名称</w:t>
            </w:r>
          </w:p>
        </w:tc>
        <w:tc>
          <w:tcPr>
            <w:tcW w:w="3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DC597B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技术参数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lang w:val="en-US" w:eastAsia="zh-CN"/>
              </w:rPr>
              <w:t>及要求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8287DF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highlight w:val="none"/>
                <w:lang w:val="en-US" w:eastAsia="zh-CN"/>
              </w:rPr>
              <w:t>数量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F66968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highlight w:val="none"/>
                <w:lang w:val="en-US" w:eastAsia="zh-CN"/>
              </w:rPr>
              <w:t>单位</w:t>
            </w:r>
          </w:p>
        </w:tc>
        <w:tc>
          <w:tcPr>
            <w:tcW w:w="1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8A6CCA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lang w:val="en-US" w:eastAsia="zh-CN"/>
              </w:rPr>
              <w:t>备注</w:t>
            </w:r>
          </w:p>
        </w:tc>
      </w:tr>
      <w:tr w14:paraId="54FE2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5" w:hRule="atLeas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64CBF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50B8A2">
            <w:pPr>
              <w:spacing w:line="288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嵌入式天花机</w:t>
            </w:r>
          </w:p>
        </w:tc>
        <w:tc>
          <w:tcPr>
            <w:tcW w:w="3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A91F1EA">
            <w:pPr>
              <w:ind w:firstLine="420" w:firstLineChars="20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制冷量≥12.5KW</w:t>
            </w:r>
          </w:p>
          <w:p w14:paraId="433CC741">
            <w:pPr>
              <w:ind w:firstLine="420" w:firstLineChars="20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制热量≥14KW</w:t>
            </w:r>
          </w:p>
          <w:p w14:paraId="33D97094">
            <w:pPr>
              <w:ind w:firstLine="420" w:firstLineChars="20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额定功率≤130W</w:t>
            </w:r>
          </w:p>
          <w:p w14:paraId="6527E3D7">
            <w:pPr>
              <w:ind w:firstLine="420" w:firstLineChars="20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最大风量≥2210m</w:t>
            </w:r>
            <w:r>
              <w:rPr>
                <w:rFonts w:hint="eastAsia" w:ascii="宋体" w:hAnsi="宋体" w:eastAsia="宋体" w:cs="宋体"/>
                <w:vertAlign w:val="superscript"/>
              </w:rPr>
              <w:t>3</w:t>
            </w:r>
            <w:r>
              <w:rPr>
                <w:rFonts w:hint="eastAsia" w:ascii="宋体" w:hAnsi="宋体" w:eastAsia="宋体" w:cs="宋体"/>
              </w:rPr>
              <w:t>/h</w:t>
            </w:r>
          </w:p>
          <w:p w14:paraId="27B6A545">
            <w:pPr>
              <w:ind w:firstLine="420" w:firstLineChars="20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最大噪音≤50dB(A)</w:t>
            </w:r>
          </w:p>
          <w:p w14:paraId="185A4AD9">
            <w:pPr>
              <w:ind w:firstLine="420" w:firstLineChars="20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电源:220V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42EB03">
            <w:pPr>
              <w:spacing w:line="288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  <w:t>10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53C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台</w:t>
            </w:r>
          </w:p>
        </w:tc>
        <w:tc>
          <w:tcPr>
            <w:tcW w:w="128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0C6C42">
            <w:pP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  <w:t>1台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  <w:t>变频室外机</w:t>
            </w:r>
            <w:r>
              <w:rPr>
                <w:rFonts w:hint="eastAsia" w:ascii="宋体" w:hAnsi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  <w:t>拖2台嵌入式天花机（注：1拖2形式）。</w:t>
            </w:r>
          </w:p>
        </w:tc>
      </w:tr>
      <w:tr w14:paraId="02495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2F998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09757A">
            <w:pPr>
              <w:spacing w:line="288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变频室外机</w:t>
            </w:r>
          </w:p>
        </w:tc>
        <w:tc>
          <w:tcPr>
            <w:tcW w:w="3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6B9EDA">
            <w:pPr>
              <w:ind w:firstLine="420" w:firstLineChars="20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制冷量≥24KW</w:t>
            </w:r>
          </w:p>
          <w:p w14:paraId="4ED62757">
            <w:pPr>
              <w:ind w:firstLine="420" w:firstLineChars="20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制热量≥26KW</w:t>
            </w:r>
          </w:p>
          <w:p w14:paraId="771E3680">
            <w:pPr>
              <w:ind w:firstLine="420" w:firstLineChars="20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制冷额定功率≤7.5KW</w:t>
            </w:r>
          </w:p>
          <w:p w14:paraId="1385CA0B">
            <w:pPr>
              <w:ind w:firstLine="420" w:firstLineChars="20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制热额定功率≤7KW</w:t>
            </w:r>
          </w:p>
          <w:p w14:paraId="146A7FD5">
            <w:pPr>
              <w:ind w:firstLine="420" w:firstLineChars="20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最大噪音≤58dB(A)</w:t>
            </w:r>
          </w:p>
          <w:p w14:paraId="6864B499">
            <w:pPr>
              <w:ind w:firstLine="420" w:firstLineChars="20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APF值≥5.0</w:t>
            </w:r>
          </w:p>
          <w:p w14:paraId="093D41AE">
            <w:pPr>
              <w:ind w:firstLine="420" w:firstLineChars="20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电源:380V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ADD1D3">
            <w:pPr>
              <w:spacing w:line="288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  <w:t>5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70D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台</w:t>
            </w:r>
          </w:p>
        </w:tc>
        <w:tc>
          <w:tcPr>
            <w:tcW w:w="128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A11977">
            <w:pP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5C470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893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BBDC2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  <w:t>服务部分</w:t>
            </w:r>
          </w:p>
        </w:tc>
      </w:tr>
      <w:tr w14:paraId="1BD41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809326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  <w:t>序号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C12D85">
            <w:pPr>
              <w:spacing w:line="288" w:lineRule="auto"/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服务名称</w:t>
            </w:r>
          </w:p>
        </w:tc>
        <w:tc>
          <w:tcPr>
            <w:tcW w:w="3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5D7E23">
            <w:pPr>
              <w:spacing w:line="288" w:lineRule="auto"/>
              <w:ind w:firstLine="422" w:firstLineChars="200"/>
              <w:jc w:val="center"/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服务要求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D45E6C">
            <w:pPr>
              <w:spacing w:line="288" w:lineRule="auto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  <w:t>数量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AF4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单位</w:t>
            </w:r>
          </w:p>
        </w:tc>
        <w:tc>
          <w:tcPr>
            <w:tcW w:w="1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68A97E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  <w:t>备注</w:t>
            </w:r>
          </w:p>
        </w:tc>
      </w:tr>
      <w:tr w14:paraId="436F9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0890F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CC36A4">
            <w:pPr>
              <w:spacing w:line="288" w:lineRule="auto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highlight w:val="none"/>
              </w:rPr>
              <w:t>辅材及其他</w:t>
            </w:r>
          </w:p>
        </w:tc>
        <w:tc>
          <w:tcPr>
            <w:tcW w:w="3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810847">
            <w:pPr>
              <w:spacing w:line="288" w:lineRule="auto"/>
              <w:ind w:firstLine="420" w:firstLineChars="200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highlight w:val="none"/>
              </w:rPr>
              <w:t>3*16mm² +2电缆(硬)</w:t>
            </w:r>
          </w:p>
          <w:p w14:paraId="15308ED1">
            <w:pPr>
              <w:spacing w:line="288" w:lineRule="auto"/>
              <w:ind w:firstLine="420" w:firstLineChars="200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highlight w:val="none"/>
              </w:rPr>
              <w:t>3*4mm²+1电缆(软)</w:t>
            </w:r>
          </w:p>
          <w:p w14:paraId="15DB6EC4">
            <w:pPr>
              <w:spacing w:line="288" w:lineRule="auto"/>
              <w:ind w:firstLine="420" w:firstLineChars="200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highlight w:val="none"/>
              </w:rPr>
              <w:t>开关，线管等辅材</w:t>
            </w:r>
          </w:p>
          <w:p w14:paraId="1B23B328">
            <w:pPr>
              <w:spacing w:line="288" w:lineRule="auto"/>
              <w:ind w:firstLine="420" w:firstLineChars="200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highlight w:val="none"/>
                <w:lang w:val="en-US" w:eastAsia="zh-CN"/>
              </w:rPr>
              <w:t>人工、铝方通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8A819C">
            <w:pPr>
              <w:spacing w:line="288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964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项</w:t>
            </w:r>
          </w:p>
        </w:tc>
        <w:tc>
          <w:tcPr>
            <w:tcW w:w="1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18E81C">
            <w:pP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3296D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893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5F5135">
            <w:pPr>
              <w:jc w:val="left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说明：</w:t>
            </w:r>
          </w:p>
          <w:p w14:paraId="1835AC62">
            <w:pPr>
              <w:pageBreakBefore w:val="0"/>
              <w:widowControl/>
              <w:kinsoku/>
              <w:overflowPunct/>
              <w:topLinePunct w:val="0"/>
              <w:bidi w:val="0"/>
              <w:snapToGrid/>
              <w:spacing w:line="44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响应人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的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响应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文件必须标明所投货物的品牌与参数，保证原厂正品供货。</w:t>
            </w:r>
          </w:p>
          <w:p w14:paraId="684665E9">
            <w:pPr>
              <w:pageBreakBefore w:val="0"/>
              <w:widowControl/>
              <w:kinsoku/>
              <w:overflowPunct/>
              <w:topLinePunct w:val="0"/>
              <w:bidi w:val="0"/>
              <w:snapToGrid/>
              <w:spacing w:line="44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2.所有技术参数及要求采购人验收时将逐条核对，如发现与实际情况不符、虚假响应等，采购人有权报监管部门并追究违约责任。</w:t>
            </w:r>
          </w:p>
          <w:p w14:paraId="0F0CCD7D">
            <w:pPr>
              <w:pageBreakBefore w:val="0"/>
              <w:widowControl/>
              <w:kinsoku/>
              <w:overflowPunct/>
              <w:topLinePunct w:val="0"/>
              <w:bidi w:val="0"/>
              <w:snapToGrid/>
              <w:spacing w:line="44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3.响应人应按照谈判文件要求提供证明材料（如有）。若响应人提供了竞争性谈判文件未要求的证明材料，谈判小组将不予评审。响应人提供的证明材料须清晰地反映评审内容，如因材料模糊不清，导致谈判小组无法辨认的，谈判小组可以不予认可，一切后果由响应人自行承担。</w:t>
            </w:r>
          </w:p>
          <w:p w14:paraId="5CBC0782">
            <w:pPr>
              <w:pageBreakBefore w:val="0"/>
              <w:widowControl/>
              <w:kinsoku/>
              <w:overflowPunct/>
              <w:topLinePunct w:val="0"/>
              <w:bidi w:val="0"/>
              <w:snapToGrid/>
              <w:spacing w:line="440" w:lineRule="exact"/>
              <w:jc w:val="left"/>
              <w:textAlignment w:val="auto"/>
              <w:rPr>
                <w:rFonts w:hint="default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4.本项目采用固定总价包干模式，合同总价已完整涵盖中央空调设备采购、运输装卸、就位安装、系统调试、管线辅材、高空作业费及验收交付等全部费用。供应商须确保设备按规范安装到位并达到正常投用标准，采购人无需就安装环节另行支付任何追加费用，供应商不得以施工难度、材料损耗、现场环境等任何理由提出额外增项或费用追加要求。</w:t>
            </w:r>
          </w:p>
        </w:tc>
      </w:tr>
    </w:tbl>
    <w:p w14:paraId="12BFB303">
      <w:pPr>
        <w:pStyle w:val="5"/>
        <w:tabs>
          <w:tab w:val="left" w:pos="2730"/>
        </w:tabs>
        <w:ind w:firstLine="413" w:firstLineChars="196"/>
        <w:rPr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三、人员培训要求</w:t>
      </w:r>
    </w:p>
    <w:p w14:paraId="2CCF6DC3">
      <w:pPr>
        <w:pageBreakBefore w:val="0"/>
        <w:widowControl/>
        <w:kinsoku/>
        <w:overflowPunct/>
        <w:topLinePunct w:val="0"/>
        <w:bidi w:val="0"/>
        <w:snapToGrid/>
        <w:spacing w:line="440" w:lineRule="exact"/>
        <w:jc w:val="left"/>
        <w:textAlignment w:val="auto"/>
        <w:rPr>
          <w:rFonts w:ascii="宋体" w:hAnsi="宋体"/>
          <w:color w:val="auto"/>
          <w:sz w:val="21"/>
          <w:szCs w:val="21"/>
          <w:highlight w:val="none"/>
        </w:rPr>
      </w:pPr>
      <w:r>
        <w:rPr>
          <w:rFonts w:hint="eastAsia" w:ascii="宋体" w:hAnsi="宋体"/>
          <w:color w:val="auto"/>
          <w:sz w:val="21"/>
          <w:szCs w:val="21"/>
          <w:highlight w:val="none"/>
        </w:rPr>
        <w:t xml:space="preserve">    货物安装、调试、验收合格后，</w:t>
      </w:r>
      <w:r>
        <w:rPr>
          <w:rFonts w:hint="eastAsia" w:ascii="宋体" w:hAnsi="宋体"/>
          <w:color w:val="auto"/>
          <w:sz w:val="21"/>
          <w:szCs w:val="21"/>
          <w:highlight w:val="none"/>
          <w:lang w:val="en-US" w:eastAsia="zh-CN"/>
        </w:rPr>
        <w:t>成交供应商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应对采购人的相关人员进行免费现场培训。培训内容包括基本操作、保养维修、常见故障及解决办法等。</w:t>
      </w:r>
    </w:p>
    <w:p w14:paraId="4FC8308D">
      <w:pPr>
        <w:pStyle w:val="5"/>
        <w:pageBreakBefore w:val="0"/>
        <w:tabs>
          <w:tab w:val="left" w:pos="2730"/>
        </w:tabs>
        <w:kinsoku/>
        <w:overflowPunct/>
        <w:topLinePunct w:val="0"/>
        <w:bidi w:val="0"/>
        <w:snapToGrid/>
        <w:spacing w:line="440" w:lineRule="exact"/>
        <w:ind w:firstLine="413" w:firstLineChars="196"/>
        <w:textAlignment w:val="auto"/>
        <w:rPr>
          <w:color w:val="auto"/>
          <w:sz w:val="21"/>
          <w:szCs w:val="21"/>
          <w:highlight w:val="none"/>
        </w:rPr>
      </w:pPr>
      <w:r>
        <w:rPr>
          <w:rFonts w:hint="eastAsia"/>
          <w:color w:val="auto"/>
          <w:sz w:val="21"/>
          <w:szCs w:val="21"/>
          <w:highlight w:val="none"/>
        </w:rPr>
        <w:t>四、货物质量及售后服务要求</w:t>
      </w:r>
    </w:p>
    <w:p w14:paraId="5E10F43D">
      <w:pPr>
        <w:pageBreakBefore w:val="0"/>
        <w:widowControl/>
        <w:kinsoku/>
        <w:overflowPunct/>
        <w:topLinePunct w:val="0"/>
        <w:bidi w:val="0"/>
        <w:snapToGrid/>
        <w:spacing w:line="440" w:lineRule="exact"/>
        <w:jc w:val="left"/>
        <w:textAlignment w:val="auto"/>
        <w:rPr>
          <w:rFonts w:ascii="宋体" w:hAnsi="宋体"/>
          <w:color w:val="auto"/>
          <w:sz w:val="21"/>
          <w:szCs w:val="21"/>
          <w:highlight w:val="none"/>
        </w:rPr>
      </w:pPr>
      <w:r>
        <w:rPr>
          <w:rFonts w:hint="eastAsia" w:ascii="宋体" w:hAnsi="宋体"/>
          <w:color w:val="auto"/>
          <w:sz w:val="21"/>
          <w:szCs w:val="21"/>
          <w:highlight w:val="none"/>
        </w:rPr>
        <w:t xml:space="preserve">    1、货物质量：</w:t>
      </w:r>
      <w:r>
        <w:rPr>
          <w:rFonts w:hint="eastAsia" w:ascii="宋体" w:hAnsi="宋体"/>
          <w:color w:val="auto"/>
          <w:sz w:val="21"/>
          <w:szCs w:val="21"/>
          <w:highlight w:val="none"/>
          <w:lang w:val="en-US" w:eastAsia="zh-CN"/>
        </w:rPr>
        <w:t>成交供应商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提供的货物必须是全新、原装、合格正品，完全符合国家规定的质量标准和厂方的标准。货物完好，配件齐全。</w:t>
      </w:r>
    </w:p>
    <w:p w14:paraId="610F5816">
      <w:pPr>
        <w:pageBreakBefore w:val="0"/>
        <w:widowControl/>
        <w:kinsoku/>
        <w:overflowPunct/>
        <w:topLinePunct w:val="0"/>
        <w:bidi w:val="0"/>
        <w:snapToGrid/>
        <w:spacing w:line="440" w:lineRule="exact"/>
        <w:jc w:val="left"/>
        <w:textAlignment w:val="auto"/>
        <w:rPr>
          <w:rFonts w:ascii="宋体" w:hAnsi="宋体"/>
          <w:color w:val="auto"/>
          <w:sz w:val="21"/>
          <w:szCs w:val="21"/>
          <w:highlight w:val="none"/>
        </w:rPr>
      </w:pPr>
      <w:r>
        <w:rPr>
          <w:rFonts w:hint="eastAsia" w:ascii="宋体" w:hAnsi="宋体"/>
          <w:color w:val="auto"/>
          <w:sz w:val="21"/>
          <w:szCs w:val="21"/>
          <w:highlight w:val="none"/>
        </w:rPr>
        <w:t xml:space="preserve">    2、保修及售后服务：依据商品的保修条款及售后服务条款，提供原厂质保，质保期按照国家规定，且不低于所供品牌向用户承诺的质保期限，</w:t>
      </w:r>
      <w:r>
        <w:rPr>
          <w:rFonts w:hint="eastAsia" w:ascii="宋体" w:hAnsi="宋体"/>
          <w:color w:val="auto"/>
          <w:sz w:val="21"/>
          <w:szCs w:val="21"/>
          <w:highlight w:val="none"/>
          <w:lang w:eastAsia="zh-CN"/>
        </w:rPr>
        <w:t>谈判文件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另有约定的从其约定。质保期从货物验收合格后算起。</w:t>
      </w:r>
    </w:p>
    <w:p w14:paraId="5AE109EB">
      <w:pPr>
        <w:pStyle w:val="5"/>
        <w:pageBreakBefore w:val="0"/>
        <w:tabs>
          <w:tab w:val="left" w:pos="2730"/>
        </w:tabs>
        <w:kinsoku/>
        <w:overflowPunct/>
        <w:topLinePunct w:val="0"/>
        <w:bidi w:val="0"/>
        <w:snapToGrid/>
        <w:spacing w:line="440" w:lineRule="exact"/>
        <w:ind w:firstLine="413" w:firstLineChars="196"/>
        <w:textAlignment w:val="auto"/>
        <w:rPr>
          <w:color w:val="auto"/>
          <w:sz w:val="21"/>
          <w:szCs w:val="21"/>
          <w:highlight w:val="none"/>
        </w:rPr>
      </w:pPr>
      <w:r>
        <w:rPr>
          <w:rFonts w:hint="eastAsia"/>
          <w:color w:val="auto"/>
          <w:sz w:val="21"/>
          <w:szCs w:val="21"/>
          <w:highlight w:val="none"/>
        </w:rPr>
        <w:t xml:space="preserve">五、验收     </w:t>
      </w:r>
    </w:p>
    <w:p w14:paraId="292AAAD9">
      <w:pPr>
        <w:pageBreakBefore w:val="0"/>
        <w:widowControl/>
        <w:kinsoku/>
        <w:overflowPunct/>
        <w:topLinePunct w:val="0"/>
        <w:bidi w:val="0"/>
        <w:snapToGrid/>
        <w:spacing w:line="440" w:lineRule="exact"/>
        <w:ind w:firstLine="405"/>
        <w:jc w:val="left"/>
        <w:textAlignment w:val="auto"/>
        <w:rPr>
          <w:rFonts w:hint="eastAsia" w:ascii="宋体" w:hAnsi="宋体"/>
          <w:color w:val="auto"/>
          <w:sz w:val="21"/>
          <w:szCs w:val="21"/>
          <w:highlight w:val="none"/>
          <w:lang w:eastAsia="zh-CN"/>
        </w:rPr>
      </w:pPr>
      <w:r>
        <w:rPr>
          <w:rFonts w:hint="eastAsia" w:ascii="宋体" w:hAnsi="宋体"/>
          <w:color w:val="auto"/>
          <w:sz w:val="21"/>
          <w:szCs w:val="21"/>
          <w:highlight w:val="none"/>
        </w:rPr>
        <w:t xml:space="preserve"> </w:t>
      </w:r>
      <w:r>
        <w:rPr>
          <w:rFonts w:hint="eastAsia" w:ascii="宋体" w:hAnsi="宋体"/>
          <w:color w:val="auto"/>
          <w:sz w:val="21"/>
          <w:szCs w:val="21"/>
          <w:highlight w:val="none"/>
          <w:lang w:val="en-US" w:eastAsia="zh-CN"/>
        </w:rPr>
        <w:t>成交供应商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和采购人双方共同实施验收工作，结果和验收报告经双方确认后生</w:t>
      </w:r>
      <w:r>
        <w:rPr>
          <w:rFonts w:hint="eastAsia" w:ascii="宋体" w:hAnsi="宋体"/>
          <w:color w:val="auto"/>
          <w:sz w:val="21"/>
          <w:szCs w:val="21"/>
          <w:highlight w:val="none"/>
          <w:lang w:eastAsia="zh-CN"/>
        </w:rPr>
        <w:t>效。</w:t>
      </w:r>
    </w:p>
    <w:p w14:paraId="37716D2B">
      <w:bookmarkStart w:id="3" w:name="_GoBack"/>
      <w:bookmarkEnd w:id="3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85146B"/>
    <w:rsid w:val="70851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="100" w:after="100"/>
      <w:jc w:val="center"/>
      <w:outlineLvl w:val="0"/>
    </w:pPr>
    <w:rPr>
      <w:b/>
      <w:bCs/>
      <w:kern w:val="44"/>
      <w:sz w:val="32"/>
      <w:szCs w:val="44"/>
    </w:rPr>
  </w:style>
  <w:style w:type="paragraph" w:styleId="5">
    <w:name w:val="heading 3"/>
    <w:basedOn w:val="1"/>
    <w:next w:val="1"/>
    <w:qFormat/>
    <w:uiPriority w:val="0"/>
    <w:pPr>
      <w:keepNext/>
      <w:keepLines/>
      <w:wordWrap w:val="0"/>
      <w:autoSpaceDE w:val="0"/>
      <w:autoSpaceDN w:val="0"/>
      <w:adjustRightInd w:val="0"/>
      <w:spacing w:line="440" w:lineRule="exact"/>
      <w:jc w:val="left"/>
      <w:outlineLvl w:val="2"/>
    </w:pPr>
    <w:rPr>
      <w:rFonts w:ascii="宋体"/>
      <w:b/>
      <w:kern w:val="0"/>
      <w:sz w:val="24"/>
      <w:szCs w:val="20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unhideWhenUsed/>
    <w:qFormat/>
    <w:uiPriority w:val="99"/>
    <w:pPr>
      <w:tabs>
        <w:tab w:val="left" w:pos="567"/>
      </w:tabs>
      <w:ind w:firstLine="420" w:firstLineChars="100"/>
    </w:pPr>
  </w:style>
  <w:style w:type="paragraph" w:styleId="3">
    <w:name w:val="Body Text"/>
    <w:basedOn w:val="1"/>
    <w:qFormat/>
    <w:uiPriority w:val="0"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2026-09-29T10:08:00Z</dcterms:created>
  <dc:creator>NTKO</dc:creator>
  <cp:lastModifiedBy>NTKO</cp:lastModifiedBy>
  <dcterms:modified xsi:type="dcterms:W3CDTF">2026-09-29T10:08:47Z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DDCA71D972604FF7AFFBE8D215C51E1F_11</vt:lpwstr>
  </property>
  <property fmtid="{D5CDD505-2E9C-101B-9397-08002B2CF9AE}" pid="4" name="KSOTemplateDocerSaveRecord">
    <vt:lpwstr>eyJoZGlkIjoiYTg0MTM2OTgzZWYzMDE3ZjJjZDgyMzM1Y2M5NTYyZGIiLCJ1c2VySWQiOiI4MDc5MDQxNzAifQ==</vt:lpwstr>
  </property>
</Properties>
</file>