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pStyle w:val="3"/>
        <w:rPr>
          <w:rFonts w:ascii="宋体" w:hAnsi="宋体" w:cs="宋体"/>
          <w:color w:val="000000"/>
          <w:highlight w:val="none"/>
        </w:rPr>
      </w:pPr>
      <w:bookmarkStart w:id="0" w:name="_Toc15203"/>
      <w:bookmarkStart w:id="1" w:name="_Toc18076"/>
      <w:bookmarkStart w:id="2" w:name="_Toc10766"/>
      <w:r>
        <w:rPr>
          <w:rFonts w:hint="eastAsia" w:ascii="宋体" w:hAnsi="宋体" w:cs="宋体"/>
          <w:color w:val="000000"/>
          <w:highlight w:val="none"/>
        </w:rPr>
        <w:t>第三章</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货物</w:t>
      </w:r>
      <w:r>
        <w:rPr>
          <w:rFonts w:hint="eastAsia" w:ascii="宋体" w:hAnsi="宋体" w:cs="宋体"/>
          <w:color w:val="000000"/>
          <w:highlight w:val="none"/>
        </w:rPr>
        <w:t>需求及</w:t>
      </w:r>
      <w:r>
        <w:rPr>
          <w:rFonts w:hint="eastAsia" w:ascii="宋体" w:hAnsi="宋体" w:cs="宋体"/>
          <w:color w:val="000000"/>
          <w:highlight w:val="none"/>
          <w:lang w:val="en-US" w:eastAsia="zh-CN"/>
        </w:rPr>
        <w:t>技术</w:t>
      </w:r>
      <w:r>
        <w:rPr>
          <w:rFonts w:hint="eastAsia" w:ascii="宋体" w:hAnsi="宋体" w:cs="宋体"/>
          <w:color w:val="000000"/>
          <w:highlight w:val="none"/>
        </w:rPr>
        <w:t>要求</w:t>
      </w:r>
      <w:bookmarkEnd w:id="0"/>
      <w:bookmarkEnd w:id="1"/>
      <w:bookmarkEnd w:id="2"/>
    </w:p>
    <w:p w14:paraId="6B400D4A">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bookmarkStart w:id="3" w:name="_Toc7241"/>
      <w:bookmarkStart w:id="4" w:name="_Toc20302"/>
      <w:r>
        <w:rPr>
          <w:rFonts w:hint="eastAsia" w:ascii="宋体" w:hAnsi="宋体"/>
          <w:b/>
          <w:bCs/>
          <w:color w:val="auto"/>
          <w:szCs w:val="21"/>
          <w:highlight w:val="none"/>
        </w:rPr>
        <w:t>1、在采购活动开始前没有获准采购进口产品而开展采购活动的，视同为拒绝采购进口产品。</w:t>
      </w:r>
    </w:p>
    <w:p w14:paraId="4F892FB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2、根据“关于印发《政府采购进口产品管理办法》的通知”的相关规定：下列采购需求中标注进口产品的货物均已履行相关论证手续，经核准采购进口产品，但不限制满足</w:t>
      </w:r>
      <w:r>
        <w:rPr>
          <w:rFonts w:hint="eastAsia" w:ascii="宋体" w:hAnsi="宋体"/>
          <w:b/>
          <w:bCs/>
          <w:color w:val="auto"/>
          <w:szCs w:val="21"/>
          <w:highlight w:val="none"/>
          <w:lang w:val="en-US" w:eastAsia="zh-CN"/>
        </w:rPr>
        <w:t>竞争性</w:t>
      </w: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要求的国内产品参与竞争。未标注进口产品的货物均为拒绝采购进口产品。</w:t>
      </w:r>
    </w:p>
    <w:p w14:paraId="2D64B827">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1AE4916F">
      <w:pPr>
        <w:ind w:firstLine="482" w:firstLineChars="200"/>
        <w:rPr>
          <w:rFonts w:hint="eastAsia" w:ascii="宋体" w:hAnsi="宋体"/>
          <w:b/>
          <w:bCs/>
          <w:color w:val="auto"/>
          <w:sz w:val="24"/>
          <w:szCs w:val="24"/>
          <w:highlight w:val="none"/>
        </w:rPr>
      </w:pPr>
    </w:p>
    <w:p w14:paraId="37A14BA7">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一、商务要求：</w:t>
      </w:r>
    </w:p>
    <w:tbl>
      <w:tblPr>
        <w:tblStyle w:val="9"/>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77"/>
        <w:gridCol w:w="5658"/>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077" w:type="dxa"/>
            <w:vAlign w:val="center"/>
          </w:tcPr>
          <w:p w14:paraId="6A534558">
            <w:pPr>
              <w:pStyle w:val="7"/>
              <w:jc w:val="center"/>
              <w:rPr>
                <w:color w:val="auto"/>
                <w:highlight w:val="none"/>
              </w:rPr>
            </w:pPr>
            <w:r>
              <w:rPr>
                <w:rFonts w:hint="eastAsia" w:asciiTheme="minorEastAsia" w:hAnsiTheme="minorEastAsia"/>
                <w:b/>
                <w:bCs/>
                <w:color w:val="auto"/>
                <w:sz w:val="24"/>
                <w:szCs w:val="24"/>
                <w:highlight w:val="none"/>
              </w:rPr>
              <w:t>商务条款名称</w:t>
            </w:r>
          </w:p>
        </w:tc>
        <w:tc>
          <w:tcPr>
            <w:tcW w:w="5658" w:type="dxa"/>
            <w:vAlign w:val="center"/>
          </w:tcPr>
          <w:p w14:paraId="5DB43298">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08" w:type="dxa"/>
            <w:vAlign w:val="center"/>
          </w:tcPr>
          <w:p w14:paraId="62FEAE9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077" w:type="dxa"/>
            <w:vAlign w:val="center"/>
          </w:tcPr>
          <w:p w14:paraId="67FAD2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658" w:type="dxa"/>
            <w:vAlign w:val="center"/>
          </w:tcPr>
          <w:p w14:paraId="46952A56">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验收合格后一次性付清。</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92228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77" w:type="dxa"/>
            <w:vAlign w:val="center"/>
          </w:tcPr>
          <w:p w14:paraId="7057A6FB">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供货及安装地点</w:t>
            </w:r>
          </w:p>
        </w:tc>
        <w:tc>
          <w:tcPr>
            <w:tcW w:w="5658" w:type="dxa"/>
            <w:shd w:val="clear" w:color="auto" w:fill="auto"/>
            <w:vAlign w:val="center"/>
          </w:tcPr>
          <w:p w14:paraId="0AC7391D">
            <w:pPr>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采购人指定地点</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48BF4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77" w:type="dxa"/>
            <w:vAlign w:val="center"/>
          </w:tcPr>
          <w:p w14:paraId="148262B7">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供货及安装期限</w:t>
            </w:r>
          </w:p>
        </w:tc>
        <w:tc>
          <w:tcPr>
            <w:tcW w:w="5658" w:type="dxa"/>
            <w:shd w:val="clear" w:color="auto" w:fill="auto"/>
            <w:vAlign w:val="center"/>
          </w:tcPr>
          <w:p w14:paraId="33A9858A">
            <w:pPr>
              <w:jc w:val="center"/>
              <w:rPr>
                <w:rFonts w:hint="default" w:asciiTheme="minorEastAsia" w:hAnsiTheme="minorEastAsia" w:eastAsiaTheme="minorEastAsia"/>
                <w:color w:val="auto"/>
                <w:sz w:val="24"/>
                <w:szCs w:val="24"/>
                <w:highlight w:val="none"/>
                <w:lang w:val="en-US" w:eastAsia="zh-CN"/>
              </w:rPr>
            </w:pPr>
            <w:r>
              <w:rPr>
                <w:rFonts w:hint="default" w:asciiTheme="minorEastAsia" w:hAnsiTheme="minorEastAsia" w:eastAsiaTheme="minorEastAsia"/>
                <w:color w:val="auto"/>
                <w:sz w:val="24"/>
                <w:szCs w:val="24"/>
                <w:highlight w:val="none"/>
                <w:lang w:val="en-US" w:eastAsia="zh-CN"/>
              </w:rPr>
              <w:t>合同签字生效后30日历天</w:t>
            </w:r>
          </w:p>
        </w:tc>
      </w:tr>
      <w:tr w14:paraId="2C9B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vAlign w:val="center"/>
          </w:tcPr>
          <w:p w14:paraId="772E4FD5">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077" w:type="dxa"/>
            <w:vAlign w:val="center"/>
          </w:tcPr>
          <w:p w14:paraId="03D9FF9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658" w:type="dxa"/>
            <w:vAlign w:val="center"/>
          </w:tcPr>
          <w:p w14:paraId="1549DB41">
            <w:pPr>
              <w:jc w:val="center"/>
              <w:rPr>
                <w:rFonts w:hint="default"/>
                <w:sz w:val="24"/>
                <w:szCs w:val="24"/>
                <w:highlight w:val="none"/>
                <w:lang w:val="en-US" w:eastAsia="zh-CN"/>
              </w:rPr>
            </w:pPr>
            <w:r>
              <w:rPr>
                <w:rFonts w:hint="eastAsia"/>
                <w:sz w:val="24"/>
                <w:szCs w:val="24"/>
                <w:highlight w:val="none"/>
                <w:lang w:val="en-US" w:eastAsia="zh-CN"/>
              </w:rPr>
              <w:t>一年</w:t>
            </w:r>
          </w:p>
        </w:tc>
      </w:tr>
      <w:tr w14:paraId="3AB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00CB46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077" w:type="dxa"/>
            <w:vAlign w:val="center"/>
          </w:tcPr>
          <w:p w14:paraId="07B37446">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658" w:type="dxa"/>
            <w:vAlign w:val="center"/>
          </w:tcPr>
          <w:p w14:paraId="2911A289">
            <w:pPr>
              <w:jc w:val="center"/>
              <w:rPr>
                <w:rFonts w:asciiTheme="minorEastAsia" w:hAnsiTheme="minorEastAsia" w:eastAsiaTheme="minorEastAsia"/>
                <w:color w:val="auto"/>
                <w:sz w:val="24"/>
                <w:szCs w:val="24"/>
                <w:highlight w:val="none"/>
              </w:rPr>
            </w:pPr>
            <w:r>
              <w:rPr>
                <w:rFonts w:hint="eastAsia"/>
                <w:sz w:val="24"/>
                <w:szCs w:val="24"/>
                <w:highlight w:val="none"/>
                <w:lang w:val="en-US" w:eastAsia="zh-CN"/>
              </w:rPr>
              <w:t>除另有约定外，供应商交付全部货物的包装要求严格按照国家强制标注执行</w:t>
            </w:r>
          </w:p>
        </w:tc>
      </w:tr>
    </w:tbl>
    <w:p w14:paraId="4C1C1032">
      <w:pPr>
        <w:ind w:firstLine="422" w:firstLineChars="200"/>
        <w:rPr>
          <w:rFonts w:ascii="宋体" w:hAnsi="宋体"/>
          <w:b/>
          <w:bCs/>
          <w:color w:val="auto"/>
          <w:szCs w:val="21"/>
          <w:highlight w:val="none"/>
        </w:rPr>
      </w:pPr>
    </w:p>
    <w:p w14:paraId="451733A5">
      <w:pPr>
        <w:pStyle w:val="4"/>
        <w:tabs>
          <w:tab w:val="left" w:pos="2730"/>
        </w:tabs>
        <w:ind w:firstLine="472" w:firstLineChars="196"/>
        <w:rPr>
          <w:rFonts w:hAnsi="宋体"/>
          <w:bCs/>
          <w:color w:val="auto"/>
          <w:szCs w:val="24"/>
          <w:highlight w:val="none"/>
        </w:rPr>
      </w:pPr>
      <w:r>
        <w:rPr>
          <w:rFonts w:hint="eastAsia" w:hAnsi="宋体"/>
          <w:bCs/>
          <w:color w:val="auto"/>
          <w:szCs w:val="24"/>
          <w:highlight w:val="none"/>
        </w:rPr>
        <w:t>二、技术要求一览表</w:t>
      </w:r>
    </w:p>
    <w:tbl>
      <w:tblPr>
        <w:tblStyle w:val="9"/>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50"/>
        <w:gridCol w:w="5191"/>
        <w:gridCol w:w="780"/>
        <w:gridCol w:w="675"/>
        <w:gridCol w:w="727"/>
      </w:tblGrid>
      <w:tr w14:paraId="129B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E3978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050" w:type="dxa"/>
            <w:tcBorders>
              <w:top w:val="single" w:color="auto" w:sz="4" w:space="0"/>
              <w:left w:val="single" w:color="auto" w:sz="4" w:space="0"/>
              <w:bottom w:val="single" w:color="auto" w:sz="4" w:space="0"/>
              <w:right w:val="single" w:color="auto" w:sz="4" w:space="0"/>
            </w:tcBorders>
            <w:vAlign w:val="center"/>
          </w:tcPr>
          <w:p w14:paraId="0CE7CD48">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w:t>
            </w:r>
          </w:p>
          <w:p w14:paraId="0C99FE2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5191" w:type="dxa"/>
            <w:tcBorders>
              <w:top w:val="single" w:color="auto" w:sz="4" w:space="0"/>
              <w:left w:val="single" w:color="auto" w:sz="4" w:space="0"/>
              <w:bottom w:val="single" w:color="auto" w:sz="4" w:space="0"/>
              <w:right w:val="single" w:color="auto" w:sz="4" w:space="0"/>
            </w:tcBorders>
            <w:vAlign w:val="center"/>
          </w:tcPr>
          <w:p w14:paraId="18AF9AA1">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技术参数</w:t>
            </w:r>
            <w:r>
              <w:rPr>
                <w:rFonts w:hint="eastAsia" w:ascii="宋体" w:hAnsi="宋体" w:eastAsia="宋体" w:cs="宋体"/>
                <w:b/>
                <w:bCs/>
                <w:color w:val="auto"/>
                <w:kern w:val="0"/>
                <w:sz w:val="21"/>
                <w:szCs w:val="21"/>
                <w:highlight w:val="none"/>
                <w:lang w:val="en-US" w:eastAsia="zh-CN"/>
              </w:rPr>
              <w:t>要求</w:t>
            </w:r>
          </w:p>
        </w:tc>
        <w:tc>
          <w:tcPr>
            <w:tcW w:w="780" w:type="dxa"/>
            <w:tcBorders>
              <w:top w:val="single" w:color="auto" w:sz="4" w:space="0"/>
              <w:left w:val="single" w:color="auto" w:sz="4" w:space="0"/>
              <w:bottom w:val="single" w:color="auto" w:sz="4" w:space="0"/>
              <w:right w:val="single" w:color="auto" w:sz="4" w:space="0"/>
            </w:tcBorders>
            <w:vAlign w:val="center"/>
          </w:tcPr>
          <w:p w14:paraId="2AA38786">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数量</w:t>
            </w:r>
          </w:p>
        </w:tc>
        <w:tc>
          <w:tcPr>
            <w:tcW w:w="675" w:type="dxa"/>
            <w:tcBorders>
              <w:top w:val="single" w:color="auto" w:sz="4" w:space="0"/>
              <w:left w:val="single" w:color="auto" w:sz="4" w:space="0"/>
              <w:bottom w:val="single" w:color="auto" w:sz="4" w:space="0"/>
              <w:right w:val="single" w:color="auto" w:sz="4" w:space="0"/>
            </w:tcBorders>
            <w:vAlign w:val="center"/>
          </w:tcPr>
          <w:p w14:paraId="3DD484DD">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单位</w:t>
            </w:r>
          </w:p>
        </w:tc>
        <w:tc>
          <w:tcPr>
            <w:tcW w:w="727" w:type="dxa"/>
            <w:tcBorders>
              <w:top w:val="single" w:color="auto" w:sz="4" w:space="0"/>
              <w:left w:val="single" w:color="auto" w:sz="4" w:space="0"/>
              <w:bottom w:val="single" w:color="auto" w:sz="4" w:space="0"/>
              <w:right w:val="single" w:color="auto" w:sz="4" w:space="0"/>
            </w:tcBorders>
            <w:vAlign w:val="center"/>
          </w:tcPr>
          <w:p w14:paraId="537BBA82">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备注</w:t>
            </w:r>
          </w:p>
        </w:tc>
      </w:tr>
      <w:tr w14:paraId="4E9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956D1C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97791E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加热电炉</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368610A4">
            <w:pPr>
              <w:keepNext w:val="0"/>
              <w:keepLines w:val="0"/>
              <w:widowControl/>
              <w:numPr>
                <w:ilvl w:val="0"/>
                <w:numId w:val="1"/>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功率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1KW</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2、规格:约148*148*132mm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3、温控范围: 室温~500°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4、控制方式：电子调温</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7162777">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7F7B6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20EEF3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6C2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7C7FD9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F91149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酸碱通用滴定管</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1A6B32E3">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玻璃制品，</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酸碱通用，25毫升</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0B743E3">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656A7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68571B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A2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1AE5E4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2F5DD2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不锈钢置物架</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2B9CFD0A">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约</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120*宽50*高150厘米，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不少于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4层，304不锈钢材质，厚度不低于0.8mm。</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39B4175">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4F68F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CF3933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32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50773CB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AB156B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落地多层不锈钢收纳架</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77186FA4">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长</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约</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50*宽28*高147厘米，带顶，304不锈钢材质，厚度不低于0.8mm。</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60E000DA">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A353223">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1F6E5D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7F4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08AB1AD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C3C731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电煎锅</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2E4967E6">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开关拔杆、8k镜面研磨,直径不小于36CM，锅体不小于5.5cm，304不锈钢材质</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EDE69C9">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BAF39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95FAEF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DF1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2B3AF6C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0486E5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麦饭石不粘锅</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0AA96AA9">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直径不小于20厘米、硅胶铲及锅盖，燃气电磁灶通用</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20ED97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26648E">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9BC807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196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26C157E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DBA106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电子秤</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474E0BCA">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500g/0.001g精度，具有去皮、计数、计量及校准功能；配防风置+砝码</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9AA1E9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24FD425">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B8486D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4B6E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2CC23C6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E4605D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蛋糕不沾烤盘</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40B6CA8F">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采用不低于1.5mm厚铝合金材质制作，规格：约35*25*5*厘米</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DA09E6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BACFE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D2B64F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44D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A3ACE5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67D3A6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面团发酵箱周转箱</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2717F13E">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采用食品级PP材质制造而成，配密封盖；规格：长约58cm，宽约38cm，高度约15cm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E804984">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C7A5FD8">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413F6E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F45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5B5D462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84127D4">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吐司模具</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6B0C9833">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采用不低于1.0mm</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厚</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铝合金材质制作，内径直径约100*100*100mm；250g</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35E0E55">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53603B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FD7925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BF1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14C2CD0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65D840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加深打蛋盆</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2A3AAA7D">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采用304不锈钢材质一体成型，表面拉丝处理，直径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约</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200*120mm；具有刻度线、鹰嘴导流口及防滑设计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4C9E75D">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7EC2B42">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3FD24E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266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15B2082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02C7F5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加深打蛋盆</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7535B8AD">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采用304不锈钢材质一体成型，表面拉丝处理，直径</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约</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240*140mm；具有刻度线、鹰嘴导流口及防滑设计</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A701D8A">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BCABE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6D9F35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77D6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1FF4A0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59E18F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低糖蛋糕吐司模具</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629996A3">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采用不低于1.0mm</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厚</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铝合金材质制作，内径直径约100*100*100mm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1A9F8F9A">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6E1A72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B55ACE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0287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5F4775B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09B5B5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电子防水探针式温度计</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2A1851D9">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可测量面团发酵和烹饪等温度，具有防水功能；测量范围：-10℃-200℃；探针采用不锈钢材质；规格约</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为</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180*45mm</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5F10687">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17A297B">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支</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8B3425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3C61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5DC7C30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34E777A">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破壁机</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162CF781">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容积不小于1.72L，采用六面金刚破壁刀，转速不小于35000转/分钟；具有一键清洗和热烘除菌功能；配干研磨杯</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42A50C9">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86389F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0F2183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37F7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20A4AFC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BC4CCC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和面机</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6237F7FD">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可同时设定和面和发酵两种功能；十字锥形盖可随时打开添加物料；304不锈钢和面桶；容积不小于4.9L</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CF2CA0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EDA02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3EC701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3D70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386A8F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DE9D30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电热水壶</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68F8D162">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304不锈钢材质，不小于1.7L，具有防干烧、智能控温、过热保护、自动断电等功能</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E65E02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6B5DEC">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2E39A3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758A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647A0D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B18F4B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高精度色差仪</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1E7E7CCB">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照明方式：D/8，包含镜面反射光(SCI)</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2、照明光源：全光谱LED光源</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3、测量口径：8mm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4、测量条件：光源D65，视场10°</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5、测量时间：约1s</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6、颜色空间：CIE Lab、Luv、LCh、Yxy、CMYK、RGB、Hex</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7、色差公式：ΔE*ab、ΔE*uv、ΔE*94、ΔE*cmc(2:1)、ΔE*cmc(1:1)、ΔE*00</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8、重复性：标准偏差△E*ab，0.03以内（测量条件：预热校正后，以间隔3s测量白板30次平均值)</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9、电池电量：单次充满可连续测量10000次</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10、显示屏：不小于3.3英寸IPS彩色电容触摸屏</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28264D4">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A70F7D6">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CF657F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14F8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1D2123EC">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F80A62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数字数显旋转式粘度计</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2EE606D0">
            <w:pPr>
              <w:keepNext w:val="0"/>
              <w:keepLines w:val="0"/>
              <w:widowControl/>
              <w:numPr>
                <w:ilvl w:val="0"/>
                <w:numId w:val="0"/>
              </w:numPr>
              <w:suppressLineNumbers w:val="0"/>
              <w:jc w:val="left"/>
              <w:textAlignment w:val="center"/>
              <w:rPr>
                <w:rStyle w:val="11"/>
                <w:color w:val="000000" w:themeColor="text1"/>
                <w:highlight w:val="none"/>
                <w:lang w:val="en-US" w:eastAsia="zh-CN" w:bidi="ar"/>
                <w14:textFill>
                  <w14:solidFill>
                    <w14:schemeClr w14:val="tx1"/>
                  </w14:solidFill>
                </w14:textFill>
              </w:rPr>
            </w:pPr>
            <w:r>
              <w:rPr>
                <w:rFonts w:ascii="宋体" w:hAnsi="宋体" w:eastAsia="宋体" w:cs="宋体"/>
                <w:color w:val="000000" w:themeColor="text1"/>
                <w:kern w:val="2"/>
                <w:sz w:val="22"/>
                <w:szCs w:val="22"/>
                <w:highlight w:val="none"/>
                <w:lang w:val="en-US" w:eastAsia="zh-CN" w:bidi="ar"/>
                <w14:textFill>
                  <w14:solidFill>
                    <w14:schemeClr w14:val="tx1"/>
                  </w14:solidFill>
                </w14:textFill>
              </w:rPr>
              <w:t>1、</w:t>
            </w:r>
            <w:r>
              <w:rPr>
                <w:rStyle w:val="11"/>
                <w:color w:val="000000" w:themeColor="text1"/>
                <w:highlight w:val="none"/>
                <w:lang w:val="en-US" w:eastAsia="zh-CN" w:bidi="ar"/>
                <w14:textFill>
                  <w14:solidFill>
                    <w14:schemeClr w14:val="tx1"/>
                  </w14:solidFill>
                </w14:textFill>
              </w:rPr>
              <w:t>测量范围(mPa.s)：1</w:t>
            </w:r>
            <w:r>
              <w:rPr>
                <w:rStyle w:val="11"/>
                <w:rFonts w:hint="eastAsia"/>
                <w:color w:val="000000" w:themeColor="text1"/>
                <w:highlight w:val="none"/>
                <w:lang w:val="en-US" w:eastAsia="zh-CN" w:bidi="ar"/>
                <w14:textFill>
                  <w14:solidFill>
                    <w14:schemeClr w14:val="tx1"/>
                  </w14:solidFill>
                </w14:textFill>
              </w:rPr>
              <w:t>-</w:t>
            </w:r>
            <w:r>
              <w:rPr>
                <w:rStyle w:val="11"/>
                <w:color w:val="000000" w:themeColor="text1"/>
                <w:highlight w:val="none"/>
                <w:lang w:val="en-US" w:eastAsia="zh-CN" w:bidi="ar"/>
                <w14:textFill>
                  <w14:solidFill>
                    <w14:schemeClr w14:val="tx1"/>
                  </w14:solidFill>
                </w14:textFill>
              </w:rPr>
              <w:t>2x10</w:t>
            </w:r>
            <w:r>
              <w:rPr>
                <w:rStyle w:val="12"/>
                <w:color w:val="000000" w:themeColor="text1"/>
                <w:highlight w:val="none"/>
                <w:lang w:val="en-US" w:eastAsia="zh-CN" w:bidi="ar"/>
                <w14:textFill>
                  <w14:solidFill>
                    <w14:schemeClr w14:val="tx1"/>
                  </w14:solidFill>
                </w14:textFill>
              </w:rPr>
              <w:t>6</w:t>
            </w:r>
            <w:r>
              <w:rPr>
                <w:rStyle w:val="11"/>
                <w:color w:val="000000" w:themeColor="text1"/>
                <w:highlight w:val="none"/>
                <w:lang w:val="en-US" w:eastAsia="zh-CN" w:bidi="ar"/>
                <w14:textFill>
                  <w14:solidFill>
                    <w14:schemeClr w14:val="tx1"/>
                  </w14:solidFill>
                </w14:textFill>
              </w:rPr>
              <w:t>；转子转速(r/min)：0.3/0.6/1.5/3/6/12/30/60；</w:t>
            </w:r>
          </w:p>
          <w:p w14:paraId="36C9B49A">
            <w:pPr>
              <w:keepNext w:val="0"/>
              <w:keepLines w:val="0"/>
              <w:widowControl/>
              <w:numPr>
                <w:ilvl w:val="0"/>
                <w:numId w:val="0"/>
              </w:numPr>
              <w:suppressLineNumbers w:val="0"/>
              <w:ind w:left="0" w:leftChars="0" w:firstLine="0" w:firstLineChars="0"/>
              <w:jc w:val="left"/>
              <w:textAlignment w:val="center"/>
              <w:rPr>
                <w:rStyle w:val="11"/>
                <w:color w:val="000000" w:themeColor="text1"/>
                <w:highlight w:val="none"/>
                <w:lang w:val="en-US" w:eastAsia="zh-CN" w:bidi="ar"/>
                <w14:textFill>
                  <w14:solidFill>
                    <w14:schemeClr w14:val="tx1"/>
                  </w14:solidFill>
                </w14:textFill>
              </w:rPr>
            </w:pPr>
            <w:r>
              <w:rPr>
                <w:rFonts w:ascii="宋体" w:hAnsi="宋体" w:eastAsia="宋体" w:cs="宋体"/>
                <w:color w:val="000000" w:themeColor="text1"/>
                <w:kern w:val="2"/>
                <w:sz w:val="22"/>
                <w:szCs w:val="22"/>
                <w:highlight w:val="none"/>
                <w:lang w:val="en-US" w:eastAsia="zh-CN" w:bidi="ar"/>
                <w14:textFill>
                  <w14:solidFill>
                    <w14:schemeClr w14:val="tx1"/>
                  </w14:solidFill>
                </w14:textFill>
              </w:rPr>
              <w:t>2、</w:t>
            </w:r>
            <w:r>
              <w:rPr>
                <w:rStyle w:val="11"/>
                <w:color w:val="000000" w:themeColor="text1"/>
                <w:highlight w:val="none"/>
                <w:lang w:val="en-US" w:eastAsia="zh-CN" w:bidi="ar"/>
                <w14:textFill>
                  <w14:solidFill>
                    <w14:schemeClr w14:val="tx1"/>
                  </w14:solidFill>
                </w14:textFill>
              </w:rPr>
              <w:t>基本误差：+2%(F·S)牛顿液体；</w:t>
            </w:r>
          </w:p>
          <w:p w14:paraId="729B371A">
            <w:pPr>
              <w:keepNext w:val="0"/>
              <w:keepLines w:val="0"/>
              <w:widowControl/>
              <w:numPr>
                <w:ilvl w:val="0"/>
                <w:numId w:val="0"/>
              </w:numPr>
              <w:suppressLineNumbers w:val="0"/>
              <w:ind w:left="0" w:leftChars="0" w:firstLine="0" w:firstLineChars="0"/>
              <w:jc w:val="left"/>
              <w:textAlignment w:val="center"/>
              <w:rPr>
                <w:rStyle w:val="11"/>
                <w:color w:val="000000" w:themeColor="text1"/>
                <w:highlight w:val="none"/>
                <w:lang w:val="en-US" w:eastAsia="zh-CN" w:bidi="ar"/>
                <w14:textFill>
                  <w14:solidFill>
                    <w14:schemeClr w14:val="tx1"/>
                  </w14:solidFill>
                </w14:textFill>
              </w:rPr>
            </w:pPr>
            <w:r>
              <w:rPr>
                <w:rStyle w:val="11"/>
                <w:rFonts w:hint="eastAsia"/>
                <w:color w:val="000000" w:themeColor="text1"/>
                <w:highlight w:val="none"/>
                <w:lang w:val="en-US" w:eastAsia="zh-CN" w:bidi="ar"/>
                <w14:textFill>
                  <w14:solidFill>
                    <w14:schemeClr w14:val="tx1"/>
                  </w14:solidFill>
                </w14:textFill>
              </w:rPr>
              <w:t>3、</w:t>
            </w:r>
            <w:r>
              <w:rPr>
                <w:rStyle w:val="11"/>
                <w:color w:val="000000" w:themeColor="text1"/>
                <w:highlight w:val="none"/>
                <w:lang w:val="en-US" w:eastAsia="zh-CN" w:bidi="ar"/>
                <w14:textFill>
                  <w14:solidFill>
                    <w14:schemeClr w14:val="tx1"/>
                  </w14:solidFill>
                </w14:textFill>
              </w:rPr>
              <w:t>显示：彩色触摸屏；</w:t>
            </w:r>
          </w:p>
          <w:p w14:paraId="50D5DE22">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
                <w14:textFill>
                  <w14:solidFill>
                    <w14:schemeClr w14:val="tx1"/>
                  </w14:solidFill>
                </w14:textFill>
              </w:rPr>
              <w:t>4</w:t>
            </w:r>
            <w:r>
              <w:rPr>
                <w:rFonts w:ascii="宋体" w:hAnsi="宋体" w:eastAsia="宋体" w:cs="宋体"/>
                <w:color w:val="000000" w:themeColor="text1"/>
                <w:kern w:val="2"/>
                <w:sz w:val="22"/>
                <w:szCs w:val="22"/>
                <w:highlight w:val="none"/>
                <w:lang w:val="en-US" w:eastAsia="zh-CN" w:bidi="ar"/>
                <w14:textFill>
                  <w14:solidFill>
                    <w14:schemeClr w14:val="tx1"/>
                  </w14:solidFill>
                </w14:textFill>
              </w:rPr>
              <w:t>、</w:t>
            </w:r>
            <w:r>
              <w:rPr>
                <w:rStyle w:val="11"/>
                <w:color w:val="000000" w:themeColor="text1"/>
                <w:highlight w:val="none"/>
                <w:lang w:val="en-US" w:eastAsia="zh-CN" w:bidi="ar"/>
                <w14:textFill>
                  <w14:solidFill>
                    <w14:schemeClr w14:val="tx1"/>
                  </w14:solidFill>
                </w14:textFill>
              </w:rPr>
              <w:t>数据输出：EXCEL/TXT文件输出(PC端)或者连接打印机(标准RS232接口）</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59972BE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2CEDCD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7D81F5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55D6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39392193">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C4BC03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油脂氧化稳定性测定仪</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7B4ED246">
            <w:pPr>
              <w:keepNext w:val="0"/>
              <w:keepLines w:val="0"/>
              <w:widowControl/>
              <w:numPr>
                <w:ilvl w:val="0"/>
                <w:numId w:val="0"/>
              </w:numPr>
              <w:suppressLineNumbers w:val="0"/>
              <w:jc w:val="left"/>
              <w:textAlignment w:val="cente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1、</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满足测试标准 NB/SH/T 0873、NB/SH/T 0825、GB/T 21121-2007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2、空气流量范围：8</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12L/h</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3、样品量：3g</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4、流量精度：±10%</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5、测试范围：0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800 μS/cm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6、分辨率：0.1μS/cm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7、气 源：专用隔膜泵10l/H</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8、加热方式：金属浴加热</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9、工作温度：50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220℃</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★10、显示方式：曲线/数字两种模式</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11、控温精度：±0.1℃</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★12、反应管密封盖采用模具制成的氟胶盖，内置进气宝塔接头和出气自密封快拧接头</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（提供产品彩页证明）；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★13、测量电极采用无外置电缆接触方式</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（提供产品彩页及实物图片证明）；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14、自带软件U盘，可以控制4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8个工位</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★15、可自动记录电导率变化曲线，并通过计算曲线的二阶导数，判断诱导拐点</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★16、测试结束后，结果诱导反应时间连同测试过程曲线会一并存入数据库中，以备查询</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★17、具有评估所谓稳定时间功能，即电导率达到某数值所需要的时间</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18、具有重新评估每个测试曲线。通过设定评估时间范围，选取曲线的某一段进行评估，从而可以避开某些因清洗、试样或其他原因导致的数据异常段；</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★19、软件数据库可保存所有与测试相关的数据，包括电导率曲线、诱导反应时间、所用方法、测试起止时间等</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★20、软件具有多曲线比较和曲线分析及温度和流量的校准的功能</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21、配置要求：</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21.1主机1台；</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21.2测量电极组件4套；</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21.3带孔温度校准组件1套；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21.4温度计（100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150/0.1℃）1支；</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21.5电缆连接器（16芯）2套；</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21.6 电缆连接器（3芯）1套；</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21.7RS485转USB转换器1个；</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21.8玻璃反应管4支；</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21.9反应管密封盖组件4套；</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21.10玻璃测量管4支；</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21.11玻璃通气管4支；</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21.12Φ5*7</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mm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硅胶管5米；</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21.13Φ3*2</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mm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特氟龙管2米；</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21.14干燥瓶250ml</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1套；</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21.15缓冲瓶250ml</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1套；</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21.16分析软件及数据分析系统1套；</w:t>
            </w:r>
          </w:p>
          <w:p w14:paraId="4817ADE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21.17配套电脑打印机各1台；</w:t>
            </w:r>
          </w:p>
          <w:p w14:paraId="2B6ED7C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22.技术服务要求：</w:t>
            </w:r>
          </w:p>
          <w:p w14:paraId="23F2400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22.1</w:t>
            </w: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货到</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后向采购人提供专业技术人员进行安装前的准备工作，提供相关的布局图和设计要求，提供实验室建设安装资料并作相应的指导。</w:t>
            </w:r>
          </w:p>
          <w:p w14:paraId="02315A2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22.2免费提供全面安装工具、并由仪器工程师免费安装。仪器安装后，安装工程师为用户进行现场培训。</w:t>
            </w:r>
          </w:p>
          <w:p w14:paraId="24C574A1">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22.3提供配套的调试工具和其他专用工具，提供全套仪器操作说明书。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1A2AE0B">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B1DD9F">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FD3347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740C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6E1A809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97016EB">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酶标仪</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16F0A5A2">
            <w:pPr>
              <w:keepNext w:val="0"/>
              <w:keepLines w:val="0"/>
              <w:widowControl/>
              <w:numPr>
                <w:ilvl w:val="0"/>
                <w:numId w:val="0"/>
              </w:numPr>
              <w:suppressLineNumbers w:val="0"/>
              <w:jc w:val="left"/>
              <w:textAlignment w:val="cente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光栅：优质光栅</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光栅范围 ：200 - 1000nm</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（提供产品彩页及实物图片证明）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读数范围 ：0.000 - 4.000Abs （@450nm）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线性范围 ：0.000 - 3.000Abs （@450nm）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重 复 性 ：CV≤0.5%</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稳 定 性 ：≤±0.5%（或±0.01 Abs ）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吸光度示值误差: ≤±0.01 Abs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波长示值误差：≤±2nm</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吸光度准确性@450nm±(1.0%+0.003Abs),(0~2.0 Abs];±2.0%,(2.0</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2.5Abs]</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分 辨 率 ：0.001Abs（显示、打印）、内部运算0.0001Abs</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振板功能：振板强度（由弱到强）3级可选，振板时间0 - 255秒可调</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孵育功能：室温+4℃</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 xml:space="preserve">50℃,精度37℃时±0.5℃ </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计算机软件：随机配备专业的计算机端酶标仪分析软件，具备完善的项目检测、数据处理、曲线拟合，阈值判断、质控评价、数据库管理、以及自定义报告单格式等功能。</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接口：COM+USB（通讯、打印、U盘）</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显示操作：不小于10.4吋液晶触摸屏显示操作、采用旋转屏设计，坐立视角可调节</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（提供产品彩页及实物图片证明）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单机功能配置抑制率测量模块</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（提供软件截图证明）。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具备光谱扫描功能、可对酶标板微孔杯进行波长扫描</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光谱扫描功能，可根据检测需要，1、5、10nm递增扫描样本</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（提供产品彩页及实物图片证明）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适用于蛋白质定量分析，支持紫外吸收、Bradford、Lowry等方法</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0、</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仪器可插U盘，直接导出数据。</w:t>
            </w:r>
          </w:p>
          <w:p w14:paraId="340DC24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21、技术服务要求：</w:t>
            </w:r>
          </w:p>
          <w:p w14:paraId="62986022">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21.1</w:t>
            </w:r>
            <w:r>
              <w:rPr>
                <w:rFonts w:hint="eastAsia" w:ascii="宋体" w:hAnsi="宋体" w:cs="宋体"/>
                <w:b w:val="0"/>
                <w:bCs w:val="0"/>
                <w:i w:val="0"/>
                <w:iCs w:val="0"/>
                <w:color w:val="000000" w:themeColor="text1"/>
                <w:kern w:val="0"/>
                <w:sz w:val="22"/>
                <w:szCs w:val="22"/>
                <w:highlight w:val="none"/>
                <w:u w:val="none"/>
                <w:lang w:val="en-US" w:eastAsia="zh-CN" w:bidi="ar"/>
                <w14:textFill>
                  <w14:solidFill>
                    <w14:schemeClr w14:val="tx1"/>
                  </w14:solidFill>
                </w14:textFill>
              </w:rPr>
              <w:t>货到</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后向采购人提供专业技术人员进行安装前的准备工作，提供相关的布局图和设计要求，提供实验室建设安装资料并作相应的指导。</w:t>
            </w:r>
          </w:p>
          <w:p w14:paraId="247A0448">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21.2免费提供全面安装工具、并由仪器工程师免费安装。仪器安装后，安装工程师为用户进行现场培训。</w:t>
            </w:r>
          </w:p>
          <w:p w14:paraId="52E0353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21.3提供配套的调试工具和其他专用工具，提供全套仪器操作说明书。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DDD351C">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796CA9">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0C886D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2570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0C5BFE19">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476086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教学一体机(含移动支架)</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539785FF">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一、整体设计</w:t>
            </w:r>
          </w:p>
          <w:p w14:paraId="4E798B40">
            <w:pPr>
              <w:pStyle w:val="5"/>
              <w:keepNext w:val="0"/>
              <w:keepLines w:val="0"/>
              <w:widowControl/>
              <w:numPr>
                <w:ilvl w:val="0"/>
                <w:numId w:val="0"/>
              </w:numPr>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1、整机采用全金属外壳，三拼接平面一体化设计，屏幕边缘采用圆角包边防护，整机背板采用金属材质，有效屏蔽内部电路器件辐射；防潮耐盐雾蚀锈，适应多种教学环境。主屏支持普通粉笔直接书写，整机两侧副屏可支持以下媒介（普通粉笔、液体粉笔、成膜笔）进行板书书写。</w:t>
            </w:r>
          </w:p>
          <w:p w14:paraId="3E18311E">
            <w:pPr>
              <w:keepNext w:val="0"/>
              <w:keepLines w:val="0"/>
              <w:widowControl/>
              <w:numPr>
                <w:ilvl w:val="0"/>
                <w:numId w:val="0"/>
              </w:numPr>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、整机屏幕采用86英寸超高清LED液晶屏，显示比例16:9，分辨率3840×2160。嵌入式系统版本不低于Android 13，内存≥2GB，存储空间≥8GB。钢化玻璃表面硬度≥9H。</w:t>
            </w:r>
          </w:p>
          <w:p w14:paraId="356FAD6C">
            <w:pPr>
              <w:pStyle w:val="5"/>
              <w:keepNext w:val="0"/>
              <w:keepLines w:val="0"/>
              <w:widowControl/>
              <w:numPr>
                <w:ilvl w:val="0"/>
                <w:numId w:val="0"/>
              </w:numPr>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、整机内置2.2声道扬声器，位于设备上边框，顶置朝前发声，前朝向10W高音扬声器2个，上朝向20W中低音扬声器2个，额定总功率60W。整机内置扬声器采用缝隙发声技术，喇叭采用槽式开口设计，不大于5.8mm。</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（提供具有CNAS或CMA标识的第三方检测机构出具的检测报告复印件</w:t>
            </w:r>
            <w:r>
              <w:rPr>
                <w:rFonts w:hint="eastAsia" w:cs="宋体"/>
                <w:b/>
                <w:bCs/>
                <w:i w:val="0"/>
                <w:iCs w:val="0"/>
                <w:color w:val="000000" w:themeColor="text1"/>
                <w:kern w:val="0"/>
                <w:sz w:val="21"/>
                <w:szCs w:val="21"/>
                <w:highlight w:val="none"/>
                <w:u w:val="none"/>
                <w:lang w:val="en-US" w:eastAsia="zh-CN"/>
                <w14:textFill>
                  <w14:solidFill>
                    <w14:schemeClr w14:val="tx1"/>
                  </w14:solidFill>
                </w14:textFill>
              </w:rPr>
              <w:t>或影印件或扫描件并加盖供应商公章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76592AE5">
            <w:pPr>
              <w:keepNext w:val="0"/>
              <w:keepLines w:val="0"/>
              <w:widowControl/>
              <w:numPr>
                <w:ilvl w:val="0"/>
                <w:numId w:val="0"/>
              </w:numPr>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（提供具有CNAS或CMA标识的第三方检测机构出具的检测报告复印件</w:t>
            </w:r>
            <w:r>
              <w:rPr>
                <w:rFonts w:hint="eastAsia" w:cs="宋体"/>
                <w:b/>
                <w:bCs/>
                <w:i w:val="0"/>
                <w:iCs w:val="0"/>
                <w:color w:val="000000" w:themeColor="text1"/>
                <w:kern w:val="0"/>
                <w:sz w:val="21"/>
                <w:szCs w:val="21"/>
                <w:highlight w:val="none"/>
                <w:u w:val="none"/>
                <w:lang w:val="en-US" w:eastAsia="zh-CN"/>
                <w14:textFill>
                  <w14:solidFill>
                    <w14:schemeClr w14:val="tx1"/>
                  </w14:solidFill>
                </w14:textFill>
              </w:rPr>
              <w:t>或影印件或扫描件并加盖供应商公章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2E6D284E">
            <w:pPr>
              <w:keepNext w:val="0"/>
              <w:keepLines w:val="0"/>
              <w:widowControl/>
              <w:numPr>
                <w:ilvl w:val="0"/>
                <w:numId w:val="0"/>
              </w:numPr>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、整机全通道支持纸质护眼模式，可实现画面纹理的实时调整；支持纸质纹理：牛皮纸、素描纸、宣纸、水彩纸、水纹纸；支持透明度调节；支持色温调节。</w:t>
            </w:r>
          </w:p>
          <w:p w14:paraId="6884CFBF">
            <w:pPr>
              <w:pStyle w:val="5"/>
              <w:keepNext w:val="0"/>
              <w:keepLines w:val="0"/>
              <w:widowControl/>
              <w:numPr>
                <w:ilvl w:val="0"/>
                <w:numId w:val="0"/>
              </w:numPr>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二、其他功能要求</w:t>
            </w:r>
          </w:p>
          <w:p w14:paraId="067511CC">
            <w:pPr>
              <w:keepNext w:val="0"/>
              <w:keepLines w:val="0"/>
              <w:widowControl/>
              <w:numPr>
                <w:ilvl w:val="0"/>
                <w:numId w:val="0"/>
              </w:numPr>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、整机上边框内置非独立式摄像头，采用一体化集成设计，摄像头数量≥4个。整机内置至少三个摄像头像素值均大于800 万。</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（提供具有CNAS或CMA标识的第三方检测机构出具的检测报告复印件</w:t>
            </w:r>
            <w:r>
              <w:rPr>
                <w:rFonts w:hint="eastAsia" w:cs="宋体"/>
                <w:b/>
                <w:bCs/>
                <w:i w:val="0"/>
                <w:iCs w:val="0"/>
                <w:color w:val="000000" w:themeColor="text1"/>
                <w:kern w:val="0"/>
                <w:sz w:val="21"/>
                <w:szCs w:val="21"/>
                <w:highlight w:val="none"/>
                <w:u w:val="none"/>
                <w:lang w:val="en-US" w:eastAsia="zh-CN"/>
                <w14:textFill>
                  <w14:solidFill>
                    <w14:schemeClr w14:val="tx1"/>
                  </w14:solidFill>
                </w14:textFill>
              </w:rPr>
              <w:t>或影印件或扫描件并加盖供应商公章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1CF20BC6">
            <w:pPr>
              <w:pStyle w:val="5"/>
              <w:keepNext w:val="0"/>
              <w:keepLines w:val="0"/>
              <w:widowControl/>
              <w:numPr>
                <w:ilvl w:val="0"/>
                <w:numId w:val="0"/>
              </w:numPr>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、整机上边框内置非独立式3个智能拼接摄像头，视场角≥141度且水平视场角≥139度，可拍摄＞1600万像素，支持输出8192×2048分辨率的照片和视频，支持画面畸变矫正功能 。</w:t>
            </w:r>
          </w:p>
          <w:p w14:paraId="3117BD13">
            <w:pPr>
              <w:pStyle w:val="5"/>
              <w:keepNext w:val="0"/>
              <w:keepLines w:val="0"/>
              <w:widowControl/>
              <w:numPr>
                <w:ilvl w:val="0"/>
                <w:numId w:val="0"/>
              </w:numPr>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、整机设备开机启动后，自动进入教学桌面，支持账号登录、退出，自动获取个人云端教学课件列表，并可进入全部课件列表。</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（提供具有CNAS或CMA标识的第三方检测机构出具的检测报告复印件</w:t>
            </w:r>
            <w:r>
              <w:rPr>
                <w:rFonts w:hint="eastAsia" w:cs="宋体"/>
                <w:b/>
                <w:bCs/>
                <w:i w:val="0"/>
                <w:iCs w:val="0"/>
                <w:color w:val="000000" w:themeColor="text1"/>
                <w:kern w:val="0"/>
                <w:sz w:val="21"/>
                <w:szCs w:val="21"/>
                <w:highlight w:val="none"/>
                <w:u w:val="none"/>
                <w:lang w:val="en-US" w:eastAsia="zh-CN"/>
                <w14:textFill>
                  <w14:solidFill>
                    <w14:schemeClr w14:val="tx1"/>
                  </w14:solidFill>
                </w14:textFill>
              </w:rPr>
              <w:t>或影印件或扫描件并加盖供应商公章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4788B5E2">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三、白板软件部分：</w:t>
            </w:r>
          </w:p>
          <w:p w14:paraId="3BEC1B34">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1、为使用方全体教师配备个人账号，形成一体的信息化教学账号体系；根据教师账号信息将教师云空间匹配至对应学校、学科校本资源库。支持通过数字账号、微信二维码、硬件密钥方式登录教师个人账号。</w:t>
            </w:r>
          </w:p>
          <w:p w14:paraId="104C0774">
            <w:pPr>
              <w:keepNext w:val="0"/>
              <w:keepLines w:val="0"/>
              <w:widowControl/>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、★AI智能备课助手：可以在备课场景中搜索课件库课件资源，具有 160</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000</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具</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有CNAS或CMA标识的第三方检测机构出具的检测报告复印件</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或影印件或扫描件</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并加盖</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241BD7FE">
            <w:pPr>
              <w:keepNext w:val="0"/>
              <w:keepLines w:val="0"/>
              <w:widowControl/>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具</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有CNAS</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或</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CMA标识的第三方检测机构出具的检测报告复印件</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或影印件或扫描件</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并加盖</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13A8BB04">
            <w:pPr>
              <w:keepNext w:val="0"/>
              <w:keepLines w:val="0"/>
              <w:widowControl/>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、云教案内容可自动同步至云空间，支持以链接方式进行定向式分享和开放式分享。接收者可直接在桌面浏览器、微信浏览器内打开预览，可将云教案转存至个人云空间。云教案支持导出为PDF格式。</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具</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有CNAS或CMA标识的第三方检测机构出具的检测报告复印件</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或影印件或扫描件</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并加盖</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126E54D3">
            <w:pPr>
              <w:keepNext w:val="0"/>
              <w:keepLines w:val="0"/>
              <w:widowControl/>
              <w:suppressLineNumbers w:val="0"/>
              <w:jc w:val="left"/>
              <w:textAlignment w:val="bottom"/>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5</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、云教案与云课件可一对多关联绑定，产生绑定后，在课件页和教案页均支持在同一面板打开关联的云课件或云教案预览，便于老师备课时相互对照。</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具</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有CNAS或CMA标识的第三方检测机构出具的检测报告复印件</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或影印件或扫描件</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并加盖</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 xml:space="preserve">） </w:t>
            </w:r>
          </w:p>
          <w:p w14:paraId="450CB0C3">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四、OPS电脑配置要求：</w:t>
            </w:r>
          </w:p>
          <w:p w14:paraId="66B5C437">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w:t>
            </w: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1</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、采用按压式卡扣，无需工具就可快速拆卸电脑模块；具有标准PC防盗锁孔。</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（提供具有CNAS或CMA标识的第三方</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检测</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机构出具的检测报告复印件</w:t>
            </w:r>
            <w:r>
              <w:rPr>
                <w:rFonts w:hint="eastAsia" w:ascii="宋体" w:hAnsi="宋体" w:cs="宋体"/>
                <w:b/>
                <w:bCs/>
                <w:i w:val="0"/>
                <w:iCs w:val="0"/>
                <w:color w:val="000000" w:themeColor="text1"/>
                <w:kern w:val="0"/>
                <w:sz w:val="21"/>
                <w:szCs w:val="21"/>
                <w:highlight w:val="none"/>
                <w:u w:val="none"/>
                <w:lang w:val="en-US" w:eastAsia="zh-CN"/>
                <w14:textFill>
                  <w14:solidFill>
                    <w14:schemeClr w14:val="tx1"/>
                  </w14:solidFill>
                </w14:textFill>
              </w:rPr>
              <w:t>或影印件或扫描件并加盖供应商公章</w:t>
            </w: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w:t>
            </w:r>
          </w:p>
          <w:p w14:paraId="754855AE">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2</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、内存≥8GB ，固定内存≥256GB SSD。</w:t>
            </w:r>
          </w:p>
          <w:p w14:paraId="507BE135">
            <w:pPr>
              <w:keepNext w:val="0"/>
              <w:keepLines w:val="0"/>
              <w:widowControl/>
              <w:suppressLineNumbers w:val="0"/>
              <w:jc w:val="left"/>
              <w:textAlignment w:val="bottom"/>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3</w:t>
            </w:r>
            <w:r>
              <w:rPr>
                <w:rFonts w:hint="eastAsia" w:ascii="宋体" w:hAnsi="宋体" w:eastAsia="宋体" w:cs="宋体"/>
                <w:b w:val="0"/>
                <w:bCs w:val="0"/>
                <w:i w:val="0"/>
                <w:iCs w:val="0"/>
                <w:color w:val="000000" w:themeColor="text1"/>
                <w:kern w:val="0"/>
                <w:sz w:val="21"/>
                <w:szCs w:val="21"/>
                <w:highlight w:val="none"/>
                <w:u w:val="none"/>
                <w:lang w:val="en-US" w:eastAsia="zh-CN"/>
                <w14:textFill>
                  <w14:solidFill>
                    <w14:schemeClr w14:val="tx1"/>
                  </w14:solidFill>
                </w14:textFill>
              </w:rPr>
              <w:t>、PC模块支持不断电情况下热插拔，以便快速维护或替换模块。具有标准PC防盗锁孔。</w:t>
            </w:r>
          </w:p>
          <w:p w14:paraId="5BF0E86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技术服务要求：</w:t>
            </w:r>
          </w:p>
          <w:p w14:paraId="24B1C945">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2"/>
                <w:szCs w:val="22"/>
                <w:highlight w:val="none"/>
                <w:lang w:val="en-US" w:eastAsia="zh-CN" w:bidi="ar"/>
                <w14:textFill>
                  <w14:solidFill>
                    <w14:schemeClr w14:val="tx1"/>
                  </w14:solidFill>
                </w14:textFill>
              </w:rPr>
              <w:t>货到</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后向采购人提供专业技术人员进行安装前的准备工作，提供相关的布局图和设计要求，提供实验室建设安装资料并作相应的指导。</w:t>
            </w:r>
          </w:p>
          <w:p w14:paraId="1B9716CD">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免费提供全面安装工具、并由仪器工程师免费安装。仪器安装后，安装工程师为用户进行现场培训。</w:t>
            </w:r>
          </w:p>
          <w:p w14:paraId="7DEF76BD">
            <w:pPr>
              <w:keepNext w:val="0"/>
              <w:keepLines w:val="0"/>
              <w:widowControl/>
              <w:numPr>
                <w:ilvl w:val="0"/>
                <w:numId w:val="0"/>
              </w:numPr>
              <w:suppressLineNumbers w:val="0"/>
              <w:jc w:val="left"/>
              <w:textAlignment w:val="center"/>
              <w:rPr>
                <w:rFonts w:hint="eastAsia" w:ascii="宋体" w:hAnsi="宋体" w:eastAsia="宋体" w:cs="宋体"/>
                <w:color w:val="000000" w:themeColor="text1"/>
                <w:kern w:val="2"/>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提供配套的调试工具和其他专用工具，提供全套仪器操作说明书。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FA29682">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2C76654">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0AD4F8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B27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6201F5C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6F92B3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台式高速冷冻离心机</w:t>
            </w:r>
          </w:p>
        </w:tc>
        <w:tc>
          <w:tcPr>
            <w:tcW w:w="5191" w:type="dxa"/>
            <w:tcBorders>
              <w:top w:val="single" w:color="auto" w:sz="4" w:space="0"/>
              <w:left w:val="single" w:color="auto" w:sz="4" w:space="0"/>
              <w:bottom w:val="single" w:color="auto" w:sz="4" w:space="0"/>
              <w:right w:val="single" w:color="auto" w:sz="4" w:space="0"/>
            </w:tcBorders>
            <w:shd w:val="clear" w:color="auto" w:fill="auto"/>
            <w:vAlign w:val="center"/>
          </w:tcPr>
          <w:p w14:paraId="1CD939C2">
            <w:pPr>
              <w:keepNext w:val="0"/>
              <w:keepLines w:val="0"/>
              <w:widowControl/>
              <w:numPr>
                <w:ilvl w:val="0"/>
                <w:numId w:val="0"/>
              </w:numPr>
              <w:suppressLineNumbers w:val="0"/>
              <w:jc w:val="left"/>
              <w:textAlignment w:val="cente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1、</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不小于触屏可编程操作，采用微电脑控制，直流变频无刷电机直接驱动，控速精准</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★2、操作界面可实时显示设定及运行参数；配置多功能运行呼吸灯，让实验过程色彩缤纷</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（提供产品彩页和实物图片证明）；</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3、采用无氟制冷压缩机组(制冷剂R404a) ，符合环保要求，具有预冷功能及宽泛的温控范围：-20℃至+40℃，可快速达到设定温度；腔体间内嵌国标铜管，冷热交换能力强，确保恒温离心效果。</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4、拥有超速、超温、不平衡、误操作、过流过压、防夹手等多种声光预警保护功能；</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5、门盖采用电子门锁、电动撑杆，自动一键开关门更平稳顺畅，停机或停电状态下可手动开启门盖；</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6、不少于10档升速/10档降速；三级阻尼减震，保证样本平稳运行，无重悬现象；</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★7、具有转子自动识别功能，自动加载并锁定转子参数</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（提供实物图片证明）；</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8、最大容量≥4×100mL</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9、最高转速≥16800r/min</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10、最大相对离心力≥22500×g；</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11、转速精度：±10r/min （默认国标参数±30r/min，可定制）</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12、控制及驱动系统：微电脑控制，免维护大力矩直流无刷变频电机</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13、温控范围：-20°C</w:t>
            </w: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+40°C</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14、温度调节精度：±1℃</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15、定时范围：10s-99h59min59s，具备连续离心及瞬时离心</w:t>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br w:type="textWrapping"/>
            </w: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16、配置6×50mL角转子1个，要求最高转速≥12000r/min，最大相对离心力≥17424×g</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w:t>
            </w:r>
          </w:p>
          <w:p w14:paraId="14E9E1E0">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17、技术服务要求：</w:t>
            </w:r>
          </w:p>
          <w:p w14:paraId="5DF2B672">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lang w:val="en-US" w:eastAsia="zh-CN" w:bidi="ar"/>
                <w14:textFill>
                  <w14:solidFill>
                    <w14:schemeClr w14:val="tx1"/>
                  </w14:solidFill>
                </w14:textFill>
              </w:rPr>
              <w:t>17.1</w:t>
            </w:r>
            <w:r>
              <w:rPr>
                <w:rFonts w:hint="eastAsia" w:ascii="宋体" w:hAnsi="宋体" w:cs="宋体"/>
                <w:b w:val="0"/>
                <w:bCs w:val="0"/>
                <w:i w:val="0"/>
                <w:iCs w:val="0"/>
                <w:color w:val="000000" w:themeColor="text1"/>
                <w:kern w:val="0"/>
                <w:sz w:val="22"/>
                <w:szCs w:val="22"/>
                <w:highlight w:val="none"/>
                <w:lang w:val="en-US" w:eastAsia="zh-CN" w:bidi="ar"/>
                <w14:textFill>
                  <w14:solidFill>
                    <w14:schemeClr w14:val="tx1"/>
                  </w14:solidFill>
                </w14:textFill>
              </w:rPr>
              <w:t>货到</w:t>
            </w: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后向采购人提供专业技术人员进行安装前的准备工作，提供相关的布局图和设计要求，提供实验室建设安装资料并作相应的指导。</w:t>
            </w:r>
          </w:p>
          <w:p w14:paraId="453297EB">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17.2</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免费提供全面安装工具、并由仪器工程师免费安装。仪器安装后，安装工程师为用户进行现场培训。</w:t>
            </w:r>
          </w:p>
          <w:p w14:paraId="14321F3A">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lang w:val="en-US" w:eastAsia="zh-CN" w:bidi="ar"/>
                <w14:textFill>
                  <w14:solidFill>
                    <w14:schemeClr w14:val="tx1"/>
                  </w14:solidFill>
                </w14:textFill>
              </w:rPr>
              <w:t>17.3</w:t>
            </w: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提供配套的调试工具和其他专用工具，提供全套仪器操作说明书。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0B80C17F">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118EC5D">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09B094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p>
        </w:tc>
      </w:tr>
      <w:tr w14:paraId="6EC6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795AE4F">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rPr>
            </w:pPr>
            <w:r>
              <w:rPr>
                <w:rFonts w:hint="eastAsia" w:ascii="宋体" w:hAnsi="宋体" w:eastAsia="宋体" w:cs="宋体"/>
                <w:b/>
                <w:bCs/>
                <w:i w:val="0"/>
                <w:iCs w:val="0"/>
                <w:color w:val="000000"/>
                <w:kern w:val="2"/>
                <w:sz w:val="21"/>
                <w:szCs w:val="21"/>
                <w:highlight w:val="none"/>
                <w:u w:val="none"/>
                <w:lang w:val="en-US" w:eastAsia="zh-CN" w:bidi="ar-SA"/>
              </w:rPr>
              <w:t xml:space="preserve">说明： </w:t>
            </w:r>
          </w:p>
          <w:p w14:paraId="350718C2">
            <w:pPr>
              <w:pageBreakBefore w:val="0"/>
              <w:widowControl/>
              <w:kinsoku/>
              <w:overflowPunct/>
              <w:topLinePunct w:val="0"/>
              <w:bidi w:val="0"/>
              <w:snapToGrid/>
              <w:spacing w:line="440" w:lineRule="exact"/>
              <w:jc w:val="left"/>
              <w:textAlignment w:val="auto"/>
              <w:rPr>
                <w:rFonts w:hint="default"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1、标</w:t>
            </w:r>
            <w:r>
              <w:rPr>
                <w:rFonts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b/>
                <w:bCs/>
                <w:color w:val="auto"/>
                <w:kern w:val="0"/>
                <w:sz w:val="21"/>
                <w:szCs w:val="21"/>
                <w:highlight w:val="none"/>
              </w:rPr>
              <w:t>技术参数</w:t>
            </w:r>
            <w:r>
              <w:rPr>
                <w:rFonts w:hint="eastAsia" w:ascii="宋体" w:hAnsi="宋体" w:cs="宋体"/>
                <w:b/>
                <w:bCs/>
                <w:color w:val="auto"/>
                <w:kern w:val="0"/>
                <w:sz w:val="21"/>
                <w:szCs w:val="21"/>
                <w:highlight w:val="none"/>
                <w:lang w:val="en-US" w:eastAsia="zh-CN"/>
              </w:rPr>
              <w:t>要求提供的证明材料（检测报告、产品彩页等）均须在响应文件中提供。</w:t>
            </w:r>
          </w:p>
          <w:p w14:paraId="5406EBCB">
            <w:pPr>
              <w:pageBreakBefore w:val="0"/>
              <w:widowControl/>
              <w:kinsoku/>
              <w:overflowPunct/>
              <w:topLinePunct w:val="0"/>
              <w:bidi w:val="0"/>
              <w:snapToGrid/>
              <w:spacing w:line="440" w:lineRule="exact"/>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响应人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文件必须标明所投货物的品牌与参数，保证原厂正品供货。</w:t>
            </w:r>
          </w:p>
          <w:p w14:paraId="507D5D7E">
            <w:pPr>
              <w:pageBreakBefore w:val="0"/>
              <w:widowControl/>
              <w:kinsoku/>
              <w:overflowPunct/>
              <w:topLinePunct w:val="0"/>
              <w:bidi w:val="0"/>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、所有技术参数及要求采购人验收时将逐条核对，如发现与实际情况不符、虚假响应等，</w:t>
            </w:r>
            <w:r>
              <w:rPr>
                <w:rFonts w:hint="eastAsia" w:ascii="宋体" w:hAnsi="宋体" w:eastAsia="宋体" w:cs="宋体"/>
                <w:strike w:val="0"/>
                <w:dstrike w:val="0"/>
                <w:color w:val="auto"/>
                <w:szCs w:val="21"/>
                <w:highlight w:val="none"/>
                <w:lang w:val="en-US" w:eastAsia="zh-CN"/>
              </w:rPr>
              <w:t>采购人有权报监管部门并追究违约责任。</w:t>
            </w:r>
          </w:p>
          <w:p w14:paraId="47574D36">
            <w:pPr>
              <w:pageBreakBefore w:val="0"/>
              <w:widowControl/>
              <w:kinsoku/>
              <w:overflowPunct/>
              <w:topLinePunct w:val="0"/>
              <w:bidi w:val="0"/>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、响应人应按照谈判文件要求提供证明材料。若响应人提供了竞争性谈判文件未要求的证明材料，谈判小组将不予评审。</w:t>
            </w:r>
          </w:p>
          <w:p w14:paraId="38F7B423">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b w:val="0"/>
                <w:color w:val="auto"/>
                <w:kern w:val="2"/>
                <w:sz w:val="21"/>
                <w:szCs w:val="21"/>
                <w:highlight w:val="none"/>
                <w:shd w:val="clear"/>
                <w:lang w:val="en-US" w:eastAsia="zh-CN" w:bidi="ar-SA"/>
              </w:rPr>
              <w:t>5</w:t>
            </w:r>
            <w:r>
              <w:rPr>
                <w:rFonts w:hint="eastAsia" w:ascii="宋体" w:hAnsi="宋体" w:eastAsia="宋体" w:cs="宋体"/>
                <w:b w:val="0"/>
                <w:color w:val="auto"/>
                <w:kern w:val="2"/>
                <w:sz w:val="21"/>
                <w:szCs w:val="21"/>
                <w:highlight w:val="none"/>
                <w:shd w:val="clear"/>
                <w:lang w:val="en-US" w:eastAsia="zh-CN" w:bidi="ar-SA"/>
              </w:rPr>
              <w:t>、响应人提供的证明材料须清晰地反映评审内容，如因材料模糊不清，导致谈判小组无法辨认的，谈判小组可以不予认可，一切后果由响应人自行承担。</w:t>
            </w:r>
          </w:p>
        </w:tc>
      </w:tr>
    </w:tbl>
    <w:p w14:paraId="12BFB303">
      <w:pPr>
        <w:pStyle w:val="4"/>
        <w:tabs>
          <w:tab w:val="left" w:pos="2730"/>
        </w:tabs>
        <w:ind w:firstLine="472" w:firstLineChars="196"/>
        <w:rPr>
          <w:color w:val="auto"/>
          <w:highlight w:val="none"/>
        </w:rPr>
      </w:pPr>
      <w:r>
        <w:rPr>
          <w:rFonts w:hint="eastAsia"/>
          <w:color w:val="auto"/>
          <w:highlight w:val="none"/>
        </w:rPr>
        <w:t>三、人员培训要求</w:t>
      </w:r>
    </w:p>
    <w:p w14:paraId="2CCF6DC3">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w:t>
      </w:r>
      <w:r>
        <w:rPr>
          <w:rFonts w:hint="eastAsia" w:ascii="宋体" w:hAnsi="宋体"/>
          <w:color w:val="auto"/>
          <w:szCs w:val="21"/>
          <w:highlight w:val="none"/>
          <w:lang w:val="en-US" w:eastAsia="zh-CN"/>
        </w:rPr>
        <w:t>成交人</w:t>
      </w:r>
      <w:r>
        <w:rPr>
          <w:rFonts w:hint="eastAsia" w:ascii="宋体" w:hAnsi="宋体"/>
          <w:color w:val="auto"/>
          <w:szCs w:val="21"/>
          <w:highlight w:val="none"/>
        </w:rPr>
        <w:t>应对采购人的相关人员进行免费现场培训。培训内容包括基本操作、保养维修、常见故障及解决办法等。</w:t>
      </w:r>
    </w:p>
    <w:p w14:paraId="4FC8308D">
      <w:pPr>
        <w:pStyle w:val="4"/>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四、货物质量及售后服务要求</w:t>
      </w:r>
    </w:p>
    <w:p w14:paraId="5E10F43D">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w:t>
      </w:r>
      <w:r>
        <w:rPr>
          <w:rFonts w:hint="eastAsia" w:ascii="宋体" w:hAnsi="宋体"/>
          <w:color w:val="auto"/>
          <w:szCs w:val="21"/>
          <w:highlight w:val="none"/>
          <w:lang w:val="en-US" w:eastAsia="zh-CN"/>
        </w:rPr>
        <w:t>成交</w:t>
      </w:r>
      <w:r>
        <w:rPr>
          <w:rFonts w:hint="eastAsia" w:ascii="宋体" w:hAnsi="宋体"/>
          <w:color w:val="auto"/>
          <w:szCs w:val="21"/>
          <w:highlight w:val="none"/>
        </w:rPr>
        <w:t>人提供的货物必须是全新、原装、合格正品，完全符合国家规定的质量标准和厂方的标准。货物完好，配件齐全。</w:t>
      </w:r>
    </w:p>
    <w:p w14:paraId="610F5816">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w:t>
      </w:r>
      <w:r>
        <w:rPr>
          <w:rFonts w:hint="eastAsia" w:ascii="宋体" w:hAnsi="宋体"/>
          <w:color w:val="auto"/>
          <w:szCs w:val="21"/>
          <w:highlight w:val="none"/>
          <w:lang w:eastAsia="zh-CN"/>
        </w:rPr>
        <w:t>谈判文件</w:t>
      </w:r>
      <w:r>
        <w:rPr>
          <w:rFonts w:hint="eastAsia" w:ascii="宋体" w:hAnsi="宋体"/>
          <w:color w:val="auto"/>
          <w:szCs w:val="21"/>
          <w:highlight w:val="none"/>
        </w:rPr>
        <w:t>另有约定的从其约定。质保期从货物验收合格后算起。</w:t>
      </w:r>
    </w:p>
    <w:p w14:paraId="5AE109EB">
      <w:pPr>
        <w:pStyle w:val="4"/>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 xml:space="preserve">五、验收     </w:t>
      </w:r>
    </w:p>
    <w:p w14:paraId="336DB482">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w:t>
      </w:r>
      <w:r>
        <w:rPr>
          <w:rFonts w:hint="eastAsia" w:ascii="宋体" w:hAnsi="宋体"/>
          <w:color w:val="auto"/>
          <w:szCs w:val="21"/>
          <w:highlight w:val="none"/>
          <w:lang w:eastAsia="zh-CN"/>
        </w:rPr>
        <w:t>效。</w:t>
      </w:r>
      <w:bookmarkEnd w:id="3"/>
      <w:bookmarkEnd w:id="4"/>
      <w:bookmarkStart w:id="5" w:name="_GoBack"/>
      <w:bookmarkEnd w:id="5"/>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667D">
    <w:pPr>
      <w:pStyle w:val="8"/>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84C95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2284C95F">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B9F4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13E1"/>
    <w:multiLevelType w:val="singleLevel"/>
    <w:tmpl w:val="AC6E13E1"/>
    <w:lvl w:ilvl="0" w:tentative="0">
      <w:start w:val="1"/>
      <w:numFmt w:val="decimal"/>
      <w:suff w:val="nothing"/>
      <w:lvlText w:val="%1、"/>
      <w:lvlJc w:val="left"/>
    </w:lvl>
  </w:abstractNum>
  <w:abstractNum w:abstractNumId="1">
    <w:nsid w:val="5F53E7A0"/>
    <w:multiLevelType w:val="singleLevel"/>
    <w:tmpl w:val="5F53E7A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25CFE"/>
    <w:rsid w:val="53D2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styleId="6">
    <w:name w:val="toc 2"/>
    <w:basedOn w:val="1"/>
    <w:next w:val="1"/>
    <w:qFormat/>
    <w:uiPriority w:val="39"/>
    <w:pPr>
      <w:spacing w:line="500" w:lineRule="exact"/>
      <w:ind w:left="200" w:leftChars="200"/>
    </w:pPr>
    <w:rPr>
      <w:sz w:val="24"/>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character" w:customStyle="1" w:styleId="11">
    <w:name w:val="font11"/>
    <w:basedOn w:val="10"/>
    <w:qFormat/>
    <w:uiPriority w:val="0"/>
    <w:rPr>
      <w:rFonts w:ascii="宋体" w:hAnsi="宋体" w:eastAsia="宋体" w:cs="宋体"/>
      <w:color w:val="000000"/>
      <w:sz w:val="22"/>
      <w:szCs w:val="22"/>
      <w:u w:val="none"/>
    </w:rPr>
  </w:style>
  <w:style w:type="character" w:customStyle="1" w:styleId="12">
    <w:name w:val="font51"/>
    <w:basedOn w:val="10"/>
    <w:autoRedefine/>
    <w:qFormat/>
    <w:uiPriority w:val="0"/>
    <w:rPr>
      <w:rFonts w:hint="eastAsia" w:ascii="华文仿宋" w:hAnsi="华文仿宋" w:eastAsia="华文仿宋" w:cs="华文仿宋"/>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2024-11-14T09:12:00Z</dcterms:created>
  <dc:creator>NTKO</dc:creator>
  <cp:lastModifiedBy>NTKO</cp:lastModifiedBy>
  <dcterms:modified xsi:type="dcterms:W3CDTF">2024-11-14T09:12:50Z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FFB6DAB58F1B4D04A49467C6342C0C87_11</vt:lpwstr>
  </property>
</Properties>
</file>