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auto"/>
          <w:sz w:val="44"/>
          <w:szCs w:val="44"/>
          <w:highlight w:val="none"/>
          <w:lang w:eastAsia="zh-CN"/>
        </w:rPr>
      </w:pPr>
      <w:bookmarkStart w:id="0" w:name="_Toc55202308"/>
      <w:bookmarkStart w:id="1" w:name="_Toc5725"/>
    </w:p>
    <w:p>
      <w:pPr>
        <w:spacing w:line="360" w:lineRule="exact"/>
        <w:jc w:val="center"/>
        <w:rPr>
          <w:rFonts w:hint="eastAsia"/>
          <w:b/>
          <w:bCs/>
          <w:color w:val="333333"/>
          <w:sz w:val="30"/>
          <w:szCs w:val="30"/>
          <w:shd w:val="clear" w:fill="FFFFFF"/>
          <w:lang w:val="en-US" w:eastAsia="zh-CN"/>
        </w:rPr>
      </w:pPr>
      <w:r>
        <w:rPr>
          <w:rFonts w:hint="eastAsia"/>
          <w:b/>
          <w:bCs/>
          <w:color w:val="333333"/>
          <w:sz w:val="30"/>
          <w:szCs w:val="30"/>
          <w:shd w:val="clear" w:fill="FFFFFF"/>
          <w:lang w:val="en-US" w:eastAsia="zh-CN"/>
        </w:rPr>
        <w:t>安庆职业技术学院纪委谈话室建设工程</w:t>
      </w:r>
    </w:p>
    <w:p>
      <w:pPr>
        <w:spacing w:line="360" w:lineRule="auto"/>
        <w:jc w:val="center"/>
        <w:rPr>
          <w:rFonts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p>
    <w:p>
      <w:pPr>
        <w:spacing w:line="360" w:lineRule="auto"/>
        <w:jc w:val="center"/>
        <w:rPr>
          <w:rFonts w:ascii="宋体" w:hAnsi="宋体" w:cs="宋体"/>
          <w:b/>
          <w:color w:val="auto"/>
          <w:sz w:val="110"/>
          <w:szCs w:val="110"/>
          <w:highlight w:val="none"/>
        </w:rPr>
      </w:pPr>
      <w:r>
        <w:rPr>
          <w:rFonts w:hint="eastAsia" w:ascii="宋体" w:hAnsi="宋体" w:cs="宋体"/>
          <w:b/>
          <w:color w:val="auto"/>
          <w:sz w:val="110"/>
          <w:szCs w:val="110"/>
          <w:highlight w:val="none"/>
        </w:rPr>
        <w:t xml:space="preserve"> 竞争性谈判文件</w:t>
      </w:r>
    </w:p>
    <w:p>
      <w:pPr>
        <w:spacing w:line="360" w:lineRule="auto"/>
        <w:jc w:val="center"/>
        <w:rPr>
          <w:rFonts w:hint="default" w:ascii="宋体" w:hAnsi="宋体" w:eastAsia="宋体" w:cs="宋体"/>
          <w:b/>
          <w:color w:val="auto"/>
          <w:sz w:val="24"/>
          <w:szCs w:val="32"/>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val="en-US" w:eastAsia="zh-CN"/>
        </w:rPr>
        <w:t>GC-AQ-W2022-028</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ascii="宋体" w:hAnsi="宋体" w:cs="宋体"/>
          <w:b/>
          <w:color w:val="auto"/>
          <w:szCs w:val="21"/>
          <w:highlight w:val="none"/>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pacing w:val="20"/>
          <w:sz w:val="30"/>
          <w:szCs w:val="30"/>
          <w:highlight w:val="none"/>
          <w:u w:val="single"/>
        </w:rPr>
        <w:t xml:space="preserve">  安庆职业技术学院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602" w:firstLineChars="200"/>
        <w:rPr>
          <w:rFonts w:ascii="宋体" w:hAnsi="宋体" w:cs="宋体"/>
          <w:b/>
          <w:color w:val="auto"/>
          <w:sz w:val="18"/>
          <w:szCs w:val="18"/>
          <w:highlight w:val="none"/>
        </w:rPr>
      </w:pPr>
      <w:r>
        <w:rPr>
          <w:rFonts w:hint="eastAsia" w:ascii="宋体" w:hAnsi="宋体" w:cs="宋体"/>
          <w:b/>
          <w:color w:val="auto"/>
          <w:sz w:val="30"/>
          <w:szCs w:val="30"/>
          <w:highlight w:val="none"/>
        </w:rPr>
        <w:t>采购</w:t>
      </w:r>
      <w:r>
        <w:rPr>
          <w:rFonts w:hint="eastAsia" w:ascii="宋体" w:hAnsi="宋体" w:cs="宋体"/>
          <w:b/>
          <w:color w:val="auto"/>
          <w:sz w:val="30"/>
          <w:szCs w:val="30"/>
          <w:highlight w:val="none"/>
          <w:lang w:val="en-US" w:eastAsia="zh-CN"/>
        </w:rPr>
        <w:t>代理</w:t>
      </w:r>
      <w:r>
        <w:rPr>
          <w:rFonts w:hint="eastAsia" w:ascii="宋体" w:hAnsi="宋体" w:cs="宋体"/>
          <w:b/>
          <w:color w:val="auto"/>
          <w:sz w:val="30"/>
          <w:szCs w:val="30"/>
          <w:highlight w:val="none"/>
        </w:rPr>
        <w:t>机构：</w:t>
      </w:r>
      <w:r>
        <w:rPr>
          <w:rFonts w:hint="eastAsia" w:ascii="宋体" w:hAnsi="宋体" w:cs="宋体"/>
          <w:b/>
          <w:color w:val="auto"/>
          <w:sz w:val="30"/>
          <w:szCs w:val="30"/>
          <w:highlight w:val="none"/>
          <w:u w:val="single"/>
        </w:rPr>
        <w:t xml:space="preserve">   安庆市皖宜项目咨询管理有限公司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日  期：二〇二</w:t>
      </w:r>
      <w:r>
        <w:rPr>
          <w:rFonts w:hint="eastAsia" w:ascii="宋体" w:hAnsi="宋体" w:cs="宋体"/>
          <w:b/>
          <w:color w:val="auto"/>
          <w:sz w:val="30"/>
          <w:szCs w:val="30"/>
          <w:highlight w:val="none"/>
          <w:lang w:val="en-US" w:eastAsia="zh-CN"/>
        </w:rPr>
        <w:t>二</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十</w:t>
      </w:r>
      <w:r>
        <w:rPr>
          <w:rFonts w:hint="eastAsia" w:ascii="宋体" w:hAnsi="宋体" w:cs="宋体"/>
          <w:b/>
          <w:color w:val="auto"/>
          <w:sz w:val="30"/>
          <w:szCs w:val="30"/>
          <w:highlight w:val="none"/>
        </w:rPr>
        <w:t>月</w:t>
      </w:r>
    </w:p>
    <w:p>
      <w:pPr>
        <w:pStyle w:val="12"/>
        <w:rPr>
          <w:rFonts w:hint="eastAsia"/>
        </w:rPr>
      </w:pPr>
    </w:p>
    <w:p>
      <w:pPr>
        <w:spacing w:line="360" w:lineRule="auto"/>
        <w:jc w:val="center"/>
        <w:rPr>
          <w:rFonts w:hint="eastAsia" w:ascii="宋体" w:hAnsi="宋体" w:cs="宋体"/>
          <w:b/>
          <w:color w:val="auto"/>
          <w:sz w:val="30"/>
          <w:szCs w:val="30"/>
          <w:highlight w:val="none"/>
        </w:rPr>
      </w:pPr>
    </w:p>
    <w:p>
      <w:pPr>
        <w:ind w:firstLine="420" w:firstLineChars="200"/>
        <w:rPr>
          <w:rFonts w:ascii="宋体" w:hAnsi="宋体" w:cs="宋体"/>
          <w:color w:val="auto"/>
          <w:highlight w:val="none"/>
        </w:rPr>
      </w:pPr>
    </w:p>
    <w:p>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1.组织、领导、实施恶意竞标、围标、串标、虚假投标、挂靠投标、出让资质等违法活动。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2.以暴力、威胁、利诱等手段强迫他人参与或者退出投标、拍卖以及强迫他人中标后放弃中标或转包的黑恶势力。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4.在招投标过程中寻衅滋事、恶意投诉，或以投诉、信访、举报相威胁获取不正当利益的行为。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5.伪造资质证书、证件、提供虚假材料进行投标，谋取不正当利益的违法行为。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6.采取贿赂、暴力、欺骗、威胁等手段干扰破坏招投标监管、服务人员以及评标专家正常工作的黑恶势力。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7.采取言语威胁、谈判协商、跟踪盯梢、散播隐私、造谣诽谤、持续骚扰等软暴力手段恐吓监管服务人员、评标专家及其家属的违法犯罪行为。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8.利诱、欺骗采购人违反相关规定按其意图设置竞争性谈判文件条款的违法违规行为。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9.窃取项目投标人报名情况、评标委员会组成人员等保密信息。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10.领导干部违反规定插手干预项目招投标活动。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11.干部职工在招投标活动中与黑恶势力勾结，充当保护伞。</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二、请各谈判响应人认真阅读谈判文件，对下述事项予以重视：</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1</w:t>
      </w:r>
      <w:r>
        <w:rPr>
          <w:rFonts w:hint="eastAsia" w:ascii="宋体" w:hAnsi="宋体" w:cs="宋体"/>
          <w:b/>
          <w:color w:val="auto"/>
          <w:kern w:val="0"/>
          <w:sz w:val="24"/>
          <w:highlight w:val="none"/>
        </w:rPr>
        <w:t>、对投标活动中可能发生的质疑、投诉行为，须依法在规定的时间内提出。</w:t>
      </w:r>
      <w:r>
        <w:rPr>
          <w:rFonts w:ascii="宋体" w:hAnsi="宋体" w:cs="宋体"/>
          <w:b/>
          <w:color w:val="auto"/>
          <w:kern w:val="0"/>
          <w:sz w:val="28"/>
          <w:szCs w:val="28"/>
          <w:highlight w:val="none"/>
        </w:rPr>
        <w:t> </w:t>
      </w:r>
    </w:p>
    <w:p>
      <w:pPr>
        <w:widowControl/>
        <w:jc w:val="left"/>
        <w:rPr>
          <w:rFonts w:ascii="宋体" w:hAnsi="宋体" w:cs="宋体"/>
          <w:b/>
          <w:color w:val="auto"/>
          <w:kern w:val="0"/>
          <w:sz w:val="24"/>
          <w:highlight w:val="none"/>
        </w:rPr>
      </w:pPr>
      <w:r>
        <w:rPr>
          <w:rFonts w:ascii="宋体" w:hAnsi="宋体" w:cs="宋体"/>
          <w:b/>
          <w:color w:val="auto"/>
          <w:kern w:val="0"/>
          <w:sz w:val="24"/>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pPr>
        <w:pStyle w:val="22"/>
        <w:rPr>
          <w:rFonts w:asciiTheme="minorHAnsi" w:hAnsiTheme="minorHAnsi" w:eastAsiaTheme="minorEastAsia" w:cstheme="minorBidi"/>
          <w:color w:val="auto"/>
          <w:sz w:val="21"/>
          <w:szCs w:val="22"/>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"_Toc55202307" </w:instrText>
      </w:r>
      <w:r>
        <w:rPr>
          <w:color w:val="auto"/>
          <w:highlight w:val="none"/>
        </w:rPr>
        <w:fldChar w:fldCharType="separate"/>
      </w:r>
      <w:r>
        <w:rPr>
          <w:rStyle w:val="32"/>
          <w:rFonts w:ascii="宋体" w:hAnsi="宋体" w:cs="宋体"/>
          <w:b/>
          <w:bCs/>
          <w:color w:val="auto"/>
          <w:highlight w:val="none"/>
        </w:rPr>
        <w:t xml:space="preserve">第一章  </w:t>
      </w:r>
      <w:r>
        <w:rPr>
          <w:rStyle w:val="32"/>
          <w:rFonts w:hint="eastAsia" w:ascii="宋体" w:hAnsi="宋体" w:cs="宋体"/>
          <w:b/>
          <w:bCs/>
          <w:color w:val="auto"/>
          <w:highlight w:val="none"/>
        </w:rPr>
        <w:t>竞争性谈判公告</w:t>
      </w:r>
      <w:r>
        <w:rPr>
          <w:color w:val="auto"/>
          <w:highlight w:val="none"/>
        </w:rPr>
        <w:tab/>
      </w:r>
      <w:r>
        <w:rPr>
          <w:color w:val="auto"/>
          <w:highlight w:val="none"/>
        </w:rPr>
        <w:fldChar w:fldCharType="begin"/>
      </w:r>
      <w:r>
        <w:rPr>
          <w:color w:val="auto"/>
          <w:highlight w:val="none"/>
        </w:rPr>
        <w:instrText xml:space="preserve"> PAGEREF _Toc55202307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2"/>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"_Toc55202308" </w:instrText>
      </w:r>
      <w:r>
        <w:rPr>
          <w:color w:val="auto"/>
          <w:highlight w:val="none"/>
        </w:rPr>
        <w:fldChar w:fldCharType="separate"/>
      </w:r>
      <w:r>
        <w:rPr>
          <w:rStyle w:val="32"/>
          <w:rFonts w:ascii="宋体" w:hAnsi="宋体" w:cs="宋体"/>
          <w:color w:val="auto"/>
          <w:highlight w:val="none"/>
        </w:rPr>
        <w:t>第二章   谈判响应人须知</w:t>
      </w:r>
      <w:r>
        <w:rPr>
          <w:color w:val="auto"/>
          <w:highlight w:val="none"/>
        </w:rPr>
        <w:tab/>
      </w:r>
      <w:r>
        <w:rPr>
          <w:color w:val="auto"/>
          <w:highlight w:val="none"/>
        </w:rPr>
        <w:fldChar w:fldCharType="begin"/>
      </w:r>
      <w:r>
        <w:rPr>
          <w:color w:val="auto"/>
          <w:highlight w:val="none"/>
        </w:rPr>
        <w:instrText xml:space="preserve"> PAGEREF _Toc55202308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3"/>
        <w:tabs>
          <w:tab w:val="right" w:leader="dot" w:pos="9060"/>
        </w:tabs>
        <w:ind w:left="42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"_Toc55202309" </w:instrText>
      </w:r>
      <w:r>
        <w:rPr>
          <w:color w:val="auto"/>
          <w:highlight w:val="none"/>
        </w:rPr>
        <w:fldChar w:fldCharType="separate"/>
      </w:r>
      <w:r>
        <w:rPr>
          <w:rStyle w:val="32"/>
          <w:rFonts w:ascii="宋体" w:hAnsi="宋体"/>
          <w:color w:val="auto"/>
          <w:highlight w:val="none"/>
        </w:rPr>
        <w:t>第一节  谈判响应人须知前附表</w:t>
      </w:r>
      <w:r>
        <w:rPr>
          <w:color w:val="auto"/>
          <w:highlight w:val="none"/>
        </w:rPr>
        <w:tab/>
      </w:r>
      <w:r>
        <w:rPr>
          <w:color w:val="auto"/>
          <w:highlight w:val="none"/>
        </w:rPr>
        <w:fldChar w:fldCharType="begin"/>
      </w:r>
      <w:r>
        <w:rPr>
          <w:color w:val="auto"/>
          <w:highlight w:val="none"/>
        </w:rPr>
        <w:instrText xml:space="preserve"> PAGEREF _Toc55202309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3"/>
        <w:tabs>
          <w:tab w:val="right" w:leader="dot" w:pos="9060"/>
        </w:tabs>
        <w:ind w:left="42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"_Toc55202310" </w:instrText>
      </w:r>
      <w:r>
        <w:rPr>
          <w:color w:val="auto"/>
          <w:highlight w:val="none"/>
        </w:rPr>
        <w:fldChar w:fldCharType="separate"/>
      </w:r>
      <w:r>
        <w:rPr>
          <w:rStyle w:val="32"/>
          <w:rFonts w:ascii="宋体" w:hAnsi="宋体"/>
          <w:color w:val="auto"/>
          <w:highlight w:val="none"/>
        </w:rPr>
        <w:t>第二节  谈判响应人须知</w:t>
      </w:r>
      <w:r>
        <w:rPr>
          <w:color w:val="auto"/>
          <w:highlight w:val="none"/>
        </w:rPr>
        <w:tab/>
      </w:r>
      <w:r>
        <w:rPr>
          <w:color w:val="auto"/>
          <w:highlight w:val="none"/>
        </w:rPr>
        <w:fldChar w:fldCharType="begin"/>
      </w:r>
      <w:r>
        <w:rPr>
          <w:color w:val="auto"/>
          <w:highlight w:val="none"/>
        </w:rPr>
        <w:instrText xml:space="preserve"> PAGEREF _Toc55202310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5"/>
        <w:tabs>
          <w:tab w:val="right" w:leader="dot" w:pos="9060"/>
        </w:tabs>
        <w:ind w:left="84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"_Toc55202311" </w:instrText>
      </w:r>
      <w:r>
        <w:rPr>
          <w:color w:val="auto"/>
          <w:highlight w:val="none"/>
        </w:rPr>
        <w:fldChar w:fldCharType="separate"/>
      </w:r>
      <w:r>
        <w:rPr>
          <w:rStyle w:val="32"/>
          <w:rFonts w:hAnsi="宋体" w:cs="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_Toc55202311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5"/>
        <w:tabs>
          <w:tab w:val="right" w:leader="dot" w:pos="9060"/>
        </w:tabs>
        <w:ind w:left="84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"_Toc55202312" </w:instrText>
      </w:r>
      <w:r>
        <w:rPr>
          <w:color w:val="auto"/>
          <w:highlight w:val="none"/>
        </w:rPr>
        <w:fldChar w:fldCharType="separate"/>
      </w:r>
      <w:r>
        <w:rPr>
          <w:rStyle w:val="32"/>
          <w:rFonts w:hAnsi="宋体" w:cs="宋体"/>
          <w:color w:val="auto"/>
          <w:highlight w:val="none"/>
        </w:rPr>
        <w:t>二、竞争性谈判文件</w:t>
      </w:r>
      <w:r>
        <w:rPr>
          <w:color w:val="auto"/>
          <w:highlight w:val="none"/>
        </w:rPr>
        <w:tab/>
      </w:r>
      <w:r>
        <w:rPr>
          <w:color w:val="auto"/>
          <w:highlight w:val="none"/>
        </w:rPr>
        <w:fldChar w:fldCharType="begin"/>
      </w:r>
      <w:r>
        <w:rPr>
          <w:color w:val="auto"/>
          <w:highlight w:val="none"/>
        </w:rPr>
        <w:instrText xml:space="preserve"> PAGEREF _Toc55202312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5"/>
        <w:tabs>
          <w:tab w:val="right" w:leader="dot" w:pos="9060"/>
        </w:tabs>
        <w:ind w:left="84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"_Toc55202313" </w:instrText>
      </w:r>
      <w:r>
        <w:rPr>
          <w:color w:val="auto"/>
          <w:highlight w:val="none"/>
        </w:rPr>
        <w:fldChar w:fldCharType="separate"/>
      </w:r>
      <w:r>
        <w:rPr>
          <w:rStyle w:val="32"/>
          <w:rFonts w:hAnsi="宋体" w:cs="宋体"/>
          <w:color w:val="auto"/>
          <w:highlight w:val="none"/>
        </w:rPr>
        <w:t>三、谈判响应文件的编制</w:t>
      </w:r>
      <w:r>
        <w:rPr>
          <w:color w:val="auto"/>
          <w:highlight w:val="none"/>
        </w:rPr>
        <w:tab/>
      </w:r>
      <w:r>
        <w:rPr>
          <w:color w:val="auto"/>
          <w:highlight w:val="none"/>
        </w:rPr>
        <w:fldChar w:fldCharType="begin"/>
      </w:r>
      <w:r>
        <w:rPr>
          <w:color w:val="auto"/>
          <w:highlight w:val="none"/>
        </w:rPr>
        <w:instrText xml:space="preserve"> PAGEREF _Toc55202313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5"/>
        <w:tabs>
          <w:tab w:val="right" w:leader="dot" w:pos="9060"/>
        </w:tabs>
        <w:ind w:left="84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"_Toc55202314" </w:instrText>
      </w:r>
      <w:r>
        <w:rPr>
          <w:color w:val="auto"/>
          <w:highlight w:val="none"/>
        </w:rPr>
        <w:fldChar w:fldCharType="separate"/>
      </w:r>
      <w:r>
        <w:rPr>
          <w:rStyle w:val="32"/>
          <w:rFonts w:hAnsi="宋体" w:cs="宋体"/>
          <w:color w:val="auto"/>
          <w:highlight w:val="none"/>
        </w:rPr>
        <w:t>四、谈判响应文件的提交</w:t>
      </w:r>
      <w:r>
        <w:rPr>
          <w:color w:val="auto"/>
          <w:highlight w:val="none"/>
        </w:rPr>
        <w:tab/>
      </w:r>
      <w:r>
        <w:rPr>
          <w:color w:val="auto"/>
          <w:highlight w:val="none"/>
        </w:rPr>
        <w:fldChar w:fldCharType="begin"/>
      </w:r>
      <w:r>
        <w:rPr>
          <w:color w:val="auto"/>
          <w:highlight w:val="none"/>
        </w:rPr>
        <w:instrText xml:space="preserve"> PAGEREF _Toc55202314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5"/>
        <w:tabs>
          <w:tab w:val="right" w:leader="dot" w:pos="9060"/>
        </w:tabs>
        <w:ind w:left="84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"_Toc55202315" </w:instrText>
      </w:r>
      <w:r>
        <w:rPr>
          <w:color w:val="auto"/>
          <w:highlight w:val="none"/>
        </w:rPr>
        <w:fldChar w:fldCharType="separate"/>
      </w:r>
      <w:r>
        <w:rPr>
          <w:rStyle w:val="32"/>
          <w:rFonts w:hAnsi="宋体" w:cs="宋体"/>
          <w:color w:val="auto"/>
          <w:highlight w:val="none"/>
        </w:rPr>
        <w:t>五、谈判程序</w:t>
      </w:r>
      <w:r>
        <w:rPr>
          <w:color w:val="auto"/>
          <w:highlight w:val="none"/>
        </w:rPr>
        <w:tab/>
      </w:r>
      <w:r>
        <w:rPr>
          <w:color w:val="auto"/>
          <w:highlight w:val="none"/>
        </w:rPr>
        <w:fldChar w:fldCharType="begin"/>
      </w:r>
      <w:r>
        <w:rPr>
          <w:color w:val="auto"/>
          <w:highlight w:val="none"/>
        </w:rPr>
        <w:instrText xml:space="preserve"> PAGEREF _Toc55202315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5"/>
        <w:tabs>
          <w:tab w:val="right" w:leader="dot" w:pos="9060"/>
        </w:tabs>
        <w:ind w:left="84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"_Toc55202316" </w:instrText>
      </w:r>
      <w:r>
        <w:rPr>
          <w:color w:val="auto"/>
          <w:highlight w:val="none"/>
        </w:rPr>
        <w:fldChar w:fldCharType="separate"/>
      </w:r>
      <w:r>
        <w:rPr>
          <w:rStyle w:val="32"/>
          <w:rFonts w:hAnsi="宋体" w:cs="宋体"/>
          <w:color w:val="auto"/>
          <w:highlight w:val="none"/>
        </w:rPr>
        <w:t>六、谈判</w:t>
      </w:r>
      <w:r>
        <w:rPr>
          <w:color w:val="auto"/>
          <w:highlight w:val="none"/>
        </w:rPr>
        <w:tab/>
      </w:r>
      <w:r>
        <w:rPr>
          <w:color w:val="auto"/>
          <w:highlight w:val="none"/>
        </w:rPr>
        <w:fldChar w:fldCharType="begin"/>
      </w:r>
      <w:r>
        <w:rPr>
          <w:color w:val="auto"/>
          <w:highlight w:val="none"/>
        </w:rPr>
        <w:instrText xml:space="preserve"> PAGEREF _Toc55202316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5"/>
        <w:tabs>
          <w:tab w:val="right" w:leader="dot" w:pos="9060"/>
        </w:tabs>
        <w:ind w:left="84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"_Toc55202317" </w:instrText>
      </w:r>
      <w:r>
        <w:rPr>
          <w:color w:val="auto"/>
          <w:highlight w:val="none"/>
        </w:rPr>
        <w:fldChar w:fldCharType="separate"/>
      </w:r>
      <w:r>
        <w:rPr>
          <w:rStyle w:val="32"/>
          <w:rFonts w:ascii="宋体" w:hAnsi="宋体" w:cs="宋体"/>
          <w:b w:val="0"/>
          <w:bCs w:val="0"/>
          <w:color w:val="auto"/>
          <w:highlight w:val="none"/>
        </w:rPr>
        <w:t>七、合同授予</w:t>
      </w:r>
      <w:r>
        <w:rPr>
          <w:color w:val="auto"/>
          <w:highlight w:val="none"/>
        </w:rPr>
        <w:tab/>
      </w:r>
      <w:r>
        <w:rPr>
          <w:color w:val="auto"/>
          <w:highlight w:val="none"/>
        </w:rPr>
        <w:fldChar w:fldCharType="begin"/>
      </w:r>
      <w:r>
        <w:rPr>
          <w:color w:val="auto"/>
          <w:highlight w:val="none"/>
        </w:rPr>
        <w:instrText xml:space="preserve"> PAGEREF _Toc55202317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2"/>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"_Toc55202318" </w:instrText>
      </w:r>
      <w:r>
        <w:rPr>
          <w:color w:val="auto"/>
          <w:highlight w:val="none"/>
        </w:rPr>
        <w:fldChar w:fldCharType="separate"/>
      </w:r>
      <w:r>
        <w:rPr>
          <w:rStyle w:val="32"/>
          <w:rFonts w:ascii="宋体" w:hAnsi="宋体" w:cs="宋体"/>
          <w:color w:val="auto"/>
          <w:highlight w:val="none"/>
        </w:rPr>
        <w:t xml:space="preserve">第三章 </w:t>
      </w:r>
      <w:r>
        <w:rPr>
          <w:rStyle w:val="32"/>
          <w:rFonts w:hint="eastAsia" w:ascii="宋体" w:hAnsi="宋体" w:cs="宋体"/>
          <w:color w:val="auto"/>
          <w:highlight w:val="none"/>
          <w:lang w:val="en-US" w:eastAsia="zh-CN"/>
        </w:rPr>
        <w:t>合同条款</w:t>
      </w:r>
      <w:r>
        <w:rPr>
          <w:color w:val="auto"/>
          <w:highlight w:val="none"/>
        </w:rPr>
        <w:tab/>
      </w:r>
      <w:r>
        <w:rPr>
          <w:color w:val="auto"/>
          <w:highlight w:val="none"/>
        </w:rPr>
        <w:fldChar w:fldCharType="begin"/>
      </w:r>
      <w:r>
        <w:rPr>
          <w:color w:val="auto"/>
          <w:highlight w:val="none"/>
        </w:rPr>
        <w:instrText xml:space="preserve"> PAGEREF _Toc55202317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2"/>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"_Toc55202320" </w:instrText>
      </w:r>
      <w:r>
        <w:rPr>
          <w:color w:val="auto"/>
          <w:highlight w:val="none"/>
        </w:rPr>
        <w:fldChar w:fldCharType="separate"/>
      </w:r>
      <w:r>
        <w:rPr>
          <w:rStyle w:val="32"/>
          <w:rFonts w:ascii="宋体" w:hAnsi="宋体" w:cs="宋体"/>
          <w:color w:val="auto"/>
          <w:highlight w:val="none"/>
        </w:rPr>
        <w:t>第</w:t>
      </w:r>
      <w:r>
        <w:rPr>
          <w:rStyle w:val="32"/>
          <w:rFonts w:hint="eastAsia" w:ascii="宋体" w:hAnsi="宋体" w:cs="宋体"/>
          <w:color w:val="auto"/>
          <w:highlight w:val="none"/>
          <w:lang w:val="en-US" w:eastAsia="zh-CN"/>
        </w:rPr>
        <w:t>四</w:t>
      </w:r>
      <w:r>
        <w:rPr>
          <w:rStyle w:val="32"/>
          <w:rFonts w:ascii="宋体" w:hAnsi="宋体" w:cs="宋体"/>
          <w:color w:val="auto"/>
          <w:highlight w:val="none"/>
        </w:rPr>
        <w:t>章 谈判响应文件格式</w:t>
      </w:r>
      <w:r>
        <w:rPr>
          <w:color w:val="auto"/>
          <w:highlight w:val="none"/>
        </w:rPr>
        <w:tab/>
      </w:r>
      <w:r>
        <w:rPr>
          <w:color w:val="auto"/>
          <w:highlight w:val="none"/>
        </w:rPr>
        <w:fldChar w:fldCharType="begin"/>
      </w:r>
      <w:r>
        <w:rPr>
          <w:color w:val="auto"/>
          <w:highlight w:val="none"/>
        </w:rPr>
        <w:instrText xml:space="preserve"> PAGEREF _Toc55202320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5"/>
        <w:tabs>
          <w:tab w:val="right" w:leader="dot" w:pos="9060"/>
        </w:tabs>
        <w:ind w:left="84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"_Toc55202321" </w:instrText>
      </w:r>
      <w:r>
        <w:rPr>
          <w:color w:val="auto"/>
          <w:highlight w:val="none"/>
        </w:rPr>
        <w:fldChar w:fldCharType="separate"/>
      </w:r>
      <w:r>
        <w:rPr>
          <w:rStyle w:val="32"/>
          <w:rFonts w:hAnsi="宋体" w:cs="宋体"/>
          <w:color w:val="auto"/>
          <w:highlight w:val="none"/>
        </w:rPr>
        <w:t>一、谈判响应函</w:t>
      </w:r>
      <w:r>
        <w:rPr>
          <w:color w:val="auto"/>
          <w:highlight w:val="none"/>
        </w:rPr>
        <w:tab/>
      </w:r>
      <w:r>
        <w:rPr>
          <w:color w:val="auto"/>
          <w:highlight w:val="none"/>
        </w:rPr>
        <w:fldChar w:fldCharType="begin"/>
      </w:r>
      <w:r>
        <w:rPr>
          <w:color w:val="auto"/>
          <w:highlight w:val="none"/>
        </w:rPr>
        <w:instrText xml:space="preserve"> PAGEREF _Toc55202321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5"/>
        <w:tabs>
          <w:tab w:val="right" w:leader="dot" w:pos="9060"/>
        </w:tabs>
        <w:ind w:left="84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"_Toc55202322" </w:instrText>
      </w:r>
      <w:r>
        <w:rPr>
          <w:color w:val="auto"/>
          <w:highlight w:val="none"/>
        </w:rPr>
        <w:fldChar w:fldCharType="separate"/>
      </w:r>
      <w:r>
        <w:rPr>
          <w:rStyle w:val="32"/>
          <w:rFonts w:hAnsi="宋体" w:cs="宋体"/>
          <w:color w:val="auto"/>
          <w:highlight w:val="none"/>
        </w:rPr>
        <w:t>二、</w:t>
      </w:r>
      <w:r>
        <w:rPr>
          <w:rStyle w:val="32"/>
          <w:rFonts w:hint="eastAsia" w:hAnsi="宋体" w:cs="宋体"/>
          <w:color w:val="auto"/>
          <w:highlight w:val="none"/>
          <w:lang w:val="en-US" w:eastAsia="zh-CN"/>
        </w:rPr>
        <w:t>谈判报价表</w:t>
      </w:r>
      <w:r>
        <w:rPr>
          <w:color w:val="auto"/>
          <w:highlight w:val="none"/>
        </w:rPr>
        <w:tab/>
      </w:r>
      <w:r>
        <w:rPr>
          <w:color w:val="auto"/>
          <w:highlight w:val="none"/>
        </w:rPr>
        <w:fldChar w:fldCharType="begin"/>
      </w:r>
      <w:r>
        <w:rPr>
          <w:color w:val="auto"/>
          <w:highlight w:val="none"/>
        </w:rPr>
        <w:instrText xml:space="preserve"> PAGEREF _Toc55202321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5"/>
        <w:tabs>
          <w:tab w:val="right" w:leader="dot" w:pos="9060"/>
        </w:tabs>
        <w:ind w:left="840"/>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"_Toc55202326" </w:instrText>
      </w:r>
      <w:r>
        <w:rPr>
          <w:color w:val="auto"/>
          <w:highlight w:val="none"/>
        </w:rPr>
        <w:fldChar w:fldCharType="separate"/>
      </w:r>
      <w:r>
        <w:rPr>
          <w:rStyle w:val="32"/>
          <w:rFonts w:hint="eastAsia" w:hAnsi="宋体" w:cs="宋体"/>
          <w:color w:val="auto"/>
          <w:highlight w:val="none"/>
          <w:lang w:val="en-US" w:eastAsia="zh-CN"/>
        </w:rPr>
        <w:t>三</w:t>
      </w:r>
      <w:r>
        <w:rPr>
          <w:rStyle w:val="32"/>
          <w:rFonts w:hAnsi="宋体" w:cs="宋体"/>
          <w:color w:val="auto"/>
          <w:highlight w:val="none"/>
        </w:rPr>
        <w:t>、诚信谈判响应承诺书</w:t>
      </w:r>
      <w:r>
        <w:rPr>
          <w:color w:val="auto"/>
          <w:highlight w:val="none"/>
        </w:rPr>
        <w:tab/>
      </w:r>
      <w:r>
        <w:rPr>
          <w:color w:val="auto"/>
          <w:highlight w:val="none"/>
        </w:rPr>
        <w:fldChar w:fldCharType="begin"/>
      </w:r>
      <w:r>
        <w:rPr>
          <w:color w:val="auto"/>
          <w:highlight w:val="none"/>
        </w:rPr>
        <w:instrText xml:space="preserve"> PAGEREF _Toc55202326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5"/>
        <w:tabs>
          <w:tab w:val="right" w:leader="dot" w:pos="9060"/>
        </w:tabs>
        <w:ind w:left="840"/>
        <w:rPr>
          <w:color w:val="auto"/>
          <w:highlight w:val="none"/>
        </w:rPr>
      </w:pPr>
      <w:r>
        <w:rPr>
          <w:color w:val="auto"/>
          <w:highlight w:val="none"/>
        </w:rPr>
        <w:fldChar w:fldCharType="begin"/>
      </w:r>
      <w:r>
        <w:rPr>
          <w:color w:val="auto"/>
          <w:highlight w:val="none"/>
        </w:rPr>
        <w:instrText xml:space="preserve"> HYPERLINK \l "_Toc55202329" </w:instrText>
      </w:r>
      <w:r>
        <w:rPr>
          <w:color w:val="auto"/>
          <w:highlight w:val="none"/>
        </w:rPr>
        <w:fldChar w:fldCharType="separate"/>
      </w:r>
      <w:r>
        <w:rPr>
          <w:rStyle w:val="32"/>
          <w:rFonts w:hint="eastAsia" w:hAnsi="宋体" w:cs="宋体"/>
          <w:color w:val="auto"/>
          <w:highlight w:val="none"/>
          <w:lang w:val="en-US" w:eastAsia="zh-CN"/>
        </w:rPr>
        <w:t>四</w:t>
      </w:r>
      <w:r>
        <w:rPr>
          <w:rStyle w:val="32"/>
          <w:rFonts w:hAnsi="宋体" w:cs="宋体"/>
          <w:color w:val="auto"/>
          <w:highlight w:val="none"/>
        </w:rPr>
        <w:t>、资格证明文件</w:t>
      </w:r>
      <w:r>
        <w:rPr>
          <w:color w:val="auto"/>
          <w:highlight w:val="none"/>
        </w:rPr>
        <w:tab/>
      </w:r>
      <w:r>
        <w:rPr>
          <w:color w:val="auto"/>
          <w:highlight w:val="none"/>
        </w:rPr>
        <w:fldChar w:fldCharType="begin"/>
      </w:r>
      <w:r>
        <w:rPr>
          <w:color w:val="auto"/>
          <w:highlight w:val="none"/>
        </w:rPr>
        <w:instrText xml:space="preserve"> PAGEREF _Toc55202329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5"/>
        <w:keepNext w:val="0"/>
        <w:keepLines w:val="0"/>
        <w:pageBreakBefore w:val="0"/>
        <w:widowControl w:val="0"/>
        <w:tabs>
          <w:tab w:val="right" w:leader="dot" w:pos="9060"/>
        </w:tabs>
        <w:kinsoku/>
        <w:wordWrap/>
        <w:overflowPunct/>
        <w:topLinePunct w:val="0"/>
        <w:autoSpaceDE/>
        <w:autoSpaceDN/>
        <w:bidi w:val="0"/>
        <w:adjustRightInd/>
        <w:snapToGrid/>
        <w:spacing w:line="360" w:lineRule="auto"/>
        <w:ind w:left="0" w:leftChars="0"/>
        <w:jc w:val="both"/>
        <w:textAlignment w:val="auto"/>
        <w:outlineLvl w:val="0"/>
        <w:rPr>
          <w:rFonts w:hint="default" w:ascii="宋体" w:hAnsi="宋体" w:cs="宋体"/>
          <w:color w:val="auto"/>
          <w:highlight w:val="none"/>
          <w:lang w:val="en-US"/>
        </w:rPr>
      </w:pPr>
      <w:r>
        <w:rPr>
          <w:rFonts w:hint="eastAsia" w:ascii="宋体" w:hAnsi="宋体" w:cs="宋体"/>
          <w:color w:val="auto"/>
          <w:highlight w:val="none"/>
        </w:rPr>
        <w:fldChar w:fldCharType="end"/>
      </w:r>
      <w:r>
        <w:rPr>
          <w:rFonts w:hint="eastAsia" w:ascii="Times New Roman" w:hAnsi="Times New Roman" w:eastAsia="宋体" w:cs="Times New Roman"/>
          <w:color w:val="auto"/>
          <w:kern w:val="2"/>
          <w:sz w:val="24"/>
          <w:szCs w:val="24"/>
          <w:highlight w:val="none"/>
          <w:lang w:val="en-US" w:eastAsia="zh-CN" w:bidi="ar-SA"/>
        </w:rPr>
        <w:fldChar w:fldCharType="begin"/>
      </w:r>
      <w:r>
        <w:rPr>
          <w:rFonts w:hint="eastAsia" w:ascii="Times New Roman" w:hAnsi="Times New Roman" w:eastAsia="宋体" w:cs="Times New Roman"/>
          <w:color w:val="auto"/>
          <w:kern w:val="2"/>
          <w:sz w:val="24"/>
          <w:szCs w:val="24"/>
          <w:highlight w:val="none"/>
          <w:lang w:val="en-US" w:eastAsia="zh-CN" w:bidi="ar-SA"/>
        </w:rPr>
        <w:instrText xml:space="preserve"> HYPERLINK \l "_Toc55202320" </w:instrText>
      </w:r>
      <w:r>
        <w:rPr>
          <w:rFonts w:hint="eastAsia" w:ascii="Times New Roman" w:hAnsi="Times New Roman" w:eastAsia="宋体" w:cs="Times New Roman"/>
          <w:color w:val="auto"/>
          <w:kern w:val="2"/>
          <w:sz w:val="24"/>
          <w:szCs w:val="24"/>
          <w:highlight w:val="none"/>
          <w:lang w:val="en-US" w:eastAsia="zh-CN" w:bidi="ar-SA"/>
        </w:rPr>
        <w:fldChar w:fldCharType="separate"/>
      </w:r>
      <w:r>
        <w:rPr>
          <w:rFonts w:hint="eastAsia" w:ascii="Times New Roman" w:hAnsi="Times New Roman" w:eastAsia="宋体" w:cs="Times New Roman"/>
          <w:color w:val="auto"/>
          <w:kern w:val="2"/>
          <w:sz w:val="24"/>
          <w:szCs w:val="24"/>
          <w:highlight w:val="none"/>
          <w:lang w:val="en-US" w:eastAsia="zh-CN" w:bidi="ar-SA"/>
        </w:rPr>
        <w:t>第</w:t>
      </w:r>
      <w:r>
        <w:rPr>
          <w:rFonts w:hint="eastAsia" w:cs="Times New Roman"/>
          <w:color w:val="auto"/>
          <w:kern w:val="2"/>
          <w:sz w:val="24"/>
          <w:szCs w:val="24"/>
          <w:highlight w:val="none"/>
          <w:lang w:val="en-US" w:eastAsia="zh-CN" w:bidi="ar-SA"/>
        </w:rPr>
        <w:t>五</w:t>
      </w:r>
      <w:r>
        <w:rPr>
          <w:rFonts w:hint="eastAsia" w:ascii="Times New Roman" w:hAnsi="Times New Roman" w:eastAsia="宋体" w:cs="Times New Roman"/>
          <w:color w:val="auto"/>
          <w:kern w:val="2"/>
          <w:sz w:val="24"/>
          <w:szCs w:val="24"/>
          <w:highlight w:val="none"/>
          <w:lang w:val="en-US" w:eastAsia="zh-CN" w:bidi="ar-SA"/>
        </w:rPr>
        <w:t>章 工程量清单</w:t>
      </w:r>
      <w:r>
        <w:rPr>
          <w:rFonts w:hint="eastAsia" w:ascii="Times New Roman" w:hAnsi="Times New Roman" w:eastAsia="宋体" w:cs="Times New Roman"/>
          <w:color w:val="auto"/>
          <w:kern w:val="2"/>
          <w:sz w:val="24"/>
          <w:szCs w:val="24"/>
          <w:highlight w:val="none"/>
          <w:lang w:val="en-US" w:eastAsia="zh-CN" w:bidi="ar-SA"/>
        </w:rPr>
        <w:tab/>
      </w:r>
      <w:r>
        <w:rPr>
          <w:rFonts w:hint="eastAsia" w:cs="Times New Roman"/>
          <w:color w:val="auto"/>
          <w:kern w:val="2"/>
          <w:sz w:val="24"/>
          <w:szCs w:val="24"/>
          <w:highlight w:val="none"/>
          <w:lang w:val="en-US" w:eastAsia="zh-CN" w:bidi="ar-SA"/>
        </w:rPr>
        <w:t>6</w:t>
      </w:r>
      <w:r>
        <w:rPr>
          <w:rFonts w:hint="eastAsia"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1</w:t>
      </w:r>
    </w:p>
    <w:p>
      <w:pPr>
        <w:pStyle w:val="15"/>
        <w:tabs>
          <w:tab w:val="right" w:leader="dot" w:pos="9060"/>
        </w:tabs>
        <w:spacing w:line="240" w:lineRule="auto"/>
        <w:ind w:left="0" w:leftChars="0"/>
        <w:jc w:val="center"/>
        <w:outlineLvl w:val="0"/>
        <w:rPr>
          <w:rFonts w:ascii="宋体" w:hAnsi="宋体" w:cs="宋体"/>
          <w:color w:val="auto"/>
          <w:highlight w:val="none"/>
        </w:rPr>
      </w:pPr>
    </w:p>
    <w:p>
      <w:pPr>
        <w:bidi w:val="0"/>
        <w:rPr>
          <w:color w:val="auto"/>
          <w:highlight w:val="none"/>
        </w:rPr>
      </w:pPr>
    </w:p>
    <w:p>
      <w:pPr>
        <w:bidi w:val="0"/>
        <w:rPr>
          <w:color w:val="auto"/>
          <w:highlight w:val="none"/>
        </w:rPr>
      </w:pPr>
    </w:p>
    <w:p>
      <w:pPr>
        <w:tabs>
          <w:tab w:val="left" w:pos="3777"/>
        </w:tabs>
        <w:bidi w:val="0"/>
        <w:jc w:val="left"/>
        <w:rPr>
          <w:rFonts w:hint="eastAsia"/>
          <w:color w:val="auto"/>
          <w:highlight w:val="none"/>
          <w:lang w:eastAsia="zh-CN"/>
        </w:rPr>
      </w:pPr>
      <w:r>
        <w:rPr>
          <w:rFonts w:hint="eastAsia"/>
          <w:color w:val="auto"/>
          <w:highlight w:val="none"/>
          <w:lang w:eastAsia="zh-CN"/>
        </w:rPr>
        <w:tab/>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281"/>
        </w:tabs>
        <w:bidi w:val="0"/>
        <w:jc w:val="left"/>
        <w:rPr>
          <w:rFonts w:hint="eastAsia"/>
          <w:lang w:val="en-US" w:eastAsia="zh-CN"/>
        </w:rPr>
        <w:sectPr>
          <w:headerReference r:id="rId3" w:type="default"/>
          <w:pgSz w:w="11906" w:h="16838"/>
          <w:pgMar w:top="1417" w:right="1304" w:bottom="1417" w:left="1304" w:header="680" w:footer="680" w:gutter="0"/>
          <w:pgNumType w:start="1"/>
          <w:cols w:space="0" w:num="1"/>
          <w:rtlGutter w:val="0"/>
          <w:docGrid w:type="lines" w:linePitch="312" w:charSpace="0"/>
        </w:sectPr>
      </w:pPr>
      <w:r>
        <w:rPr>
          <w:rFonts w:hint="eastAsia"/>
          <w:lang w:val="en-US" w:eastAsia="zh-CN"/>
        </w:rPr>
        <w:tab/>
      </w:r>
    </w:p>
    <w:p>
      <w:pPr>
        <w:rPr>
          <w:color w:val="auto"/>
          <w:highlight w:val="none"/>
        </w:rPr>
      </w:pPr>
    </w:p>
    <w:p>
      <w:pPr>
        <w:pStyle w:val="15"/>
        <w:numPr>
          <w:ilvl w:val="0"/>
          <w:numId w:val="1"/>
        </w:numPr>
        <w:tabs>
          <w:tab w:val="right" w:leader="dot" w:pos="9060"/>
        </w:tabs>
        <w:spacing w:line="240" w:lineRule="auto"/>
        <w:ind w:left="0" w:leftChars="0"/>
        <w:jc w:val="center"/>
        <w:rPr>
          <w:rFonts w:hint="eastAsia" w:ascii="华文中宋" w:hAnsi="华文中宋" w:eastAsia="华文中宋"/>
          <w:b/>
          <w:bCs/>
          <w:color w:val="auto"/>
          <w:kern w:val="44"/>
          <w:sz w:val="32"/>
          <w:szCs w:val="32"/>
          <w:highlight w:val="none"/>
        </w:rPr>
      </w:pPr>
      <w:bookmarkStart w:id="2" w:name="_Toc12154"/>
      <w:bookmarkStart w:id="3" w:name="_Toc55202307"/>
      <w:r>
        <w:rPr>
          <w:rStyle w:val="39"/>
          <w:rFonts w:hint="eastAsia" w:ascii="宋体" w:hAnsi="宋体" w:cs="宋体"/>
          <w:b/>
          <w:bCs/>
          <w:color w:val="auto"/>
          <w:sz w:val="32"/>
          <w:szCs w:val="32"/>
          <w:highlight w:val="none"/>
        </w:rPr>
        <w:t xml:space="preserve">  </w:t>
      </w:r>
      <w:bookmarkEnd w:id="2"/>
      <w:bookmarkEnd w:id="3"/>
      <w:r>
        <w:rPr>
          <w:rFonts w:hint="eastAsia" w:ascii="华文中宋" w:hAnsi="华文中宋" w:eastAsia="华文中宋" w:cs="Times New Roman"/>
          <w:b/>
          <w:bCs/>
          <w:color w:val="auto"/>
          <w:kern w:val="44"/>
          <w:sz w:val="32"/>
          <w:szCs w:val="32"/>
          <w:highlight w:val="none"/>
          <w:lang w:val="en-US" w:eastAsia="zh-CN"/>
        </w:rPr>
        <w:t>安庆职业技术学院纪委谈话室建设工程</w:t>
      </w:r>
    </w:p>
    <w:p>
      <w:pPr>
        <w:pStyle w:val="15"/>
        <w:numPr>
          <w:ilvl w:val="0"/>
          <w:numId w:val="0"/>
        </w:numPr>
        <w:tabs>
          <w:tab w:val="right" w:leader="dot" w:pos="9060"/>
        </w:tabs>
        <w:spacing w:line="240" w:lineRule="auto"/>
        <w:jc w:val="center"/>
        <w:rPr>
          <w:rFonts w:ascii="华文中宋" w:hAnsi="华文中宋" w:eastAsia="华文中宋"/>
          <w:b/>
          <w:bCs/>
          <w:color w:val="auto"/>
          <w:kern w:val="44"/>
          <w:sz w:val="32"/>
          <w:szCs w:val="32"/>
          <w:highlight w:val="none"/>
        </w:rPr>
      </w:pPr>
      <w:r>
        <w:rPr>
          <w:rFonts w:hint="eastAsia" w:ascii="华文中宋" w:hAnsi="华文中宋" w:eastAsia="华文中宋"/>
          <w:b/>
          <w:bCs/>
          <w:color w:val="auto"/>
          <w:kern w:val="44"/>
          <w:sz w:val="32"/>
          <w:szCs w:val="32"/>
          <w:highlight w:val="none"/>
        </w:rPr>
        <w:t>竞争性谈判公告</w:t>
      </w:r>
    </w:p>
    <w:tbl>
      <w:tblPr>
        <w:tblStyle w:val="27"/>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highlight w:val="none"/>
              </w:rPr>
            </w:pPr>
            <w:r>
              <w:rPr>
                <w:rFonts w:hint="eastAsia" w:ascii="仿宋" w:hAnsi="仿宋" w:eastAsia="仿宋"/>
                <w:sz w:val="28"/>
                <w:szCs w:val="28"/>
                <w:highlight w:val="none"/>
              </w:rPr>
              <w:t>项目概况</w:t>
            </w:r>
          </w:p>
          <w:p>
            <w:pPr>
              <w:keepNext w:val="0"/>
              <w:keepLines w:val="0"/>
              <w:pageBreakBefore w:val="0"/>
              <w:widowControl/>
              <w:kinsoku/>
              <w:wordWrap/>
              <w:overflowPunct/>
              <w:topLinePunct w:val="0"/>
              <w:autoSpaceDE/>
              <w:autoSpaceDN/>
              <w:bidi w:val="0"/>
              <w:adjustRightInd/>
              <w:snapToGrid/>
              <w:spacing w:beforeAutospacing="1" w:afterAutospacing="1"/>
              <w:ind w:left="279" w:leftChars="133" w:firstLine="560" w:firstLineChars="200"/>
              <w:jc w:val="left"/>
              <w:textAlignment w:val="auto"/>
              <w:rPr>
                <w:color w:val="auto"/>
                <w:highlight w:val="none"/>
              </w:rPr>
            </w:pPr>
            <w:r>
              <w:rPr>
                <w:rFonts w:hint="eastAsia" w:ascii="仿宋" w:hAnsi="仿宋" w:eastAsia="仿宋" w:cs="仿宋"/>
                <w:color w:val="auto"/>
                <w:sz w:val="28"/>
                <w:szCs w:val="28"/>
                <w:highlight w:val="none"/>
                <w:u w:val="single"/>
                <w:lang w:eastAsia="zh-CN"/>
              </w:rPr>
              <w:t>安庆职业技术学院纪委谈话室建设工程</w:t>
            </w:r>
            <w:r>
              <w:rPr>
                <w:rFonts w:hint="eastAsia" w:ascii="仿宋" w:hAnsi="仿宋" w:eastAsia="仿宋" w:cs="Times New Roman"/>
                <w:sz w:val="28"/>
                <w:szCs w:val="28"/>
                <w:highlight w:val="none"/>
              </w:rPr>
              <w:t>的潜在供应商应在安庆职业技术学院（https://www.aqvtc.edu.cn/）、安庆市皖宜项目咨询管理有限公司（http://wyxmzx.com/index.html）</w:t>
            </w:r>
            <w:r>
              <w:rPr>
                <w:rFonts w:hint="eastAsia" w:ascii="仿宋" w:hAnsi="仿宋" w:eastAsia="仿宋" w:cs="Times New Roman"/>
                <w:sz w:val="28"/>
                <w:szCs w:val="28"/>
                <w:highlight w:val="none"/>
                <w:lang w:val="en-US" w:eastAsia="zh-CN"/>
              </w:rPr>
              <w:t>获取谈判文件</w:t>
            </w:r>
            <w:r>
              <w:rPr>
                <w:rFonts w:hint="eastAsia" w:ascii="仿宋" w:hAnsi="仿宋" w:eastAsia="仿宋" w:cs="Times New Roman"/>
                <w:sz w:val="28"/>
                <w:szCs w:val="28"/>
                <w:highlight w:val="none"/>
              </w:rPr>
              <w:t>，并于</w:t>
            </w:r>
            <w:r>
              <w:rPr>
                <w:rFonts w:hint="eastAsia" w:ascii="仿宋" w:hAnsi="仿宋" w:eastAsia="仿宋" w:cs="Times New Roman"/>
                <w:sz w:val="28"/>
                <w:szCs w:val="28"/>
                <w:highlight w:val="none"/>
                <w:lang w:val="en-US" w:eastAsia="zh-CN"/>
              </w:rPr>
              <w:t>2022</w:t>
            </w:r>
            <w:r>
              <w:rPr>
                <w:rFonts w:hint="eastAsia" w:ascii="仿宋" w:hAnsi="仿宋" w:eastAsia="仿宋" w:cs="Times New Roman"/>
                <w:sz w:val="28"/>
                <w:szCs w:val="28"/>
                <w:highlight w:val="none"/>
              </w:rPr>
              <w:t>年</w:t>
            </w:r>
            <w:r>
              <w:rPr>
                <w:rFonts w:hint="eastAsia" w:ascii="仿宋" w:hAnsi="仿宋" w:eastAsia="仿宋" w:cs="Times New Roman"/>
                <w:sz w:val="28"/>
                <w:szCs w:val="28"/>
                <w:highlight w:val="none"/>
                <w:lang w:val="en-US" w:eastAsia="zh-CN"/>
              </w:rPr>
              <w:t>10</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19</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9</w:t>
            </w:r>
            <w:r>
              <w:rPr>
                <w:rFonts w:hint="eastAsia" w:ascii="仿宋" w:hAnsi="仿宋" w:eastAsia="仿宋" w:cs="Times New Roman"/>
                <w:sz w:val="28"/>
                <w:szCs w:val="28"/>
                <w:highlight w:val="none"/>
              </w:rPr>
              <w:t>点</w:t>
            </w:r>
            <w:r>
              <w:rPr>
                <w:rFonts w:hint="eastAsia" w:ascii="仿宋" w:hAnsi="仿宋" w:eastAsia="仿宋" w:cs="Times New Roman"/>
                <w:sz w:val="28"/>
                <w:szCs w:val="28"/>
                <w:highlight w:val="none"/>
                <w:lang w:val="en-US" w:eastAsia="zh-CN"/>
              </w:rPr>
              <w:t>00</w:t>
            </w:r>
            <w:r>
              <w:rPr>
                <w:rFonts w:hint="eastAsia" w:ascii="仿宋" w:hAnsi="仿宋" w:eastAsia="仿宋" w:cs="Times New Roman"/>
                <w:sz w:val="28"/>
                <w:szCs w:val="28"/>
                <w:highlight w:val="none"/>
              </w:rPr>
              <w:t>分（北京时间）前提交响应文件。 本项目现邀请已由采购人按法定程序邀请的供应商参与本次采购活动。</w:t>
            </w:r>
          </w:p>
        </w:tc>
      </w:tr>
    </w:tbl>
    <w:p>
      <w:pPr>
        <w:rPr>
          <w:color w:val="auto"/>
          <w:highlight w:val="none"/>
        </w:rPr>
      </w:pPr>
    </w:p>
    <w:p>
      <w:pPr>
        <w:keepNext/>
        <w:keepLines/>
        <w:spacing w:before="260" w:after="260" w:line="360" w:lineRule="auto"/>
        <w:ind w:firstLine="560" w:firstLineChars="200"/>
        <w:rPr>
          <w:rFonts w:ascii="黑体" w:hAnsi="黑体" w:eastAsia="黑体" w:cs="宋体"/>
          <w:bCs/>
          <w:color w:val="auto"/>
          <w:sz w:val="28"/>
          <w:szCs w:val="28"/>
          <w:highlight w:val="none"/>
        </w:rPr>
      </w:pPr>
      <w:bookmarkStart w:id="4" w:name="_Toc28359089"/>
      <w:bookmarkStart w:id="5" w:name="_Toc28359012"/>
      <w:bookmarkStart w:id="6" w:name="_Toc35393629"/>
      <w:bookmarkStart w:id="7" w:name="_Toc35393798"/>
      <w:r>
        <w:rPr>
          <w:rFonts w:hint="eastAsia" w:ascii="黑体" w:hAnsi="黑体" w:eastAsia="黑体" w:cs="宋体"/>
          <w:bCs/>
          <w:color w:val="auto"/>
          <w:sz w:val="28"/>
          <w:szCs w:val="28"/>
          <w:highlight w:val="none"/>
        </w:rPr>
        <w:t>一、项目基本情况</w:t>
      </w:r>
      <w:bookmarkEnd w:id="4"/>
      <w:bookmarkEnd w:id="5"/>
      <w:bookmarkEnd w:id="6"/>
      <w:bookmarkEnd w:id="7"/>
    </w:p>
    <w:p>
      <w:pPr>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GC-AQ-W2022-</w:t>
      </w:r>
      <w:r>
        <w:rPr>
          <w:rFonts w:hint="eastAsia" w:ascii="仿宋" w:hAnsi="仿宋" w:eastAsia="仿宋" w:cs="仿宋"/>
          <w:color w:val="auto"/>
          <w:sz w:val="28"/>
          <w:szCs w:val="28"/>
          <w:highlight w:val="none"/>
          <w:lang w:val="en-US" w:eastAsia="zh-CN"/>
        </w:rPr>
        <w:t>028</w:t>
      </w:r>
    </w:p>
    <w:p>
      <w:pPr>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安庆职业技术学院纪委谈话室建设工程</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采购方式：竞争性谈判</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80000元</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 xml:space="preserve">79546.94元  </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lang w:eastAsia="zh-CN"/>
        </w:rPr>
        <w:t>安庆职业技术学院纪委谈话室建设工程</w:t>
      </w:r>
      <w:r>
        <w:rPr>
          <w:rFonts w:hint="eastAsia" w:ascii="仿宋" w:hAnsi="仿宋" w:eastAsia="仿宋" w:cs="仿宋"/>
          <w:color w:val="auto"/>
          <w:sz w:val="28"/>
          <w:szCs w:val="28"/>
          <w:highlight w:val="none"/>
          <w:lang w:val="en-US" w:eastAsia="zh-CN"/>
        </w:rPr>
        <w:t>。详见施工图设计文件、工程量清单及最高投标限价等。</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评标办法：采用符合性评审的有效最低价评审办法</w:t>
      </w:r>
    </w:p>
    <w:p>
      <w:pPr>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60日历天</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本项目不接受联合体。</w:t>
      </w:r>
    </w:p>
    <w:p>
      <w:pPr>
        <w:keepNext/>
        <w:keepLines/>
        <w:spacing w:before="260" w:after="260" w:line="360" w:lineRule="auto"/>
        <w:ind w:firstLine="560" w:firstLineChars="200"/>
        <w:rPr>
          <w:rFonts w:hint="eastAsia"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二、供应商资格：</w:t>
      </w:r>
    </w:p>
    <w:p>
      <w:pPr>
        <w:widowControl/>
        <w:shd w:val="clear" w:color="auto" w:fill="FFFFFF"/>
        <w:spacing w:line="560" w:lineRule="exact"/>
        <w:ind w:firstLine="64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1、符合《中华人民共和国政府采购法》第二十二条规定；</w:t>
      </w:r>
    </w:p>
    <w:p>
      <w:pPr>
        <w:widowControl/>
        <w:shd w:val="clear" w:color="auto" w:fill="FFFFFF"/>
        <w:spacing w:line="560" w:lineRule="exact"/>
        <w:ind w:firstLine="64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2、具有合法有效的营业执照；</w:t>
      </w:r>
    </w:p>
    <w:p>
      <w:pPr>
        <w:widowControl/>
        <w:shd w:val="clear" w:color="auto" w:fill="FFFFFF"/>
        <w:spacing w:line="560" w:lineRule="exact"/>
        <w:ind w:firstLine="64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3、谈判响应人须具有独立法人资格，具备住房城乡建设主管部门颁发的建筑工程施工总承包叁级及以上资质或建筑装修装饰工程专业承包贰级及以上资质。</w:t>
      </w:r>
    </w:p>
    <w:p>
      <w:pPr>
        <w:widowControl/>
        <w:numPr>
          <w:ilvl w:val="0"/>
          <w:numId w:val="2"/>
        </w:numPr>
        <w:shd w:val="clear" w:color="auto" w:fill="FFFFFF"/>
        <w:spacing w:line="560" w:lineRule="exact"/>
        <w:ind w:firstLine="64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拟派本工程项目经理资格要求：同时具备下列①、②、③要求：</w:t>
      </w:r>
    </w:p>
    <w:p>
      <w:pPr>
        <w:widowControl/>
        <w:numPr>
          <w:ilvl w:val="0"/>
          <w:numId w:val="0"/>
        </w:numPr>
        <w:shd w:val="clear" w:color="auto" w:fill="FFFFFF"/>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①具有建筑工程专业二级及以上注册建造师执业资格；</w:t>
      </w:r>
    </w:p>
    <w:p>
      <w:pPr>
        <w:widowControl/>
        <w:numPr>
          <w:ilvl w:val="0"/>
          <w:numId w:val="0"/>
        </w:numPr>
        <w:shd w:val="clear" w:color="auto" w:fill="FFFFFF"/>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②取得建设行政主管部门颁发的安全生产考核合格证B证；</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③谈判响应截止日未在其他项目担任项目经理，或虽在其他项目上担任项目经理岗位，但承诺在本项目成交后合同签订前能够从其他项目变更至本项目并全面履约。</w:t>
      </w:r>
    </w:p>
    <w:p>
      <w:pPr>
        <w:widowControl/>
        <w:shd w:val="clear" w:color="auto" w:fill="FFFFFF"/>
        <w:spacing w:line="560" w:lineRule="exact"/>
        <w:ind w:firstLine="64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 xml:space="preserve">、本项目不接受联合体。 </w:t>
      </w:r>
    </w:p>
    <w:p>
      <w:pPr>
        <w:keepNext/>
        <w:keepLines/>
        <w:spacing w:before="260" w:after="260" w:line="360" w:lineRule="auto"/>
        <w:ind w:firstLine="560" w:firstLineChars="200"/>
        <w:rPr>
          <w:rFonts w:hint="eastAsia"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p>
    <w:p>
      <w:pPr>
        <w:spacing w:line="560" w:lineRule="exact"/>
        <w:ind w:firstLine="560" w:firstLineChars="200"/>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潜在供应商</w:t>
      </w:r>
      <w:r>
        <w:rPr>
          <w:rFonts w:hint="eastAsia" w:ascii="仿宋" w:hAnsi="仿宋" w:eastAsia="仿宋" w:cs="仿宋"/>
          <w:strike w:val="0"/>
          <w:dstrike w:val="0"/>
          <w:color w:val="auto"/>
          <w:kern w:val="0"/>
          <w:sz w:val="28"/>
          <w:szCs w:val="28"/>
          <w:highlight w:val="none"/>
        </w:rPr>
        <w:t>于</w:t>
      </w:r>
      <w:r>
        <w:rPr>
          <w:rFonts w:hint="eastAsia" w:ascii="仿宋" w:hAnsi="仿宋" w:eastAsia="仿宋" w:cs="仿宋"/>
          <w:strike w:val="0"/>
          <w:dstrike w:val="0"/>
          <w:color w:val="auto"/>
          <w:kern w:val="0"/>
          <w:sz w:val="28"/>
          <w:szCs w:val="28"/>
          <w:highlight w:val="none"/>
          <w:lang w:val="en-US" w:eastAsia="zh-CN"/>
        </w:rPr>
        <w:t>2022年10 月12日至2022年10月17</w:t>
      </w:r>
      <w:r>
        <w:rPr>
          <w:rFonts w:hint="eastAsia" w:ascii="仿宋" w:hAnsi="仿宋" w:eastAsia="仿宋" w:cs="仿宋"/>
          <w:strike w:val="0"/>
          <w:dstrike w:val="0"/>
          <w:color w:val="auto"/>
          <w:kern w:val="0"/>
          <w:sz w:val="28"/>
          <w:szCs w:val="28"/>
          <w:highlight w:val="none"/>
          <w:lang w:val="en-US" w:eastAsia="zh-CN"/>
        </w:rPr>
        <w:fldChar w:fldCharType="begin"/>
      </w:r>
      <w:r>
        <w:rPr>
          <w:rFonts w:hint="eastAsia" w:ascii="仿宋" w:hAnsi="仿宋" w:eastAsia="仿宋" w:cs="仿宋"/>
          <w:strike w:val="0"/>
          <w:dstrike w:val="0"/>
          <w:color w:val="auto"/>
          <w:kern w:val="0"/>
          <w:sz w:val="28"/>
          <w:szCs w:val="28"/>
          <w:highlight w:val="none"/>
          <w:lang w:val="en-US" w:eastAsia="zh-CN"/>
        </w:rPr>
        <w:instrText xml:space="preserve"> HYPERLINK "mailto:日17时30分前，将盖公章的获取竞争性谈判文件的函（详见附件）发送至邮箱610385163@qq.com。（超过时间的邮件无效，无法获取文件）" </w:instrText>
      </w:r>
      <w:r>
        <w:rPr>
          <w:rFonts w:hint="eastAsia" w:ascii="仿宋" w:hAnsi="仿宋" w:eastAsia="仿宋" w:cs="仿宋"/>
          <w:strike w:val="0"/>
          <w:dstrike w:val="0"/>
          <w:color w:val="auto"/>
          <w:kern w:val="0"/>
          <w:sz w:val="28"/>
          <w:szCs w:val="28"/>
          <w:highlight w:val="none"/>
          <w:lang w:val="en-US" w:eastAsia="zh-CN"/>
        </w:rPr>
        <w:fldChar w:fldCharType="separate"/>
      </w:r>
      <w:r>
        <w:rPr>
          <w:rFonts w:hint="eastAsia" w:ascii="仿宋" w:hAnsi="仿宋" w:eastAsia="仿宋" w:cs="仿宋"/>
          <w:strike w:val="0"/>
          <w:dstrike w:val="0"/>
          <w:color w:val="auto"/>
          <w:kern w:val="0"/>
          <w:sz w:val="28"/>
          <w:szCs w:val="28"/>
          <w:highlight w:val="none"/>
          <w:lang w:val="en-US" w:eastAsia="zh-CN"/>
        </w:rPr>
        <w:t>日17时30分前，将盖公章的获取谈判文件的函（详见附件）发送至邮箱1661851263@qq.com或携带授权委托书及有效居民身份证现场领取纸质版谈判文件。（超过时间无效，无法获取文件）</w:t>
      </w:r>
      <w:r>
        <w:rPr>
          <w:rFonts w:hint="eastAsia" w:ascii="仿宋" w:hAnsi="仿宋" w:eastAsia="仿宋" w:cs="仿宋"/>
          <w:strike w:val="0"/>
          <w:dstrike w:val="0"/>
          <w:color w:val="auto"/>
          <w:kern w:val="0"/>
          <w:sz w:val="28"/>
          <w:szCs w:val="28"/>
          <w:highlight w:val="none"/>
          <w:lang w:val="en-US" w:eastAsia="zh-CN"/>
        </w:rPr>
        <w:fldChar w:fldCharType="end"/>
      </w:r>
    </w:p>
    <w:p>
      <w:pPr>
        <w:spacing w:line="560" w:lineRule="exact"/>
        <w:ind w:firstLine="560" w:firstLineChars="200"/>
        <w:rPr>
          <w:rFonts w:hint="eastAsia" w:ascii="仿宋" w:hAnsi="仿宋" w:eastAsia="仿宋" w:cs="仿宋"/>
          <w:strike w:val="0"/>
          <w:dstrike w:val="0"/>
          <w:color w:val="auto"/>
          <w:kern w:val="0"/>
          <w:sz w:val="28"/>
          <w:szCs w:val="28"/>
          <w:highlight w:val="none"/>
          <w:lang w:eastAsia="zh-CN"/>
        </w:rPr>
      </w:pPr>
      <w:r>
        <w:rPr>
          <w:rFonts w:hint="eastAsia" w:ascii="仿宋" w:hAnsi="仿宋" w:eastAsia="仿宋" w:cs="仿宋"/>
          <w:strike w:val="0"/>
          <w:dstrike w:val="0"/>
          <w:color w:val="auto"/>
          <w:kern w:val="0"/>
          <w:sz w:val="28"/>
          <w:szCs w:val="28"/>
          <w:highlight w:val="none"/>
          <w:lang w:eastAsia="zh-CN"/>
        </w:rPr>
        <w:t>售价：免费。</w:t>
      </w:r>
    </w:p>
    <w:p>
      <w:pPr>
        <w:keepNext/>
        <w:keepLines/>
        <w:spacing w:before="260" w:after="260" w:line="360" w:lineRule="auto"/>
        <w:ind w:firstLine="560" w:firstLineChars="200"/>
        <w:rPr>
          <w:rFonts w:hint="eastAsia" w:ascii="黑体" w:hAnsi="黑体" w:eastAsia="黑体" w:cs="宋体"/>
          <w:bCs/>
          <w:color w:val="auto"/>
          <w:sz w:val="28"/>
          <w:szCs w:val="28"/>
          <w:highlight w:val="none"/>
          <w:lang w:eastAsia="zh-CN"/>
        </w:rPr>
      </w:pPr>
      <w:r>
        <w:rPr>
          <w:rFonts w:hint="eastAsia" w:ascii="黑体" w:hAnsi="黑体" w:eastAsia="黑体" w:cs="宋体"/>
          <w:bCs/>
          <w:color w:val="auto"/>
          <w:sz w:val="28"/>
          <w:szCs w:val="28"/>
          <w:highlight w:val="none"/>
          <w:lang w:val="en-US" w:eastAsia="zh-CN"/>
        </w:rPr>
        <w:t>四、响应文件提交：</w:t>
      </w:r>
    </w:p>
    <w:p>
      <w:pPr>
        <w:widowControl/>
        <w:numPr>
          <w:ilvl w:val="0"/>
          <w:numId w:val="0"/>
        </w:numPr>
        <w:shd w:val="clear" w:color="auto" w:fill="FFFFFF"/>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截止时间:</w:t>
      </w:r>
      <w:r>
        <w:rPr>
          <w:rFonts w:hint="eastAsia" w:ascii="仿宋" w:hAnsi="仿宋" w:eastAsia="仿宋" w:cs="仿宋"/>
          <w:b w:val="0"/>
          <w:bCs w:val="0"/>
          <w:color w:val="auto"/>
          <w:kern w:val="0"/>
          <w:sz w:val="28"/>
          <w:szCs w:val="28"/>
          <w:highlight w:val="none"/>
          <w:lang w:val="en-US" w:eastAsia="zh-CN"/>
        </w:rPr>
        <w:t>2022</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时</w:t>
      </w:r>
      <w:r>
        <w:rPr>
          <w:rFonts w:hint="eastAsia" w:ascii="仿宋" w:hAnsi="仿宋" w:eastAsia="仿宋" w:cs="仿宋"/>
          <w:color w:val="auto"/>
          <w:kern w:val="0"/>
          <w:sz w:val="28"/>
          <w:szCs w:val="28"/>
          <w:highlight w:val="none"/>
          <w:lang w:val="en-US" w:eastAsia="zh-CN"/>
        </w:rPr>
        <w:t>00</w:t>
      </w:r>
      <w:r>
        <w:rPr>
          <w:rFonts w:hint="eastAsia" w:ascii="仿宋" w:hAnsi="仿宋" w:eastAsia="仿宋" w:cs="仿宋"/>
          <w:color w:val="auto"/>
          <w:kern w:val="0"/>
          <w:sz w:val="28"/>
          <w:szCs w:val="28"/>
          <w:highlight w:val="none"/>
        </w:rPr>
        <w:t>分</w:t>
      </w:r>
    </w:p>
    <w:p>
      <w:pPr>
        <w:widowControl/>
        <w:numPr>
          <w:ilvl w:val="0"/>
          <w:numId w:val="0"/>
        </w:numPr>
        <w:shd w:val="clear" w:color="auto" w:fill="FFFFFF"/>
        <w:spacing w:line="560" w:lineRule="exact"/>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地点：安庆市龙山路213号</w:t>
      </w:r>
    </w:p>
    <w:p>
      <w:pPr>
        <w:keepNext/>
        <w:keepLines/>
        <w:spacing w:before="260" w:after="260" w:line="360" w:lineRule="auto"/>
        <w:ind w:firstLine="560" w:firstLineChars="200"/>
        <w:rPr>
          <w:rFonts w:hint="eastAsia"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p>
    <w:p>
      <w:pPr>
        <w:widowControl/>
        <w:numPr>
          <w:ilvl w:val="0"/>
          <w:numId w:val="0"/>
        </w:numPr>
        <w:shd w:val="clear" w:color="auto" w:fill="FFFFFF"/>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时间：</w:t>
      </w:r>
      <w:r>
        <w:rPr>
          <w:rFonts w:hint="eastAsia" w:ascii="仿宋" w:hAnsi="仿宋" w:eastAsia="仿宋" w:cs="仿宋"/>
          <w:b w:val="0"/>
          <w:bCs w:val="0"/>
          <w:color w:val="auto"/>
          <w:kern w:val="0"/>
          <w:sz w:val="28"/>
          <w:szCs w:val="28"/>
          <w:highlight w:val="none"/>
          <w:lang w:val="en-US" w:eastAsia="zh-CN"/>
        </w:rPr>
        <w:t>2022</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时</w:t>
      </w:r>
      <w:r>
        <w:rPr>
          <w:rFonts w:hint="eastAsia" w:ascii="仿宋" w:hAnsi="仿宋" w:eastAsia="仿宋" w:cs="仿宋"/>
          <w:color w:val="auto"/>
          <w:kern w:val="0"/>
          <w:sz w:val="28"/>
          <w:szCs w:val="28"/>
          <w:highlight w:val="none"/>
          <w:lang w:val="en-US" w:eastAsia="zh-CN"/>
        </w:rPr>
        <w:t>00</w:t>
      </w:r>
      <w:r>
        <w:rPr>
          <w:rFonts w:hint="eastAsia" w:ascii="仿宋" w:hAnsi="仿宋" w:eastAsia="仿宋" w:cs="仿宋"/>
          <w:color w:val="auto"/>
          <w:kern w:val="0"/>
          <w:sz w:val="28"/>
          <w:szCs w:val="28"/>
          <w:highlight w:val="none"/>
        </w:rPr>
        <w:t>分</w:t>
      </w:r>
    </w:p>
    <w:p>
      <w:pPr>
        <w:widowControl/>
        <w:numPr>
          <w:ilvl w:val="0"/>
          <w:numId w:val="0"/>
        </w:numPr>
        <w:shd w:val="clear" w:color="auto" w:fill="FFFFFF"/>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地点：</w:t>
      </w:r>
      <w:r>
        <w:rPr>
          <w:rFonts w:hint="eastAsia" w:ascii="仿宋" w:hAnsi="仿宋" w:eastAsia="仿宋" w:cs="仿宋"/>
          <w:color w:val="auto"/>
          <w:kern w:val="0"/>
          <w:sz w:val="28"/>
          <w:szCs w:val="28"/>
          <w:highlight w:val="none"/>
          <w:lang w:val="en-US" w:eastAsia="zh-CN"/>
        </w:rPr>
        <w:t>安庆市龙山路213号</w:t>
      </w:r>
    </w:p>
    <w:p>
      <w:pPr>
        <w:keepNext/>
        <w:keepLines/>
        <w:spacing w:before="260" w:after="260" w:line="360" w:lineRule="auto"/>
        <w:ind w:firstLine="560" w:firstLineChars="200"/>
        <w:rPr>
          <w:rFonts w:hint="eastAsia" w:ascii="黑体" w:hAnsi="黑体" w:eastAsia="黑体" w:cs="宋体"/>
          <w:bCs/>
          <w:color w:val="auto"/>
          <w:sz w:val="28"/>
          <w:szCs w:val="28"/>
          <w:highlight w:val="none"/>
        </w:rPr>
      </w:pPr>
      <w:bookmarkStart w:id="8" w:name="_Toc35393634"/>
      <w:bookmarkStart w:id="9" w:name="_Toc28359017"/>
      <w:bookmarkStart w:id="10" w:name="_Toc28359094"/>
      <w:bookmarkStart w:id="11" w:name="_Toc35393803"/>
      <w:r>
        <w:rPr>
          <w:rFonts w:hint="eastAsia" w:ascii="黑体" w:hAnsi="黑体" w:eastAsia="黑体" w:cs="宋体"/>
          <w:bCs/>
          <w:color w:val="auto"/>
          <w:sz w:val="28"/>
          <w:szCs w:val="28"/>
          <w:highlight w:val="none"/>
        </w:rPr>
        <w:t>六、公告期限</w:t>
      </w:r>
      <w:bookmarkEnd w:id="8"/>
      <w:bookmarkEnd w:id="9"/>
      <w:bookmarkEnd w:id="10"/>
      <w:bookmarkEnd w:id="11"/>
    </w:p>
    <w:p>
      <w:pPr>
        <w:widowControl/>
        <w:shd w:val="clear" w:color="auto" w:fill="FFFFFF"/>
        <w:spacing w:line="560" w:lineRule="exact"/>
        <w:ind w:firstLine="1120" w:firstLineChars="400"/>
        <w:rPr>
          <w:rFonts w:hint="eastAsia" w:ascii="仿宋" w:hAnsi="仿宋" w:eastAsia="仿宋" w:cs="仿宋"/>
          <w:color w:val="auto"/>
          <w:kern w:val="0"/>
          <w:sz w:val="28"/>
          <w:szCs w:val="28"/>
          <w:highlight w:val="none"/>
        </w:rPr>
      </w:pPr>
      <w:r>
        <w:rPr>
          <w:rFonts w:hint="eastAsia" w:ascii="仿宋" w:hAnsi="仿宋" w:eastAsia="仿宋" w:cs="宋体"/>
          <w:color w:val="auto"/>
          <w:kern w:val="0"/>
          <w:sz w:val="28"/>
          <w:szCs w:val="28"/>
          <w:highlight w:val="none"/>
        </w:rPr>
        <w:t>自本公告发布之日起3个工作日</w:t>
      </w:r>
    </w:p>
    <w:p>
      <w:pPr>
        <w:keepNext/>
        <w:keepLines/>
        <w:spacing w:before="260" w:after="260" w:line="360" w:lineRule="auto"/>
        <w:ind w:firstLine="560" w:firstLineChars="200"/>
        <w:rPr>
          <w:rFonts w:hint="eastAsia" w:ascii="黑体" w:hAnsi="黑体" w:eastAsia="黑体" w:cs="宋体"/>
          <w:bCs/>
          <w:color w:val="auto"/>
          <w:sz w:val="28"/>
          <w:szCs w:val="28"/>
          <w:highlight w:val="none"/>
        </w:rPr>
      </w:pPr>
      <w:r>
        <w:rPr>
          <w:rFonts w:hint="eastAsia" w:ascii="黑体" w:hAnsi="黑体" w:eastAsia="黑体" w:cs="宋体"/>
          <w:bCs/>
          <w:color w:val="auto"/>
          <w:sz w:val="28"/>
          <w:szCs w:val="28"/>
          <w:highlight w:val="none"/>
          <w:lang w:val="en-US" w:eastAsia="zh-CN"/>
        </w:rPr>
        <w:t>七</w:t>
      </w:r>
      <w:r>
        <w:rPr>
          <w:rFonts w:hint="eastAsia" w:ascii="黑体" w:hAnsi="黑体" w:eastAsia="黑体" w:cs="宋体"/>
          <w:bCs/>
          <w:color w:val="auto"/>
          <w:sz w:val="28"/>
          <w:szCs w:val="28"/>
          <w:highlight w:val="none"/>
        </w:rPr>
        <w:t>、其他补充事宜</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1、谈判响应人的联系人电话(手机)、电子邮箱等通讯方式在谈判过程中必须保持畅通，否则因上述原因造成的后果，责任自负。</w:t>
      </w:r>
    </w:p>
    <w:p>
      <w:pPr>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trike w:val="0"/>
          <w:dstrike w:val="0"/>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strike w:val="0"/>
          <w:dstrike w:val="0"/>
          <w:color w:val="auto"/>
          <w:kern w:val="0"/>
          <w:sz w:val="28"/>
          <w:szCs w:val="28"/>
          <w:highlight w:val="none"/>
        </w:rPr>
        <w:t>本招标项目</w:t>
      </w:r>
      <w:r>
        <w:rPr>
          <w:rFonts w:hint="eastAsia" w:ascii="仿宋" w:hAnsi="仿宋" w:eastAsia="仿宋" w:cs="仿宋"/>
          <w:strike w:val="0"/>
          <w:dstrike w:val="0"/>
          <w:color w:val="auto"/>
          <w:kern w:val="0"/>
          <w:sz w:val="28"/>
          <w:szCs w:val="28"/>
          <w:highlight w:val="none"/>
          <w:lang w:eastAsia="zh-CN"/>
        </w:rPr>
        <w:t>安庆职业技术学院纪委谈话室建设工程</w:t>
      </w:r>
      <w:r>
        <w:rPr>
          <w:rFonts w:hint="eastAsia" w:ascii="仿宋" w:hAnsi="仿宋" w:eastAsia="仿宋" w:cs="仿宋"/>
          <w:strike w:val="0"/>
          <w:dstrike w:val="0"/>
          <w:color w:val="auto"/>
          <w:kern w:val="0"/>
          <w:sz w:val="28"/>
          <w:szCs w:val="28"/>
          <w:highlight w:val="none"/>
        </w:rPr>
        <w:t>已批准建设，建设资金来自财政资金，项目出资比例为100% ，施工图设计图纸及相关技术资料已齐备，采购人为安庆职业技术学院。</w:t>
      </w:r>
    </w:p>
    <w:p>
      <w:pPr>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trike/>
          <w:dstrike w:val="0"/>
          <w:color w:val="auto"/>
          <w:kern w:val="0"/>
          <w:sz w:val="28"/>
          <w:szCs w:val="28"/>
          <w:highlight w:val="none"/>
        </w:rPr>
      </w:pPr>
      <w:r>
        <w:rPr>
          <w:rFonts w:hint="eastAsia" w:ascii="仿宋" w:hAnsi="仿宋" w:eastAsia="仿宋" w:cs="仿宋"/>
          <w:strike w:val="0"/>
          <w:dstrike w:val="0"/>
          <w:color w:val="auto"/>
          <w:kern w:val="0"/>
          <w:sz w:val="28"/>
          <w:szCs w:val="28"/>
          <w:highlight w:val="none"/>
          <w:lang w:val="en-US" w:eastAsia="zh-CN"/>
        </w:rPr>
        <w:t>3</w:t>
      </w:r>
      <w:r>
        <w:rPr>
          <w:rFonts w:hint="eastAsia" w:ascii="仿宋" w:hAnsi="仿宋" w:eastAsia="仿宋" w:cs="仿宋"/>
          <w:strike w:val="0"/>
          <w:dstrike w:val="0"/>
          <w:color w:val="auto"/>
          <w:kern w:val="0"/>
          <w:sz w:val="28"/>
          <w:szCs w:val="28"/>
          <w:highlight w:val="none"/>
        </w:rPr>
        <w:t>.招标类别：</w:t>
      </w:r>
      <w:r>
        <w:rPr>
          <w:rFonts w:hint="eastAsia" w:ascii="仿宋" w:hAnsi="仿宋" w:eastAsia="仿宋" w:cs="仿宋"/>
          <w:strike w:val="0"/>
          <w:dstrike w:val="0"/>
          <w:color w:val="auto"/>
          <w:kern w:val="0"/>
          <w:sz w:val="28"/>
          <w:szCs w:val="28"/>
          <w:highlight w:val="none"/>
          <w:lang w:val="en-US" w:eastAsia="zh-CN"/>
        </w:rPr>
        <w:t>工程-施工</w:t>
      </w:r>
    </w:p>
    <w:p>
      <w:pPr>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.本</w:t>
      </w:r>
      <w:r>
        <w:rPr>
          <w:rFonts w:hint="eastAsia" w:ascii="仿宋" w:hAnsi="仿宋" w:eastAsia="仿宋" w:cs="仿宋"/>
          <w:color w:val="auto"/>
          <w:kern w:val="0"/>
          <w:sz w:val="28"/>
          <w:szCs w:val="28"/>
          <w:highlight w:val="none"/>
          <w:lang w:val="en-US" w:eastAsia="zh-CN"/>
        </w:rPr>
        <w:t>竞争性谈判</w:t>
      </w:r>
      <w:r>
        <w:rPr>
          <w:rFonts w:hint="eastAsia" w:ascii="仿宋" w:hAnsi="仿宋" w:eastAsia="仿宋" w:cs="仿宋"/>
          <w:color w:val="auto"/>
          <w:kern w:val="0"/>
          <w:sz w:val="28"/>
          <w:szCs w:val="28"/>
          <w:highlight w:val="none"/>
        </w:rPr>
        <w:t>文件的澄清、修改、补充说明等内容均通过安庆</w:t>
      </w:r>
      <w:r>
        <w:rPr>
          <w:rFonts w:hint="eastAsia" w:ascii="仿宋" w:hAnsi="仿宋" w:eastAsia="仿宋" w:cs="仿宋"/>
          <w:color w:val="auto"/>
          <w:kern w:val="0"/>
          <w:sz w:val="28"/>
          <w:szCs w:val="28"/>
          <w:highlight w:val="none"/>
          <w:lang w:val="en-US" w:eastAsia="zh-CN"/>
        </w:rPr>
        <w:t>职业技术学院（https://www.aqvtc.edu.cn/）、安庆市皖宜项目咨询管理有限公司（http://wyxmzx.com/index.html）发布</w:t>
      </w:r>
      <w:r>
        <w:rPr>
          <w:rFonts w:hint="eastAsia" w:ascii="仿宋" w:hAnsi="仿宋" w:eastAsia="仿宋" w:cs="仿宋"/>
          <w:color w:val="auto"/>
          <w:kern w:val="0"/>
          <w:sz w:val="28"/>
          <w:szCs w:val="28"/>
          <w:highlight w:val="none"/>
        </w:rPr>
        <w:t>，请务必随时关注，以免影响</w:t>
      </w:r>
      <w:r>
        <w:rPr>
          <w:rFonts w:hint="eastAsia" w:ascii="仿宋" w:hAnsi="仿宋" w:eastAsia="仿宋" w:cs="仿宋"/>
          <w:color w:val="auto"/>
          <w:kern w:val="0"/>
          <w:sz w:val="28"/>
          <w:szCs w:val="28"/>
          <w:highlight w:val="none"/>
          <w:lang w:val="en-US" w:eastAsia="zh-CN"/>
        </w:rPr>
        <w:t>响应</w:t>
      </w:r>
      <w:r>
        <w:rPr>
          <w:rFonts w:hint="eastAsia" w:ascii="仿宋" w:hAnsi="仿宋" w:eastAsia="仿宋" w:cs="仿宋"/>
          <w:color w:val="auto"/>
          <w:kern w:val="0"/>
          <w:sz w:val="28"/>
          <w:szCs w:val="28"/>
          <w:highlight w:val="none"/>
        </w:rPr>
        <w:t>文件编制，因</w:t>
      </w: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未及时关注相关信息对投标造成的不利后果由其自行承担。</w:t>
      </w:r>
    </w:p>
    <w:p>
      <w:pPr>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fldChar w:fldCharType="begin"/>
      </w:r>
      <w:r>
        <w:rPr>
          <w:rFonts w:hint="eastAsia" w:ascii="仿宋" w:hAnsi="仿宋" w:eastAsia="仿宋" w:cs="仿宋"/>
          <w:color w:val="auto"/>
          <w:kern w:val="0"/>
          <w:sz w:val="28"/>
          <w:szCs w:val="28"/>
          <w:highlight w:val="none"/>
          <w:lang w:val="en-US" w:eastAsia="zh-CN"/>
        </w:rPr>
        <w:instrText xml:space="preserve"> HYPERLINK "mailto:5.获取竞争性谈判文件，而放弃参加投标的供应商，请在响应文件提交截止日前以单位名义向610385163@qq.com邮箱发送弃标函（格式自拟）。" </w:instrText>
      </w:r>
      <w:r>
        <w:rPr>
          <w:rFonts w:hint="eastAsia" w:ascii="仿宋" w:hAnsi="仿宋" w:eastAsia="仿宋" w:cs="仿宋"/>
          <w:color w:val="auto"/>
          <w:kern w:val="0"/>
          <w:sz w:val="28"/>
          <w:szCs w:val="28"/>
          <w:highlight w:val="none"/>
          <w:lang w:val="en-US" w:eastAsia="zh-CN"/>
        </w:rPr>
        <w:fldChar w:fldCharType="separate"/>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获取竞争性谈判</w:t>
      </w:r>
      <w:r>
        <w:rPr>
          <w:rFonts w:hint="eastAsia" w:ascii="仿宋" w:hAnsi="仿宋" w:eastAsia="仿宋" w:cs="仿宋"/>
          <w:color w:val="auto"/>
          <w:kern w:val="0"/>
          <w:sz w:val="28"/>
          <w:szCs w:val="28"/>
          <w:highlight w:val="none"/>
        </w:rPr>
        <w:t>文件，而放弃参加投标的</w:t>
      </w: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，请在</w:t>
      </w:r>
      <w:r>
        <w:rPr>
          <w:rFonts w:hint="eastAsia" w:ascii="仿宋" w:hAnsi="仿宋" w:eastAsia="仿宋" w:cs="仿宋"/>
          <w:color w:val="auto"/>
          <w:kern w:val="0"/>
          <w:sz w:val="28"/>
          <w:szCs w:val="28"/>
          <w:highlight w:val="none"/>
          <w:lang w:val="en-US" w:eastAsia="zh-CN"/>
        </w:rPr>
        <w:t>响应文件提交</w:t>
      </w:r>
      <w:r>
        <w:rPr>
          <w:rFonts w:hint="eastAsia" w:ascii="仿宋" w:hAnsi="仿宋" w:eastAsia="仿宋" w:cs="仿宋"/>
          <w:color w:val="auto"/>
          <w:kern w:val="0"/>
          <w:sz w:val="28"/>
          <w:szCs w:val="28"/>
          <w:highlight w:val="none"/>
        </w:rPr>
        <w:t>截止日前</w:t>
      </w:r>
      <w:r>
        <w:rPr>
          <w:rFonts w:hint="eastAsia" w:ascii="仿宋" w:hAnsi="仿宋" w:eastAsia="仿宋" w:cs="仿宋"/>
          <w:color w:val="auto"/>
          <w:kern w:val="0"/>
          <w:sz w:val="28"/>
          <w:szCs w:val="28"/>
          <w:highlight w:val="none"/>
          <w:lang w:val="en-US" w:eastAsia="zh-CN"/>
        </w:rPr>
        <w:t>以单位名义向1661851263@qq.com邮箱发送弃标函（格式自拟）</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fldChar w:fldCharType="end"/>
      </w:r>
    </w:p>
    <w:p>
      <w:pPr>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6.供应商属外省、市企业的，在合同签订前须到项目所在地行业行政主管部门办理相关信息登记手续。</w:t>
      </w:r>
    </w:p>
    <w:p>
      <w:pPr>
        <w:pStyle w:val="12"/>
        <w:numPr>
          <w:ilvl w:val="0"/>
          <w:numId w:val="0"/>
        </w:numPr>
        <w:ind w:firstLine="560" w:firstLineChars="200"/>
        <w:rPr>
          <w:rFonts w:hint="eastAsia"/>
          <w:lang w:val="en-US" w:eastAsia="zh-CN"/>
        </w:rPr>
      </w:pPr>
      <w:r>
        <w:rPr>
          <w:rFonts w:hint="eastAsia" w:ascii="仿宋_GB2312" w:hAnsi="宋体" w:eastAsia="仿宋_GB2312" w:cs="宋体"/>
          <w:color w:val="auto"/>
          <w:kern w:val="0"/>
          <w:sz w:val="28"/>
          <w:szCs w:val="28"/>
          <w:highlight w:val="none"/>
          <w:lang w:val="en-US" w:eastAsia="zh-CN"/>
        </w:rPr>
        <w:t>7.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1661851263@qq.com邮箱。谈判响应人应在竞争性谈判文件截止时间后30分钟内将加密文件电子档密码发至1661851263@qq.com邮箱。本项目实行远程询标。</w:t>
      </w:r>
    </w:p>
    <w:p>
      <w:pPr>
        <w:keepNext/>
        <w:keepLines/>
        <w:spacing w:before="260" w:after="260" w:line="360" w:lineRule="auto"/>
        <w:ind w:firstLine="560" w:firstLineChars="200"/>
        <w:rPr>
          <w:rFonts w:hint="eastAsia" w:ascii="黑体" w:hAnsi="黑体" w:eastAsia="黑体" w:cs="宋体"/>
          <w:bCs/>
          <w:color w:val="auto"/>
          <w:sz w:val="28"/>
          <w:szCs w:val="28"/>
          <w:highlight w:val="none"/>
          <w:lang w:val="en-US" w:eastAsia="zh-CN"/>
        </w:rPr>
      </w:pPr>
      <w:bookmarkStart w:id="12" w:name="_Toc28359018"/>
      <w:bookmarkStart w:id="13" w:name="_Toc35393636"/>
      <w:bookmarkStart w:id="14" w:name="_Toc28359095"/>
      <w:bookmarkStart w:id="15" w:name="_Toc35393805"/>
      <w:r>
        <w:rPr>
          <w:rFonts w:hint="eastAsia" w:ascii="黑体" w:hAnsi="黑体" w:eastAsia="黑体" w:cs="宋体"/>
          <w:bCs/>
          <w:color w:val="auto"/>
          <w:sz w:val="28"/>
          <w:szCs w:val="28"/>
          <w:highlight w:val="none"/>
          <w:lang w:val="en-US" w:eastAsia="zh-CN"/>
        </w:rPr>
        <w:t>八、凡对本次采购提出询问，请按以下方式联系。</w:t>
      </w:r>
      <w:bookmarkEnd w:id="12"/>
      <w:bookmarkEnd w:id="13"/>
      <w:bookmarkEnd w:id="14"/>
      <w:bookmarkEnd w:id="15"/>
    </w:p>
    <w:p>
      <w:pPr>
        <w:ind w:firstLine="565" w:firstLineChars="202"/>
        <w:rPr>
          <w:rFonts w:ascii="仿宋" w:hAnsi="仿宋" w:eastAsia="仿宋" w:cs="宋体"/>
          <w:bCs/>
          <w:color w:val="auto"/>
          <w:sz w:val="28"/>
          <w:szCs w:val="28"/>
          <w:highlight w:val="none"/>
        </w:rPr>
      </w:pPr>
      <w:bookmarkStart w:id="16" w:name="_Toc28359096"/>
      <w:bookmarkStart w:id="17" w:name="_Toc28359019"/>
      <w:bookmarkStart w:id="18" w:name="_Toc35393637"/>
      <w:bookmarkStart w:id="19" w:name="_Toc35393806"/>
      <w:r>
        <w:rPr>
          <w:rFonts w:hint="eastAsia" w:ascii="仿宋" w:hAnsi="仿宋" w:eastAsia="仿宋" w:cs="宋体"/>
          <w:bCs/>
          <w:color w:val="auto"/>
          <w:sz w:val="28"/>
          <w:szCs w:val="28"/>
          <w:highlight w:val="none"/>
        </w:rPr>
        <w:t>1.采购人信息</w:t>
      </w:r>
      <w:bookmarkEnd w:id="16"/>
      <w:bookmarkEnd w:id="17"/>
      <w:bookmarkEnd w:id="18"/>
      <w:bookmarkEnd w:id="19"/>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lang w:eastAsia="zh-CN"/>
        </w:rPr>
        <w:t>安庆职业技术学院</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安庆市天柱山东路99号</w:t>
      </w:r>
    </w:p>
    <w:p>
      <w:pPr>
        <w:ind w:firstLine="565" w:firstLineChars="202"/>
        <w:rPr>
          <w:rFonts w:ascii="仿宋" w:hAnsi="仿宋" w:eastAsia="仿宋"/>
          <w:color w:val="auto"/>
          <w:sz w:val="28"/>
          <w:szCs w:val="28"/>
          <w:highlight w:val="none"/>
        </w:rPr>
      </w:pPr>
      <w:r>
        <w:rPr>
          <w:rFonts w:hint="eastAsia" w:ascii="仿宋" w:hAnsi="仿宋" w:eastAsia="仿宋" w:cstheme="minorBidi"/>
          <w:color w:val="auto"/>
          <w:sz w:val="28"/>
          <w:szCs w:val="28"/>
          <w:highlight w:val="none"/>
        </w:rPr>
        <w:t>联 系 人：</w:t>
      </w:r>
      <w:r>
        <w:rPr>
          <w:rFonts w:hint="eastAsia" w:ascii="仿宋" w:hAnsi="仿宋" w:eastAsia="仿宋" w:cs="仿宋"/>
          <w:color w:val="auto"/>
          <w:kern w:val="0"/>
          <w:sz w:val="28"/>
          <w:szCs w:val="28"/>
          <w:highlight w:val="none"/>
          <w:lang w:val="en-US" w:eastAsia="zh-CN"/>
        </w:rPr>
        <w:t>余老师</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s="仿宋"/>
          <w:color w:val="auto"/>
          <w:kern w:val="0"/>
          <w:sz w:val="28"/>
          <w:szCs w:val="28"/>
          <w:highlight w:val="none"/>
        </w:rPr>
        <w:t>0556-5283045</w:t>
      </w:r>
    </w:p>
    <w:p>
      <w:pPr>
        <w:ind w:firstLine="565" w:firstLineChars="202"/>
        <w:rPr>
          <w:rFonts w:ascii="仿宋" w:hAnsi="仿宋" w:eastAsia="仿宋" w:cs="宋体"/>
          <w:bCs/>
          <w:color w:val="auto"/>
          <w:sz w:val="28"/>
          <w:szCs w:val="28"/>
          <w:highlight w:val="none"/>
        </w:rPr>
      </w:pPr>
      <w:bookmarkStart w:id="20" w:name="_Toc35393807"/>
      <w:bookmarkStart w:id="21" w:name="_Toc28359020"/>
      <w:bookmarkStart w:id="22" w:name="_Toc28359097"/>
      <w:bookmarkStart w:id="23" w:name="_Toc35393638"/>
      <w:r>
        <w:rPr>
          <w:rFonts w:hint="eastAsia" w:ascii="仿宋" w:hAnsi="仿宋" w:eastAsia="仿宋" w:cs="宋体"/>
          <w:bCs/>
          <w:color w:val="auto"/>
          <w:sz w:val="28"/>
          <w:szCs w:val="28"/>
          <w:highlight w:val="none"/>
        </w:rPr>
        <w:t>2.采购代理机构信息</w:t>
      </w:r>
      <w:bookmarkEnd w:id="20"/>
      <w:bookmarkEnd w:id="21"/>
      <w:bookmarkEnd w:id="22"/>
      <w:bookmarkEnd w:id="23"/>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rPr>
        <w:t>安庆市皖宜项目咨询管理有限公司</w:t>
      </w:r>
    </w:p>
    <w:p>
      <w:pPr>
        <w:ind w:firstLine="565" w:firstLineChars="202"/>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安庆市龙山路21</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号五楼</w:t>
      </w:r>
      <w:r>
        <w:rPr>
          <w:rFonts w:hint="eastAsia" w:ascii="仿宋" w:hAnsi="仿宋" w:eastAsia="仿宋" w:cs="仿宋"/>
          <w:color w:val="auto"/>
          <w:kern w:val="0"/>
          <w:sz w:val="28"/>
          <w:szCs w:val="28"/>
          <w:highlight w:val="none"/>
          <w:lang w:val="en-US" w:eastAsia="zh-CN"/>
        </w:rPr>
        <w:t>交易一部</w:t>
      </w:r>
    </w:p>
    <w:p>
      <w:pPr>
        <w:ind w:firstLine="565" w:firstLineChars="202"/>
        <w:rPr>
          <w:rFonts w:hint="default" w:ascii="仿宋" w:hAnsi="仿宋" w:eastAsia="仿宋"/>
          <w:color w:val="auto"/>
          <w:sz w:val="28"/>
          <w:szCs w:val="28"/>
          <w:highlight w:val="none"/>
          <w:u w:val="none"/>
          <w:lang w:val="en-US" w:eastAsia="zh-CN"/>
        </w:rPr>
      </w:pPr>
      <w:r>
        <w:rPr>
          <w:rFonts w:hint="eastAsia" w:ascii="仿宋" w:hAnsi="仿宋" w:eastAsia="仿宋" w:cstheme="minorBidi"/>
          <w:color w:val="auto"/>
          <w:sz w:val="28"/>
          <w:szCs w:val="28"/>
          <w:highlight w:val="none"/>
        </w:rPr>
        <w:t xml:space="preserve">联 </w:t>
      </w:r>
      <w:r>
        <w:rPr>
          <w:rFonts w:hint="eastAsia" w:ascii="仿宋" w:hAnsi="仿宋" w:eastAsia="仿宋" w:cstheme="minorBidi"/>
          <w:color w:val="auto"/>
          <w:sz w:val="28"/>
          <w:szCs w:val="28"/>
          <w:highlight w:val="none"/>
          <w:u w:val="none"/>
        </w:rPr>
        <w:t>系 人：</w:t>
      </w:r>
      <w:r>
        <w:rPr>
          <w:rFonts w:hint="eastAsia" w:ascii="仿宋" w:hAnsi="仿宋" w:eastAsia="仿宋"/>
          <w:color w:val="auto"/>
          <w:sz w:val="28"/>
          <w:szCs w:val="28"/>
          <w:highlight w:val="none"/>
          <w:u w:val="none"/>
          <w:lang w:val="en-US" w:eastAsia="zh-CN"/>
        </w:rPr>
        <w:t>张白梅</w:t>
      </w:r>
    </w:p>
    <w:p>
      <w:pPr>
        <w:ind w:firstLine="565" w:firstLineChars="202"/>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0556-5991156</w:t>
      </w:r>
    </w:p>
    <w:p>
      <w:pPr>
        <w:ind w:firstLine="565" w:firstLineChars="202"/>
        <w:rPr>
          <w:rFonts w:ascii="仿宋" w:hAnsi="仿宋" w:eastAsia="仿宋" w:cs="宋体"/>
          <w:bCs/>
          <w:color w:val="auto"/>
          <w:sz w:val="28"/>
          <w:szCs w:val="28"/>
          <w:highlight w:val="none"/>
        </w:rPr>
      </w:pPr>
      <w:bookmarkStart w:id="24" w:name="_Toc35393808"/>
      <w:bookmarkStart w:id="25" w:name="_Toc35393639"/>
      <w:bookmarkStart w:id="26" w:name="_Toc28359098"/>
      <w:bookmarkStart w:id="27" w:name="_Toc28359021"/>
      <w:r>
        <w:rPr>
          <w:rFonts w:hint="eastAsia" w:ascii="仿宋" w:hAnsi="仿宋" w:eastAsia="仿宋" w:cs="宋体"/>
          <w:bCs/>
          <w:color w:val="auto"/>
          <w:sz w:val="28"/>
          <w:szCs w:val="28"/>
          <w:highlight w:val="none"/>
        </w:rPr>
        <w:t>3.项目联系</w:t>
      </w:r>
      <w:r>
        <w:rPr>
          <w:rFonts w:ascii="仿宋" w:hAnsi="仿宋" w:eastAsia="仿宋" w:cs="宋体"/>
          <w:bCs/>
          <w:color w:val="auto"/>
          <w:sz w:val="28"/>
          <w:szCs w:val="28"/>
          <w:highlight w:val="none"/>
        </w:rPr>
        <w:t>方式</w:t>
      </w:r>
      <w:bookmarkEnd w:id="24"/>
      <w:bookmarkEnd w:id="25"/>
      <w:bookmarkEnd w:id="26"/>
      <w:bookmarkEnd w:id="27"/>
    </w:p>
    <w:p>
      <w:pPr>
        <w:ind w:firstLine="565" w:firstLineChars="202"/>
        <w:rPr>
          <w:rFonts w:hint="eastAsia" w:ascii="仿宋" w:hAnsi="仿宋" w:eastAsia="仿宋" w:cs="仿宋"/>
          <w:color w:val="auto"/>
          <w:kern w:val="0"/>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s="仿宋"/>
          <w:color w:val="auto"/>
          <w:kern w:val="0"/>
          <w:sz w:val="28"/>
          <w:szCs w:val="28"/>
          <w:highlight w:val="none"/>
          <w:lang w:val="en-US" w:eastAsia="zh-CN"/>
        </w:rPr>
        <w:t>余老师</w:t>
      </w:r>
    </w:p>
    <w:p>
      <w:pPr>
        <w:ind w:firstLine="565" w:firstLineChars="202"/>
        <w:rPr>
          <w:rFonts w:hint="eastAsia" w:ascii="仿宋" w:hAnsi="仿宋" w:eastAsia="仿宋" w:cs="仿宋"/>
          <w:color w:val="auto"/>
          <w:kern w:val="0"/>
          <w:sz w:val="28"/>
          <w:szCs w:val="28"/>
          <w:highlight w:val="none"/>
        </w:rPr>
      </w:pPr>
      <w:r>
        <w:rPr>
          <w:rFonts w:hint="eastAsia" w:ascii="仿宋" w:hAnsi="仿宋" w:eastAsia="仿宋"/>
          <w:color w:val="auto"/>
          <w:sz w:val="28"/>
          <w:szCs w:val="28"/>
          <w:highlight w:val="none"/>
        </w:rPr>
        <w:t>电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话：</w:t>
      </w:r>
      <w:r>
        <w:rPr>
          <w:rFonts w:hint="eastAsia" w:ascii="仿宋" w:hAnsi="仿宋" w:eastAsia="仿宋" w:cs="仿宋"/>
          <w:color w:val="auto"/>
          <w:kern w:val="0"/>
          <w:sz w:val="28"/>
          <w:szCs w:val="28"/>
          <w:highlight w:val="none"/>
        </w:rPr>
        <w:t>0556-5283045</w:t>
      </w:r>
    </w:p>
    <w:p>
      <w:pPr>
        <w:widowControl/>
        <w:shd w:val="clear" w:color="auto" w:fill="FFFFFF"/>
        <w:spacing w:line="560" w:lineRule="exact"/>
        <w:jc w:val="right"/>
        <w:rPr>
          <w:rFonts w:ascii="仿宋_GB2312" w:hAnsi="宋体" w:eastAsia="仿宋_GB2312" w:cs="宋体"/>
          <w:color w:val="auto"/>
          <w:kern w:val="0"/>
          <w:sz w:val="32"/>
          <w:szCs w:val="32"/>
          <w:highlight w:val="none"/>
        </w:rPr>
      </w:pP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12</w:t>
      </w:r>
      <w:r>
        <w:rPr>
          <w:rFonts w:hint="eastAsia" w:ascii="仿宋" w:hAnsi="仿宋" w:eastAsia="仿宋" w:cs="仿宋"/>
          <w:color w:val="auto"/>
          <w:kern w:val="0"/>
          <w:sz w:val="28"/>
          <w:szCs w:val="28"/>
          <w:highlight w:val="none"/>
        </w:rPr>
        <w:t>日</w:t>
      </w:r>
    </w:p>
    <w:p>
      <w:pPr>
        <w:widowControl/>
        <w:jc w:val="left"/>
        <w:rPr>
          <w:color w:val="auto"/>
          <w:highlight w:val="none"/>
        </w:rPr>
      </w:pPr>
      <w:r>
        <w:rPr>
          <w:color w:val="auto"/>
          <w:highlight w:val="none"/>
        </w:rPr>
        <w:br w:type="page"/>
      </w:r>
    </w:p>
    <w:p>
      <w:pPr>
        <w:widowControl/>
        <w:jc w:val="left"/>
        <w:rPr>
          <w:rFonts w:hint="eastAsia" w:ascii="宋体" w:hAnsi="宋体" w:cs="宋体"/>
          <w:color w:val="auto"/>
          <w:sz w:val="24"/>
          <w:szCs w:val="36"/>
          <w:highlight w:val="none"/>
          <w:lang w:val="en-US" w:eastAsia="zh-CN"/>
        </w:rPr>
      </w:pPr>
      <w:r>
        <w:rPr>
          <w:rFonts w:hint="eastAsia" w:ascii="宋体" w:hAnsi="宋体" w:cs="宋体"/>
          <w:color w:val="auto"/>
          <w:sz w:val="24"/>
          <w:szCs w:val="36"/>
          <w:highlight w:val="none"/>
          <w:lang w:val="en-US" w:eastAsia="zh-CN"/>
        </w:rPr>
        <w:t>附件：</w:t>
      </w:r>
    </w:p>
    <w:p>
      <w:pPr>
        <w:pStyle w:val="5"/>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确认回执函</w:t>
      </w:r>
    </w:p>
    <w:p>
      <w:pPr>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安庆职业技术学院</w:t>
      </w:r>
      <w:r>
        <w:rPr>
          <w:rFonts w:hint="eastAsia" w:ascii="仿宋" w:hAnsi="仿宋" w:eastAsia="仿宋" w:cs="仿宋"/>
          <w:b w:val="0"/>
          <w:bCs w:val="0"/>
          <w:color w:val="auto"/>
          <w:sz w:val="32"/>
          <w:szCs w:val="32"/>
          <w:highlight w:val="none"/>
          <w:lang w:eastAsia="zh-CN"/>
        </w:rPr>
        <w:t>：</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lang w:val="en-US" w:eastAsia="zh-CN"/>
        </w:rPr>
        <w:t>我单位确定参加安庆职业技术学院纪委谈话室建设工程的谈判</w:t>
      </w:r>
      <w:r>
        <w:rPr>
          <w:rFonts w:hint="eastAsia" w:ascii="仿宋" w:hAnsi="仿宋" w:eastAsia="仿宋" w:cs="仿宋"/>
          <w:b w:val="0"/>
          <w:bCs w:val="0"/>
          <w:color w:val="auto"/>
          <w:sz w:val="32"/>
          <w:szCs w:val="32"/>
          <w:highlight w:val="none"/>
          <w:u w:val="none"/>
          <w:lang w:val="en-US" w:eastAsia="zh-CN"/>
        </w:rPr>
        <w:t>。</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rPr>
          <w:rFonts w:hint="default"/>
          <w:color w:val="auto"/>
          <w:highlight w:val="none"/>
          <w:lang w:val="en-US" w:eastAsia="zh-CN"/>
        </w:rPr>
      </w:pPr>
    </w:p>
    <w:p>
      <w:pPr>
        <w:pStyle w:val="5"/>
        <w:rPr>
          <w:rFonts w:hint="eastAsia" w:ascii="宋体" w:hAnsi="宋体" w:cs="宋体"/>
          <w:color w:val="auto"/>
          <w:highlight w:val="none"/>
        </w:rPr>
      </w:pPr>
    </w:p>
    <w:p>
      <w:pPr>
        <w:pStyle w:val="5"/>
        <w:rPr>
          <w:rFonts w:hint="eastAsia" w:ascii="宋体" w:hAnsi="宋体" w:cs="宋体"/>
          <w:color w:val="auto"/>
          <w:highlight w:val="none"/>
        </w:rPr>
      </w:pPr>
    </w:p>
    <w:p>
      <w:pPr>
        <w:pStyle w:val="5"/>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5"/>
        <w:rPr>
          <w:rFonts w:hint="eastAsia" w:ascii="宋体" w:hAnsi="宋体" w:cs="宋体"/>
          <w:color w:val="auto"/>
          <w:highlight w:val="none"/>
        </w:rPr>
      </w:pPr>
    </w:p>
    <w:p>
      <w:pPr>
        <w:rPr>
          <w:rFonts w:hint="eastAsia"/>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第二章   谈判响应人须知</w:t>
      </w:r>
      <w:bookmarkEnd w:id="0"/>
      <w:bookmarkEnd w:id="1"/>
    </w:p>
    <w:p>
      <w:pPr>
        <w:pStyle w:val="50"/>
        <w:rPr>
          <w:rFonts w:ascii="宋体" w:hAnsi="宋体"/>
          <w:color w:val="auto"/>
          <w:highlight w:val="none"/>
        </w:rPr>
      </w:pPr>
      <w:bookmarkStart w:id="28" w:name="_Toc55202309"/>
      <w:bookmarkStart w:id="29" w:name="_Toc27607"/>
      <w:r>
        <w:rPr>
          <w:rFonts w:hint="eastAsia" w:ascii="宋体" w:hAnsi="宋体"/>
          <w:color w:val="auto"/>
          <w:highlight w:val="none"/>
        </w:rPr>
        <w:t>第一节  谈判响应人须知前附表</w:t>
      </w:r>
      <w:bookmarkEnd w:id="28"/>
      <w:bookmarkEnd w:id="29"/>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1808"/>
        <w:gridCol w:w="6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b/>
                <w:bCs/>
                <w:color w:val="auto"/>
                <w:highlight w:val="none"/>
                <w:lang w:val="en-US" w:eastAsia="zh-CN"/>
              </w:rPr>
            </w:pPr>
            <w:bookmarkStart w:id="30" w:name="_Toc14999"/>
            <w:r>
              <w:rPr>
                <w:rFonts w:hint="eastAsia" w:ascii="宋体" w:hAnsi="宋体" w:eastAsia="宋体" w:cs="宋体"/>
                <w:b/>
                <w:bCs/>
                <w:color w:val="auto"/>
                <w:highlight w:val="none"/>
                <w:lang w:val="en-US" w:eastAsia="zh-CN"/>
              </w:rPr>
              <w:t>序号</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序列名称</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序列内容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highlight w:val="none"/>
              </w:rPr>
            </w:pPr>
            <w:r>
              <w:rPr>
                <w:rFonts w:hint="eastAsia" w:ascii="宋体" w:hAnsi="宋体" w:cs="宋体"/>
                <w:color w:val="auto"/>
                <w:szCs w:val="21"/>
                <w:highlight w:val="none"/>
              </w:rPr>
              <w:t>1</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highlight w:val="none"/>
                <w:lang w:val="en-US" w:eastAsia="zh-CN"/>
              </w:rPr>
            </w:pPr>
            <w:r>
              <w:rPr>
                <w:rFonts w:hint="eastAsia" w:ascii="宋体" w:hAnsi="宋体" w:cs="宋体"/>
                <w:color w:val="auto"/>
                <w:szCs w:val="21"/>
                <w:highlight w:val="none"/>
              </w:rPr>
              <w:t>项目编号</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GC-AQ-W2022-</w:t>
            </w:r>
            <w:r>
              <w:rPr>
                <w:rFonts w:hint="eastAsia" w:ascii="宋体" w:hAnsi="宋体" w:eastAsia="宋体" w:cs="宋体"/>
                <w:color w:val="auto"/>
                <w:szCs w:val="21"/>
                <w:highlight w:val="none"/>
                <w:lang w:val="en-US" w:eastAsia="zh-CN"/>
              </w:rPr>
              <w:t>028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highlight w:val="none"/>
              </w:rPr>
            </w:pPr>
            <w:r>
              <w:rPr>
                <w:rFonts w:hint="eastAsia" w:ascii="宋体" w:hAnsi="宋体" w:cs="宋体"/>
                <w:color w:val="auto"/>
                <w:szCs w:val="21"/>
                <w:highlight w:val="none"/>
              </w:rPr>
              <w:t>2</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highlight w:val="none"/>
                <w:lang w:val="en-US" w:eastAsia="zh-CN"/>
              </w:rPr>
            </w:pPr>
            <w:r>
              <w:rPr>
                <w:rFonts w:hint="eastAsia" w:ascii="宋体" w:hAnsi="宋体" w:cs="宋体"/>
                <w:color w:val="auto"/>
                <w:szCs w:val="21"/>
                <w:highlight w:val="none"/>
              </w:rPr>
              <w:t>项目名称</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highlight w:val="none"/>
              </w:rPr>
            </w:pPr>
            <w:r>
              <w:rPr>
                <w:rFonts w:hint="eastAsia" w:ascii="宋体" w:hAnsi="宋体" w:cs="宋体"/>
                <w:color w:val="auto"/>
                <w:szCs w:val="21"/>
                <w:highlight w:val="none"/>
                <w:lang w:eastAsia="zh-CN"/>
              </w:rPr>
              <w:t>安庆职业技术学院纪委谈话室建设工程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eastAsia="宋体" w:cs="宋体"/>
                <w:color w:val="auto"/>
                <w:highlight w:val="none"/>
                <w:lang w:val="en-US" w:eastAsia="zh-CN"/>
              </w:rPr>
            </w:pPr>
            <w:r>
              <w:rPr>
                <w:rFonts w:hint="eastAsia" w:ascii="宋体" w:hAnsi="宋体" w:cs="宋体"/>
                <w:color w:val="auto"/>
                <w:szCs w:val="21"/>
                <w:highlight w:val="none"/>
              </w:rPr>
              <w:t>3</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采购人</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highlight w:val="none"/>
                <w:lang w:eastAsia="zh-CN"/>
              </w:rPr>
            </w:pPr>
            <w:r>
              <w:rPr>
                <w:rFonts w:hint="eastAsia" w:ascii="宋体" w:hAnsi="宋体" w:cs="宋体"/>
                <w:color w:val="auto"/>
                <w:szCs w:val="21"/>
                <w:highlight w:val="none"/>
              </w:rPr>
              <w:t>4</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采购</w:t>
            </w:r>
            <w:r>
              <w:rPr>
                <w:rFonts w:hint="eastAsia" w:ascii="宋体" w:hAnsi="宋体" w:cs="宋体"/>
                <w:color w:val="auto"/>
                <w:szCs w:val="21"/>
                <w:highlight w:val="none"/>
                <w:lang w:val="en-US" w:eastAsia="zh-CN"/>
              </w:rPr>
              <w:t>代理</w:t>
            </w:r>
            <w:r>
              <w:rPr>
                <w:rFonts w:hint="eastAsia" w:ascii="宋体" w:hAnsi="宋体" w:cs="宋体"/>
                <w:color w:val="auto"/>
                <w:szCs w:val="21"/>
                <w:highlight w:val="none"/>
              </w:rPr>
              <w:t>机构</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highlight w:val="none"/>
                <w:lang w:val="en-US" w:eastAsia="zh-CN"/>
              </w:rPr>
            </w:pPr>
            <w:r>
              <w:rPr>
                <w:rFonts w:hint="eastAsia" w:ascii="宋体" w:hAnsi="宋体" w:cs="宋体"/>
                <w:color w:val="auto"/>
                <w:szCs w:val="21"/>
                <w:highlight w:val="none"/>
              </w:rPr>
              <w:t>5</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color w:val="auto"/>
                <w:highlight w:val="none"/>
                <w:lang w:val="en-US" w:eastAsia="zh-CN"/>
              </w:rPr>
            </w:pPr>
            <w:r>
              <w:rPr>
                <w:rFonts w:hint="eastAsia" w:ascii="宋体" w:hAnsi="宋体" w:cs="宋体"/>
                <w:color w:val="auto"/>
                <w:szCs w:val="21"/>
                <w:highlight w:val="none"/>
              </w:rPr>
              <w:t>采购方式</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highlight w:val="none"/>
                <w:lang w:eastAsia="zh-CN"/>
              </w:rPr>
            </w:pPr>
            <w:r>
              <w:rPr>
                <w:rFonts w:hint="eastAsia" w:ascii="宋体" w:hAnsi="宋体" w:cs="宋体"/>
                <w:color w:val="auto"/>
                <w:szCs w:val="21"/>
                <w:highlight w:val="none"/>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highlight w:val="none"/>
                <w:lang w:val="en-US" w:eastAsia="zh-CN"/>
              </w:rPr>
            </w:pPr>
            <w:r>
              <w:rPr>
                <w:rFonts w:hint="eastAsia" w:ascii="宋体" w:hAnsi="宋体" w:cs="宋体"/>
                <w:color w:val="auto"/>
                <w:szCs w:val="21"/>
                <w:highlight w:val="none"/>
              </w:rPr>
              <w:t>6</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color w:val="auto"/>
                <w:highlight w:val="none"/>
                <w:lang w:val="en-US" w:eastAsia="zh-CN"/>
              </w:rPr>
            </w:pPr>
            <w:r>
              <w:rPr>
                <w:rFonts w:hint="eastAsia" w:ascii="宋体" w:hAnsi="宋体" w:cs="宋体"/>
                <w:color w:val="auto"/>
                <w:szCs w:val="21"/>
                <w:highlight w:val="none"/>
              </w:rPr>
              <w:t>包别划分</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highlight w:val="none"/>
                <w:lang w:eastAsia="zh-CN"/>
              </w:rPr>
            </w:pPr>
            <w:r>
              <w:rPr>
                <w:rFonts w:hint="eastAsia" w:ascii="宋体" w:hAnsi="宋体" w:cs="宋体"/>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highlight w:val="none"/>
                <w:lang w:val="en-US" w:eastAsia="zh-CN"/>
              </w:rPr>
            </w:pPr>
            <w:r>
              <w:rPr>
                <w:rFonts w:hint="eastAsia" w:ascii="宋体" w:hAnsi="宋体" w:cs="宋体"/>
                <w:color w:val="auto"/>
                <w:szCs w:val="21"/>
                <w:highlight w:val="none"/>
              </w:rPr>
              <w:t>7</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color w:val="auto"/>
                <w:highlight w:val="none"/>
                <w:lang w:val="en-US" w:eastAsia="zh-CN"/>
              </w:rPr>
            </w:pPr>
            <w:r>
              <w:rPr>
                <w:rFonts w:hint="eastAsia" w:ascii="宋体" w:hAnsi="宋体" w:cs="宋体"/>
                <w:color w:val="auto"/>
                <w:szCs w:val="21"/>
                <w:highlight w:val="none"/>
              </w:rPr>
              <w:t>资金来源</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highlight w:val="none"/>
                <w:lang w:eastAsia="zh-CN"/>
              </w:rPr>
            </w:pPr>
            <w:r>
              <w:rPr>
                <w:rFonts w:hint="eastAsia" w:ascii="宋体" w:hAnsi="宋体" w:cs="宋体"/>
                <w:color w:val="auto"/>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highlight w:val="none"/>
                <w:lang w:val="en-US" w:eastAsia="zh-CN"/>
              </w:rPr>
            </w:pPr>
            <w:r>
              <w:rPr>
                <w:rFonts w:hint="eastAsia" w:ascii="宋体" w:hAnsi="宋体" w:cs="宋体"/>
                <w:color w:val="auto"/>
                <w:szCs w:val="21"/>
                <w:highlight w:val="none"/>
              </w:rPr>
              <w:t>8</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color w:val="auto"/>
                <w:highlight w:val="none"/>
                <w:lang w:val="en-US" w:eastAsia="zh-CN"/>
              </w:rPr>
            </w:pPr>
            <w:r>
              <w:rPr>
                <w:rFonts w:hint="eastAsia" w:ascii="宋体" w:hAnsi="宋体" w:cs="宋体"/>
                <w:color w:val="auto"/>
                <w:szCs w:val="21"/>
                <w:highlight w:val="none"/>
              </w:rPr>
              <w:t>谈判最高限价</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highlight w:val="none"/>
                <w:lang w:eastAsia="zh-CN"/>
              </w:rPr>
            </w:pPr>
            <w:r>
              <w:rPr>
                <w:rFonts w:hint="eastAsia" w:ascii="宋体" w:hAnsi="宋体" w:cs="宋体"/>
                <w:color w:val="auto"/>
                <w:szCs w:val="21"/>
                <w:highlight w:val="none"/>
                <w:lang w:val="en-US" w:eastAsia="zh-CN"/>
              </w:rPr>
              <w:t>79546.94元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highlight w:val="none"/>
                <w:lang w:val="en-US" w:eastAsia="zh-CN"/>
              </w:rPr>
            </w:pPr>
            <w:r>
              <w:rPr>
                <w:rFonts w:hint="eastAsia" w:ascii="宋体" w:hAnsi="宋体" w:cs="宋体"/>
                <w:color w:val="auto"/>
                <w:szCs w:val="21"/>
                <w:highlight w:val="none"/>
              </w:rPr>
              <w:t>9</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color w:val="auto"/>
                <w:highlight w:val="none"/>
                <w:lang w:val="en-US" w:eastAsia="zh-CN"/>
              </w:rPr>
            </w:pPr>
            <w:r>
              <w:rPr>
                <w:rFonts w:hint="eastAsia" w:ascii="宋体" w:hAnsi="宋体" w:cs="宋体"/>
                <w:color w:val="auto"/>
                <w:szCs w:val="21"/>
                <w:highlight w:val="none"/>
              </w:rPr>
              <w:t>项目地点</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highlight w:val="none"/>
                <w:lang w:eastAsia="zh-CN"/>
              </w:rPr>
            </w:pPr>
            <w:r>
              <w:rPr>
                <w:rFonts w:hint="eastAsia" w:ascii="宋体" w:hAnsi="宋体" w:cs="宋体"/>
                <w:color w:val="auto"/>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范围</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施工图设计文件</w:t>
            </w:r>
            <w:r>
              <w:rPr>
                <w:rFonts w:hint="eastAsia" w:ascii="宋体" w:hAnsi="宋体" w:eastAsia="宋体" w:cs="宋体"/>
                <w:color w:val="auto"/>
                <w:highlight w:val="none"/>
              </w:rPr>
              <w:t>及工程量清单列示的全部内容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1</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计价方式</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工程量清单综合单价计价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计划工期</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60 </w:t>
            </w:r>
            <w:r>
              <w:rPr>
                <w:rFonts w:hint="eastAsia" w:ascii="宋体" w:hAnsi="宋体" w:eastAsia="宋体" w:cs="宋体"/>
                <w:color w:val="auto"/>
                <w:highlight w:val="none"/>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质量标准要求</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达到国家相关施工验收规范合格标准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资格审查方式</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highlight w:val="none"/>
              </w:rPr>
            </w:pPr>
            <w:r>
              <w:rPr>
                <w:rFonts w:hint="eastAsia" w:ascii="宋体" w:hAnsi="宋体" w:cs="宋体"/>
                <w:color w:val="auto"/>
                <w:szCs w:val="21"/>
                <w:highlight w:val="none"/>
              </w:rPr>
              <w:t>资格要求</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eastAsia="宋体" w:cs="宋体"/>
                <w:color w:val="auto"/>
                <w:highlight w:val="none"/>
                <w:lang w:val="en-US" w:eastAsia="zh-CN"/>
              </w:rPr>
            </w:pPr>
            <w:r>
              <w:rPr>
                <w:rFonts w:hint="eastAsia" w:ascii="宋体" w:hAnsi="宋体" w:cs="宋体"/>
                <w:color w:val="auto"/>
                <w:szCs w:val="21"/>
                <w:highlight w:val="none"/>
                <w:lang w:val="en-US" w:eastAsia="zh-CN"/>
              </w:rPr>
              <w:t>详见竞争性谈判公告供应商资格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strike w:val="0"/>
                <w:dstrike w:val="0"/>
                <w:color w:val="auto"/>
                <w:highlight w:val="none"/>
                <w:lang w:val="en-US" w:eastAsia="zh-CN"/>
              </w:rPr>
              <w:t>施工项目管理机构</w:t>
            </w:r>
            <w:r>
              <w:rPr>
                <w:rFonts w:hint="eastAsia" w:ascii="宋体" w:hAnsi="宋体" w:eastAsia="宋体" w:cs="宋体"/>
                <w:strike w:val="0"/>
                <w:dstrike w:val="0"/>
                <w:color w:val="auto"/>
                <w:highlight w:val="none"/>
              </w:rPr>
              <w:t>要求</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rPr>
                <w:rFonts w:hint="eastAsia" w:ascii="宋体" w:hAnsi="宋体" w:eastAsia="宋体" w:cs="宋体"/>
                <w:color w:val="auto"/>
                <w:highlight w:val="none"/>
                <w:lang w:eastAsia="zh-CN"/>
              </w:rPr>
            </w:pPr>
            <w:r>
              <w:rPr>
                <w:rFonts w:hint="eastAsia" w:ascii="宋体" w:hAnsi="宋体" w:cs="宋体"/>
                <w:b/>
                <w:bCs w:val="0"/>
                <w:color w:val="auto"/>
                <w:spacing w:val="-4"/>
                <w:sz w:val="21"/>
                <w:szCs w:val="21"/>
                <w:highlight w:val="none"/>
                <w:lang w:val="en-US" w:eastAsia="zh-CN"/>
              </w:rPr>
              <w:t>成交</w:t>
            </w:r>
            <w:r>
              <w:rPr>
                <w:rFonts w:hint="eastAsia" w:ascii="宋体" w:hAnsi="宋体" w:eastAsia="宋体" w:cs="宋体"/>
                <w:b/>
                <w:bCs w:val="0"/>
                <w:color w:val="auto"/>
                <w:spacing w:val="-4"/>
                <w:sz w:val="21"/>
                <w:szCs w:val="21"/>
                <w:highlight w:val="none"/>
                <w:lang w:val="en-US" w:eastAsia="zh-CN"/>
              </w:rPr>
              <w:t>人在开工前组建的施工项目管理机构，要符合住房城乡建设部及安徽省相关标准规定</w:t>
            </w:r>
            <w:r>
              <w:rPr>
                <w:rFonts w:hint="eastAsia" w:ascii="宋体" w:hAnsi="宋体" w:eastAsia="宋体" w:cs="宋体"/>
                <w:b/>
                <w:bCs w:val="0"/>
                <w:color w:val="auto"/>
                <w:spacing w:val="-4"/>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谈判响应有效期</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left="-2" w:leftChars="-1" w:firstLine="2"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谈判响应保证金</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本项目免收。</w:t>
            </w:r>
            <w:r>
              <w:rPr>
                <w:rFonts w:ascii="宋体" w:hAnsi="宋体" w:cs="宋体"/>
                <w:b/>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是否允许提交备选投标方案</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□允许</w:t>
            </w:r>
            <w:r>
              <w:rPr>
                <w:rFonts w:hint="eastAsia" w:ascii="宋体" w:hAnsi="宋体" w:eastAsia="宋体" w:cs="宋体"/>
                <w:color w:val="auto"/>
                <w:sz w:val="21"/>
                <w:szCs w:val="21"/>
                <w:highlight w:val="none"/>
                <w:bdr w:val="single" w:color="auto" w:sz="4" w:space="0"/>
              </w:rPr>
              <w:t>√</w:t>
            </w:r>
            <w:r>
              <w:rPr>
                <w:rFonts w:hint="eastAsia" w:ascii="宋体" w:hAnsi="宋体" w:eastAsia="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strike w:val="0"/>
                <w:dstrike w:val="0"/>
                <w:color w:val="auto"/>
                <w:highlight w:val="none"/>
              </w:rPr>
            </w:pPr>
            <w:r>
              <w:rPr>
                <w:rFonts w:hint="eastAsia" w:ascii="宋体" w:hAnsi="宋体" w:cs="宋体"/>
                <w:color w:val="auto"/>
                <w:szCs w:val="21"/>
                <w:highlight w:val="none"/>
              </w:rPr>
              <w:t>提交响应文件</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left="-2" w:leftChars="-1" w:firstLine="2" w:firstLineChars="0"/>
              <w:rPr>
                <w:rFonts w:hint="eastAsia" w:ascii="宋体" w:hAnsi="宋体" w:eastAsia="宋体" w:cs="宋体"/>
                <w:b/>
                <w:bCs w:val="0"/>
                <w:color w:val="auto"/>
                <w:spacing w:val="-4"/>
                <w:sz w:val="21"/>
                <w:szCs w:val="21"/>
                <w:highlight w:val="none"/>
                <w:lang w:eastAsia="zh-CN"/>
              </w:rPr>
            </w:pPr>
            <w:r>
              <w:rPr>
                <w:rFonts w:hint="eastAsia" w:ascii="宋体" w:hAnsi="宋体" w:eastAsia="宋体" w:cs="宋体"/>
                <w:color w:val="auto"/>
                <w:szCs w:val="21"/>
                <w:highlight w:val="none"/>
                <w:lang w:val="en-US" w:eastAsia="zh-CN"/>
              </w:rPr>
              <w:t>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1661851263@qq.com邮箱。谈判响应人应在竞争性谈判文件截止时间后30分钟内将加密文件电子档密码发至1661851263@qq.com邮箱。本项目实行远程询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21</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strike w:val="0"/>
                <w:dstrike w:val="0"/>
                <w:color w:val="auto"/>
                <w:highlight w:val="none"/>
              </w:rPr>
            </w:pPr>
            <w:r>
              <w:rPr>
                <w:rFonts w:hint="eastAsia" w:ascii="宋体" w:hAnsi="宋体" w:cs="宋体"/>
                <w:color w:val="auto"/>
                <w:szCs w:val="21"/>
                <w:highlight w:val="none"/>
              </w:rPr>
              <w:t>媒介发布</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jc w:val="left"/>
              <w:rPr>
                <w:rFonts w:hint="eastAsia" w:ascii="宋体" w:hAnsi="宋体" w:eastAsia="宋体" w:cs="宋体"/>
                <w:b/>
                <w:bCs w:val="0"/>
                <w:color w:val="auto"/>
                <w:spacing w:val="-4"/>
                <w:sz w:val="21"/>
                <w:szCs w:val="21"/>
                <w:highlight w:val="none"/>
                <w:lang w:eastAsia="zh-CN"/>
              </w:rPr>
            </w:pP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安庆</w:t>
            </w:r>
            <w:r>
              <w:rPr>
                <w:rFonts w:hint="eastAsia" w:ascii="宋体" w:hAnsi="宋体" w:eastAsia="宋体" w:cs="宋体"/>
                <w:color w:val="auto"/>
                <w:szCs w:val="21"/>
                <w:highlight w:val="none"/>
                <w:lang w:val="en-US" w:eastAsia="zh-CN"/>
              </w:rPr>
              <w:t>职业技术学院（https://www.aqvtc.edu.cn/）招标采购栏目</w:t>
            </w:r>
            <w:r>
              <w:rPr>
                <w:rFonts w:hint="eastAsia" w:ascii="宋体" w:hAnsi="宋体" w:cs="宋体"/>
                <w:color w:val="auto"/>
                <w:szCs w:val="21"/>
                <w:highlight w:val="none"/>
                <w:lang w:val="en-US" w:eastAsia="zh-CN"/>
              </w:rPr>
              <w:t>、安庆市皖宜项目咨询管理有限公司（http://wyxmzx.com/index.html）</w:t>
            </w:r>
            <w:r>
              <w:rPr>
                <w:rFonts w:hint="eastAsia" w:ascii="宋体" w:hAnsi="宋体" w:eastAsia="宋体" w:cs="宋体"/>
                <w:color w:val="auto"/>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22</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strike w:val="0"/>
                <w:dstrike w:val="0"/>
                <w:color w:val="auto"/>
                <w:highlight w:val="none"/>
              </w:rPr>
            </w:pPr>
            <w:r>
              <w:rPr>
                <w:rFonts w:hint="eastAsia" w:ascii="宋体" w:hAnsi="宋体" w:cs="宋体"/>
                <w:color w:val="auto"/>
                <w:szCs w:val="21"/>
                <w:highlight w:val="none"/>
              </w:rPr>
              <w:t>谈判时间和地点</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时间: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bookmarkStart w:id="206" w:name="_GoBack"/>
            <w:bookmarkEnd w:id="206"/>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00 </w:t>
            </w:r>
            <w:r>
              <w:rPr>
                <w:rFonts w:hint="eastAsia" w:ascii="宋体" w:hAnsi="宋体" w:cs="宋体"/>
                <w:color w:val="auto"/>
                <w:szCs w:val="21"/>
                <w:highlight w:val="none"/>
              </w:rPr>
              <w:t>分</w:t>
            </w:r>
          </w:p>
          <w:p>
            <w:pPr>
              <w:spacing w:line="420" w:lineRule="exact"/>
              <w:rPr>
                <w:rFonts w:hint="default" w:ascii="宋体" w:hAnsi="宋体" w:eastAsia="宋体" w:cs="宋体"/>
                <w:b/>
                <w:bCs w:val="0"/>
                <w:color w:val="auto"/>
                <w:spacing w:val="-4"/>
                <w:sz w:val="21"/>
                <w:szCs w:val="21"/>
                <w:highlight w:val="none"/>
                <w:lang w:val="en-US" w:eastAsia="zh-CN"/>
              </w:rPr>
            </w:pPr>
            <w:r>
              <w:rPr>
                <w:rFonts w:hint="eastAsia" w:ascii="宋体" w:hAnsi="宋体" w:cs="宋体"/>
                <w:color w:val="auto"/>
                <w:szCs w:val="21"/>
                <w:highlight w:val="none"/>
              </w:rPr>
              <w:t>地点: 安庆市</w:t>
            </w:r>
            <w:r>
              <w:rPr>
                <w:rFonts w:hint="eastAsia" w:ascii="宋体" w:hAnsi="宋体" w:cs="宋体"/>
                <w:color w:val="auto"/>
                <w:szCs w:val="21"/>
                <w:highlight w:val="none"/>
                <w:lang w:val="en-US" w:eastAsia="zh-CN"/>
              </w:rPr>
              <w:t>龙山路213号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23</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strike w:val="0"/>
                <w:dstrike w:val="0"/>
                <w:color w:val="auto"/>
                <w:highlight w:val="none"/>
              </w:rPr>
            </w:pPr>
            <w:r>
              <w:rPr>
                <w:rFonts w:hint="eastAsia" w:ascii="宋体" w:hAnsi="宋体" w:cs="宋体"/>
                <w:color w:val="auto"/>
                <w:szCs w:val="21"/>
                <w:highlight w:val="none"/>
              </w:rPr>
              <w:t>评审方法</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b/>
                <w:bCs w:val="0"/>
                <w:color w:val="auto"/>
                <w:spacing w:val="-4"/>
                <w:sz w:val="21"/>
                <w:szCs w:val="21"/>
                <w:highlight w:val="none"/>
                <w:lang w:eastAsia="zh-CN"/>
              </w:rPr>
            </w:pPr>
            <w:r>
              <w:rPr>
                <w:rFonts w:hint="eastAsia" w:ascii="宋体" w:hAnsi="宋体" w:cs="宋体"/>
                <w:b/>
                <w:color w:val="auto"/>
                <w:highlight w:val="none"/>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24</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strike w:val="0"/>
                <w:dstrike w:val="0"/>
                <w:color w:val="auto"/>
                <w:highlight w:val="none"/>
              </w:rPr>
            </w:pPr>
            <w:r>
              <w:rPr>
                <w:rFonts w:hint="eastAsia" w:ascii="宋体" w:hAnsi="宋体" w:cs="宋体"/>
                <w:color w:val="auto"/>
                <w:szCs w:val="21"/>
                <w:highlight w:val="none"/>
              </w:rPr>
              <w:t>履约保证金</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overflowPunct/>
              <w:topLinePunct w:val="0"/>
              <w:bidi w:val="0"/>
              <w:spacing w:line="476"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①担保方式：</w:t>
            </w:r>
            <w:r>
              <w:rPr>
                <w:rFonts w:hint="eastAsia" w:ascii="宋体" w:hAnsi="宋体" w:eastAsia="宋体" w:cs="宋体"/>
                <w:color w:val="auto"/>
                <w:sz w:val="21"/>
                <w:szCs w:val="21"/>
                <w:highlight w:val="none"/>
                <w:bdr w:val="single" w:color="auto" w:sz="4" w:space="0"/>
              </w:rPr>
              <w:t>√</w:t>
            </w:r>
            <w:r>
              <w:rPr>
                <w:rFonts w:hint="eastAsia" w:ascii="宋体" w:hAnsi="宋体" w:eastAsia="宋体" w:cs="宋体"/>
                <w:color w:val="auto"/>
                <w:highlight w:val="none"/>
                <w:lang w:val="en-US" w:eastAsia="zh-CN"/>
              </w:rPr>
              <w:t>银行保函</w:t>
            </w:r>
            <w:r>
              <w:rPr>
                <w:rFonts w:hint="eastAsia" w:ascii="宋体" w:hAnsi="宋体" w:eastAsia="宋体" w:cs="宋体"/>
                <w:color w:val="auto"/>
                <w:sz w:val="21"/>
                <w:szCs w:val="21"/>
                <w:highlight w:val="none"/>
                <w:bdr w:val="single" w:color="auto" w:sz="4" w:space="0"/>
              </w:rPr>
              <w:t>√</w:t>
            </w:r>
            <w:r>
              <w:rPr>
                <w:rFonts w:hint="eastAsia" w:ascii="宋体" w:hAnsi="宋体" w:eastAsia="宋体" w:cs="宋体"/>
                <w:color w:val="auto"/>
                <w:highlight w:val="none"/>
                <w:lang w:val="en-US" w:eastAsia="zh-CN"/>
              </w:rPr>
              <w:t>现金保证</w:t>
            </w:r>
            <w:r>
              <w:rPr>
                <w:rFonts w:hint="eastAsia" w:ascii="宋体" w:hAnsi="宋体" w:eastAsia="宋体" w:cs="宋体"/>
                <w:color w:val="auto"/>
                <w:sz w:val="21"/>
                <w:szCs w:val="21"/>
                <w:highlight w:val="none"/>
                <w:bdr w:val="single" w:color="auto" w:sz="4" w:space="0"/>
              </w:rPr>
              <w:t>√</w:t>
            </w:r>
            <w:r>
              <w:rPr>
                <w:rFonts w:hint="eastAsia" w:ascii="宋体" w:hAnsi="宋体" w:eastAsia="宋体" w:cs="宋体"/>
                <w:color w:val="auto"/>
                <w:highlight w:val="none"/>
                <w:lang w:val="en-US" w:eastAsia="zh-CN"/>
              </w:rPr>
              <w:t>现金支票</w:t>
            </w:r>
            <w:r>
              <w:rPr>
                <w:rFonts w:hint="eastAsia" w:ascii="宋体" w:hAnsi="宋体" w:eastAsia="宋体" w:cs="宋体"/>
                <w:color w:val="auto"/>
                <w:sz w:val="21"/>
                <w:szCs w:val="21"/>
                <w:highlight w:val="none"/>
                <w:bdr w:val="single" w:color="auto" w:sz="4" w:space="0"/>
              </w:rPr>
              <w:t>√</w:t>
            </w:r>
            <w:r>
              <w:rPr>
                <w:rFonts w:hint="eastAsia" w:ascii="宋体" w:hAnsi="宋体" w:eastAsia="宋体" w:cs="宋体"/>
                <w:color w:val="auto"/>
                <w:highlight w:val="none"/>
                <w:lang w:val="en-US" w:eastAsia="zh-CN"/>
              </w:rPr>
              <w:t>银行汇票</w:t>
            </w:r>
            <w:r>
              <w:rPr>
                <w:rFonts w:hint="eastAsia" w:ascii="宋体" w:hAnsi="宋体" w:eastAsia="宋体" w:cs="宋体"/>
                <w:color w:val="auto"/>
                <w:sz w:val="21"/>
                <w:szCs w:val="21"/>
                <w:highlight w:val="none"/>
                <w:bdr w:val="single" w:color="auto" w:sz="4" w:space="0"/>
              </w:rPr>
              <w:t>√</w:t>
            </w:r>
            <w:r>
              <w:rPr>
                <w:rFonts w:hint="eastAsia" w:ascii="宋体" w:hAnsi="宋体" w:eastAsia="宋体" w:cs="宋体"/>
                <w:color w:val="auto"/>
                <w:highlight w:val="none"/>
                <w:lang w:val="en-US" w:eastAsia="zh-CN"/>
              </w:rPr>
              <w:t>银行转账</w:t>
            </w:r>
            <w:r>
              <w:rPr>
                <w:rFonts w:hint="eastAsia" w:ascii="宋体" w:hAnsi="宋体" w:eastAsia="宋体" w:cs="宋体"/>
                <w:color w:val="auto"/>
                <w:sz w:val="21"/>
                <w:szCs w:val="21"/>
                <w:highlight w:val="none"/>
                <w:bdr w:val="single" w:color="auto" w:sz="4" w:space="0"/>
              </w:rPr>
              <w:t>√</w:t>
            </w:r>
            <w:r>
              <w:rPr>
                <w:rFonts w:hint="eastAsia" w:ascii="宋体" w:hAnsi="宋体" w:eastAsia="宋体" w:cs="宋体"/>
                <w:color w:val="auto"/>
                <w:highlight w:val="none"/>
              </w:rPr>
              <w:t>保证保险</w:t>
            </w:r>
          </w:p>
          <w:p>
            <w:pPr>
              <w:pageBreakBefore w:val="0"/>
              <w:numPr>
                <w:ilvl w:val="0"/>
                <w:numId w:val="0"/>
              </w:numPr>
              <w:kinsoku/>
              <w:wordWrap/>
              <w:overflowPunct/>
              <w:topLinePunct w:val="0"/>
              <w:bidi w:val="0"/>
              <w:spacing w:line="476"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②担保数额：履约担保为中标合同金额的</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lang w:val="en-US" w:eastAsia="zh-CN"/>
              </w:rPr>
              <w:t>％，如为银行保函，必须为中国银行、中国工商银行、中国农业银行、中国建设银行、中国邮政储蓄银行、交通银行或采购人认可的银行或成交人基本帐户开户行开具的不可撤销的银行保函。</w:t>
            </w:r>
          </w:p>
          <w:p>
            <w:pPr>
              <w:spacing w:line="420" w:lineRule="exact"/>
              <w:rPr>
                <w:rFonts w:hint="eastAsia" w:ascii="宋体" w:hAnsi="宋体" w:eastAsia="宋体" w:cs="宋体"/>
                <w:b/>
                <w:bCs w:val="0"/>
                <w:color w:val="auto"/>
                <w:spacing w:val="-4"/>
                <w:sz w:val="21"/>
                <w:szCs w:val="21"/>
                <w:highlight w:val="none"/>
                <w:lang w:eastAsia="zh-CN"/>
              </w:rPr>
            </w:pPr>
            <w:r>
              <w:rPr>
                <w:rFonts w:hint="eastAsia" w:ascii="宋体" w:hAnsi="宋体" w:eastAsia="宋体" w:cs="宋体"/>
                <w:color w:val="auto"/>
                <w:highlight w:val="none"/>
                <w:lang w:val="en-US" w:eastAsia="zh-CN"/>
              </w:rPr>
              <w:t>③提交时限：成交人在合同签订前应按竞谈文件要求提交履约担保。若成交人未按规定提交履约担保的，采购</w:t>
            </w:r>
            <w:r>
              <w:rPr>
                <w:rFonts w:hint="eastAsia" w:ascii="宋体" w:hAnsi="宋体" w:eastAsia="宋体" w:cs="宋体"/>
                <w:color w:val="auto"/>
                <w:highlight w:val="none"/>
                <w:lang w:eastAsia="zh-CN"/>
              </w:rPr>
              <w:t>人可取消其</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eastAsia="zh-CN"/>
              </w:rPr>
              <w:t>资格，并保留进一步追偿的权利</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5</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strike w:val="0"/>
                <w:dstrike w:val="0"/>
                <w:color w:val="auto"/>
                <w:highlight w:val="none"/>
              </w:rPr>
            </w:pPr>
            <w:r>
              <w:rPr>
                <w:rFonts w:hint="eastAsia" w:ascii="宋体" w:hAnsi="宋体" w:eastAsia="宋体" w:cs="宋体"/>
                <w:color w:val="auto"/>
                <w:highlight w:val="none"/>
              </w:rPr>
              <w:t>安全文明要求</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rPr>
                <w:rFonts w:hint="eastAsia" w:ascii="宋体" w:hAnsi="宋体" w:eastAsia="宋体" w:cs="宋体"/>
                <w:b/>
                <w:bCs w:val="0"/>
                <w:color w:val="auto"/>
                <w:spacing w:val="-4"/>
                <w:sz w:val="21"/>
                <w:szCs w:val="21"/>
                <w:highlight w:val="none"/>
                <w:lang w:eastAsia="zh-CN"/>
              </w:rPr>
            </w:pPr>
            <w:r>
              <w:rPr>
                <w:rFonts w:hint="eastAsia" w:ascii="宋体" w:hAnsi="宋体" w:eastAsia="宋体" w:cs="宋体"/>
                <w:color w:val="auto"/>
                <w:highlight w:val="none"/>
              </w:rPr>
              <w:t>执行国家、省、市现行相关规定，确保安全文明施工</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6</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strike w:val="0"/>
                <w:dstrike w:val="0"/>
                <w:color w:val="auto"/>
                <w:highlight w:val="none"/>
              </w:rPr>
            </w:pPr>
            <w:r>
              <w:rPr>
                <w:rFonts w:hint="eastAsia" w:ascii="宋体" w:hAnsi="宋体" w:eastAsia="宋体" w:cs="宋体"/>
                <w:color w:val="auto"/>
                <w:highlight w:val="none"/>
              </w:rPr>
              <w:t>总包及分包规定</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rPr>
                <w:rFonts w:hint="eastAsia" w:ascii="宋体" w:hAnsi="宋体" w:eastAsia="宋体" w:cs="宋体"/>
                <w:b/>
                <w:bCs w:val="0"/>
                <w:color w:val="auto"/>
                <w:spacing w:val="-4"/>
                <w:sz w:val="21"/>
                <w:szCs w:val="21"/>
                <w:highlight w:val="none"/>
                <w:lang w:eastAsia="zh-CN"/>
              </w:rPr>
            </w:pPr>
            <w:r>
              <w:rPr>
                <w:rFonts w:hint="eastAsia" w:ascii="宋体" w:hAnsi="宋体" w:cs="宋体"/>
                <w:color w:val="auto"/>
                <w:highlight w:val="none"/>
                <w:lang w:val="en-US" w:eastAsia="zh-CN"/>
              </w:rPr>
              <w:t>成交人</w:t>
            </w:r>
            <w:r>
              <w:rPr>
                <w:rFonts w:hint="eastAsia" w:ascii="宋体" w:hAnsi="宋体" w:eastAsia="宋体" w:cs="宋体"/>
                <w:color w:val="auto"/>
                <w:highlight w:val="none"/>
              </w:rPr>
              <w:t>不得在中标后将工程转包给其它施工单位。如需专业分包，分包项目、内容、分包商、分包合同须报监理单位确认，经</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同意后方可实施。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strike w:val="0"/>
                <w:dstrike w:val="0"/>
                <w:color w:val="auto"/>
                <w:highlight w:val="none"/>
              </w:rPr>
            </w:pPr>
            <w:r>
              <w:rPr>
                <w:rFonts w:hint="eastAsia" w:ascii="宋体" w:hAnsi="宋体" w:eastAsia="宋体" w:cs="宋体"/>
                <w:color w:val="auto"/>
                <w:highlight w:val="none"/>
              </w:rPr>
              <w:t>现场条件</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rPr>
                <w:rFonts w:hint="eastAsia" w:ascii="宋体" w:hAnsi="宋体" w:eastAsia="宋体" w:cs="宋体"/>
                <w:b/>
                <w:bCs w:val="0"/>
                <w:color w:val="auto"/>
                <w:spacing w:val="-4"/>
                <w:sz w:val="21"/>
                <w:szCs w:val="21"/>
                <w:highlight w:val="none"/>
                <w:lang w:eastAsia="zh-CN"/>
              </w:rPr>
            </w:pPr>
            <w:r>
              <w:rPr>
                <w:rFonts w:hint="eastAsia" w:ascii="宋体" w:hAnsi="宋体" w:eastAsia="宋体" w:cs="宋体"/>
                <w:color w:val="auto"/>
                <w:highlight w:val="none"/>
              </w:rPr>
              <w:t>具备开工条件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28</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农民工工资</w:t>
            </w:r>
            <w:r>
              <w:rPr>
                <w:rFonts w:hint="eastAsia" w:ascii="宋体" w:hAnsi="宋体" w:eastAsia="宋体" w:cs="宋体"/>
                <w:color w:val="auto"/>
                <w:highlight w:val="none"/>
                <w:lang w:eastAsia="zh-CN"/>
              </w:rPr>
              <w:t>要求</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供应商一旦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29</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人员到岗</w:t>
            </w:r>
          </w:p>
          <w:p>
            <w:pPr>
              <w:pageBreakBefore w:val="0"/>
              <w:kinsoku/>
              <w:wordWrap/>
              <w:overflowPunct/>
              <w:topLinePunct w:val="0"/>
              <w:bidi w:val="0"/>
              <w:spacing w:line="240" w:lineRule="auto"/>
              <w:jc w:val="center"/>
              <w:rPr>
                <w:rFonts w:hint="eastAsia" w:ascii="宋体" w:hAnsi="宋体" w:eastAsia="宋体" w:cs="宋体"/>
                <w:strike w:val="0"/>
                <w:dstrike w:val="0"/>
                <w:color w:val="auto"/>
                <w:highlight w:val="none"/>
              </w:rPr>
            </w:pPr>
            <w:r>
              <w:rPr>
                <w:rFonts w:hint="eastAsia" w:ascii="宋体" w:hAnsi="宋体" w:eastAsia="宋体" w:cs="宋体"/>
                <w:color w:val="auto"/>
                <w:highlight w:val="none"/>
              </w:rPr>
              <w:t>及履约要求</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3"/>
              </w:numPr>
              <w:kinsoku/>
              <w:wordWrap/>
              <w:overflowPunct/>
              <w:topLinePunct w:val="0"/>
              <w:bidi w:val="0"/>
              <w:spacing w:line="240" w:lineRule="auto"/>
              <w:ind w:left="0" w:leftChars="0" w:firstLine="40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人</w:t>
            </w:r>
            <w:r>
              <w:rPr>
                <w:rFonts w:hint="eastAsia" w:ascii="宋体" w:hAnsi="宋体" w:cs="宋体"/>
                <w:color w:val="auto"/>
                <w:highlight w:val="none"/>
                <w:lang w:val="en-US" w:eastAsia="zh-CN"/>
              </w:rPr>
              <w:t>拟派本项目的项目负责人、项目部关键岗位其他人员等在整个项目施工期内必须在岗，否则发包人有权终止合同。由此造成的损失，成交</w:t>
            </w:r>
            <w:r>
              <w:rPr>
                <w:rFonts w:hint="eastAsia" w:ascii="宋体" w:hAnsi="宋体" w:eastAsia="宋体" w:cs="宋体"/>
                <w:color w:val="auto"/>
                <w:highlight w:val="none"/>
              </w:rPr>
              <w:t>人</w:t>
            </w:r>
            <w:r>
              <w:rPr>
                <w:rFonts w:hint="eastAsia" w:ascii="宋体" w:hAnsi="宋体" w:cs="宋体"/>
                <w:color w:val="auto"/>
                <w:highlight w:val="none"/>
                <w:lang w:val="en-US" w:eastAsia="zh-CN"/>
              </w:rPr>
              <w:t>自行承担并赔偿可能给发包人造成的损失</w:t>
            </w:r>
            <w:r>
              <w:rPr>
                <w:rFonts w:hint="eastAsia" w:ascii="宋体" w:hAnsi="宋体" w:eastAsia="宋体" w:cs="宋体"/>
                <w:color w:val="auto"/>
                <w:highlight w:val="none"/>
              </w:rPr>
              <w:t>。</w:t>
            </w:r>
          </w:p>
          <w:p>
            <w:pPr>
              <w:pageBreakBefore w:val="0"/>
              <w:numPr>
                <w:ilvl w:val="0"/>
                <w:numId w:val="3"/>
              </w:numPr>
              <w:kinsoku/>
              <w:wordWrap/>
              <w:overflowPunct/>
              <w:topLinePunct w:val="0"/>
              <w:bidi w:val="0"/>
              <w:spacing w:line="240" w:lineRule="auto"/>
              <w:ind w:left="0" w:leftChars="0" w:firstLine="40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成交人（承包人）不得擅自更换响应文件中提供的项目负责人。项目负责人、项目部关键岗位其他人员的变更应经采购人（发包人）同意后，方可办理变更，且变更后的项目负责人、项目部关键岗位其他人员执业资格、业绩等不应低于原竞争性谈判文件要求</w:t>
            </w:r>
            <w:r>
              <w:rPr>
                <w:rFonts w:hint="eastAsia" w:ascii="宋体" w:hAnsi="宋体" w:eastAsia="宋体" w:cs="宋体"/>
                <w:color w:val="auto"/>
                <w:highlight w:val="none"/>
              </w:rPr>
              <w:t>。</w:t>
            </w:r>
          </w:p>
          <w:p>
            <w:pPr>
              <w:pageBreakBefore w:val="0"/>
              <w:numPr>
                <w:ilvl w:val="0"/>
                <w:numId w:val="3"/>
              </w:numPr>
              <w:kinsoku/>
              <w:wordWrap/>
              <w:overflowPunct/>
              <w:topLinePunct w:val="0"/>
              <w:bidi w:val="0"/>
              <w:spacing w:line="240" w:lineRule="auto"/>
              <w:ind w:left="0" w:leftChars="0" w:firstLine="400" w:firstLineChars="0"/>
              <w:rPr>
                <w:rFonts w:hint="eastAsia" w:ascii="宋体" w:hAnsi="宋体" w:eastAsia="宋体" w:cs="宋体"/>
                <w:b/>
                <w:bCs w:val="0"/>
                <w:color w:val="auto"/>
                <w:spacing w:val="-4"/>
                <w:sz w:val="21"/>
                <w:szCs w:val="21"/>
                <w:highlight w:val="none"/>
                <w:lang w:eastAsia="zh-CN"/>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未能按照承诺到岗尽职的，发包人将视情况严重程度对其作出相应处理。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30</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strike w:val="0"/>
                <w:dstrike w:val="0"/>
                <w:color w:val="auto"/>
                <w:highlight w:val="none"/>
              </w:rPr>
            </w:pPr>
            <w:r>
              <w:rPr>
                <w:rFonts w:hint="eastAsia" w:ascii="宋体" w:hAnsi="宋体" w:eastAsia="宋体" w:cs="宋体"/>
                <w:color w:val="auto"/>
                <w:highlight w:val="none"/>
              </w:rPr>
              <w:t>材料要求</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4"/>
              </w:numPr>
              <w:kinsoku/>
              <w:wordWrap/>
              <w:overflowPunct/>
              <w:topLinePunct w:val="0"/>
              <w:bidi w:val="0"/>
              <w:spacing w:line="240" w:lineRule="auto"/>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除</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人提供的材料、设备外，凡属承包范围内的所有材料、设备均由</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人自行采购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承包人必须选用</w:t>
            </w:r>
            <w:r>
              <w:rPr>
                <w:rFonts w:hint="eastAsia" w:ascii="宋体" w:hAnsi="宋体" w:eastAsia="宋体" w:cs="宋体"/>
                <w:color w:val="auto"/>
                <w:highlight w:val="none"/>
                <w:lang w:eastAsia="zh-CN"/>
              </w:rPr>
              <w:t>合格产品</w:t>
            </w:r>
            <w:r>
              <w:rPr>
                <w:rFonts w:hint="eastAsia" w:ascii="宋体" w:hAnsi="宋体" w:eastAsia="宋体" w:cs="宋体"/>
                <w:color w:val="auto"/>
                <w:highlight w:val="none"/>
              </w:rPr>
              <w:t>并经</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人同意。</w:t>
            </w:r>
          </w:p>
          <w:p>
            <w:pPr>
              <w:pageBreakBefore w:val="0"/>
              <w:numPr>
                <w:ilvl w:val="0"/>
                <w:numId w:val="4"/>
              </w:numPr>
              <w:kinsoku/>
              <w:wordWrap/>
              <w:overflowPunct/>
              <w:topLinePunct w:val="0"/>
              <w:bidi w:val="0"/>
              <w:spacing w:line="240" w:lineRule="auto"/>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承包人对本工程的主要材料、设备及供应的厂商，须进行资格和品牌的认定，在采购前应将供应商的有关资料（如质保书、生产许可证等或备案要求）报监理单位审查，并经</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人批准后方可采购。否则，</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人有权不予验收进场，由此造成的损失由承包人自负，工期不予顺延。</w:t>
            </w:r>
          </w:p>
          <w:p>
            <w:pPr>
              <w:pageBreakBefore w:val="0"/>
              <w:numPr>
                <w:ilvl w:val="0"/>
                <w:numId w:val="4"/>
              </w:numPr>
              <w:kinsoku/>
              <w:wordWrap/>
              <w:overflowPunct/>
              <w:topLinePunct w:val="0"/>
              <w:bidi w:val="0"/>
              <w:spacing w:line="240" w:lineRule="auto"/>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由承包人实施采购的工程主要设备和材料由承包人实施，品牌、规格等须经发包人认可签字后方可进行采购，承包人采购计划应提前报发包人审定。因承包人资源投入不足，直接影响工程质量和工期，且无视监理工程师的警告而不做改进，从而引起工程的质量、进度和材料设备准备严重滞后时，发包人有权采取相关措施进行补救，相关措施的费用由承包人承担。</w:t>
            </w:r>
          </w:p>
          <w:p>
            <w:pPr>
              <w:pageBreakBefore w:val="0"/>
              <w:numPr>
                <w:ilvl w:val="0"/>
                <w:numId w:val="4"/>
              </w:numPr>
              <w:kinsoku/>
              <w:wordWrap/>
              <w:overflowPunct/>
              <w:topLinePunct w:val="0"/>
              <w:bidi w:val="0"/>
              <w:spacing w:line="240" w:lineRule="auto"/>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若承包人不能提供符合设计要求或合同约定的材料，发包人有权要求承包人停止采购，已经采购进场的勒令其退场，由此所造成的一切损失或发生的费用由承包人承担。</w:t>
            </w:r>
          </w:p>
          <w:p>
            <w:pPr>
              <w:pageBreakBefore w:val="0"/>
              <w:numPr>
                <w:ilvl w:val="0"/>
                <w:numId w:val="4"/>
              </w:numPr>
              <w:kinsoku/>
              <w:wordWrap/>
              <w:overflowPunct/>
              <w:topLinePunct w:val="0"/>
              <w:bidi w:val="0"/>
              <w:spacing w:line="240" w:lineRule="auto"/>
              <w:ind w:left="0" w:leftChars="0" w:firstLine="40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竞争性谈判</w:t>
            </w:r>
            <w:r>
              <w:rPr>
                <w:rFonts w:hint="eastAsia" w:ascii="宋体" w:hAnsi="宋体" w:eastAsia="宋体" w:cs="宋体"/>
                <w:color w:val="auto"/>
                <w:highlight w:val="none"/>
              </w:rPr>
              <w:t>文件中提供的参考商标、品牌或标准是</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人为了方便</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人更明确、更清楚说明拟采购货物的技术规格和标准，并无限制性。</w:t>
            </w:r>
            <w:r>
              <w:rPr>
                <w:rFonts w:hint="eastAsia" w:ascii="宋体" w:hAnsi="宋体" w:eastAsia="宋体" w:cs="宋体"/>
                <w:color w:val="auto"/>
                <w:highlight w:val="none"/>
                <w:lang w:eastAsia="zh-CN"/>
              </w:rPr>
              <w:t>承包人在施工过程</w:t>
            </w:r>
            <w:r>
              <w:rPr>
                <w:rFonts w:hint="eastAsia" w:ascii="宋体" w:hAnsi="宋体" w:eastAsia="宋体" w:cs="宋体"/>
                <w:color w:val="auto"/>
                <w:highlight w:val="none"/>
              </w:rPr>
              <w:t>中若选用替代商标、品牌或标准，应优于或相当于参考商标、品牌或标准。承包人所选用</w:t>
            </w:r>
            <w:r>
              <w:rPr>
                <w:rFonts w:hint="eastAsia" w:ascii="宋体" w:hAnsi="宋体" w:eastAsia="宋体" w:cs="宋体"/>
                <w:color w:val="auto"/>
                <w:highlight w:val="none"/>
                <w:lang w:eastAsia="zh-CN"/>
              </w:rPr>
              <w:t>产品</w:t>
            </w:r>
            <w:r>
              <w:rPr>
                <w:rFonts w:hint="eastAsia" w:ascii="宋体" w:hAnsi="宋体" w:eastAsia="宋体" w:cs="宋体"/>
                <w:color w:val="auto"/>
                <w:highlight w:val="none"/>
              </w:rPr>
              <w:t>须经发包人同意后方可</w:t>
            </w:r>
            <w:r>
              <w:rPr>
                <w:rFonts w:hint="eastAsia" w:ascii="宋体" w:hAnsi="宋体" w:eastAsia="宋体" w:cs="宋体"/>
                <w:color w:val="auto"/>
                <w:highlight w:val="none"/>
                <w:lang w:eastAsia="zh-CN"/>
              </w:rPr>
              <w:t>使</w:t>
            </w:r>
            <w:r>
              <w:rPr>
                <w:rFonts w:hint="eastAsia" w:ascii="宋体" w:hAnsi="宋体" w:eastAsia="宋体" w:cs="宋体"/>
                <w:color w:val="auto"/>
                <w:highlight w:val="none"/>
              </w:rPr>
              <w:t>用。</w:t>
            </w:r>
          </w:p>
          <w:p>
            <w:pPr>
              <w:pageBreakBefore w:val="0"/>
              <w:numPr>
                <w:ilvl w:val="0"/>
                <w:numId w:val="4"/>
              </w:numPr>
              <w:kinsoku/>
              <w:wordWrap/>
              <w:overflowPunct/>
              <w:topLinePunct w:val="0"/>
              <w:bidi w:val="0"/>
              <w:spacing w:line="240" w:lineRule="auto"/>
              <w:ind w:left="0" w:leftChars="0" w:firstLine="400" w:firstLineChars="0"/>
              <w:rPr>
                <w:rFonts w:hint="eastAsia" w:ascii="宋体" w:hAnsi="宋体" w:eastAsia="宋体" w:cs="宋体"/>
                <w:b/>
                <w:bCs w:val="0"/>
                <w:color w:val="auto"/>
                <w:spacing w:val="-4"/>
                <w:sz w:val="21"/>
                <w:szCs w:val="21"/>
                <w:highlight w:val="none"/>
                <w:lang w:eastAsia="zh-CN"/>
              </w:rPr>
            </w:pPr>
            <w:r>
              <w:rPr>
                <w:rFonts w:hint="eastAsia" w:ascii="宋体" w:hAnsi="宋体" w:eastAsia="宋体" w:cs="宋体"/>
                <w:color w:val="auto"/>
                <w:highlight w:val="none"/>
                <w:lang w:val="en-US" w:eastAsia="zh-CN"/>
              </w:rPr>
              <w:t>根据《安庆市人民政府办公室关于在建设工程中加强预拌砂浆应用工作的通知》（宜政办秘【2016】65号）要求，本项目应使用预拌砂浆，</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人应当将使用预拌砂浆的费用列入投标报价。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31</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strike w:val="0"/>
                <w:dstrike w:val="0"/>
                <w:color w:val="auto"/>
                <w:highlight w:val="none"/>
              </w:rPr>
            </w:pPr>
            <w:r>
              <w:rPr>
                <w:rFonts w:hint="eastAsia" w:ascii="宋体" w:hAnsi="宋体" w:eastAsia="宋体" w:cs="宋体"/>
                <w:color w:val="auto"/>
                <w:highlight w:val="none"/>
              </w:rPr>
              <w:t>费用缴纳</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overflowPunct/>
              <w:topLinePunct w:val="0"/>
              <w:bidi w:val="0"/>
              <w:spacing w:line="240" w:lineRule="auto"/>
              <w:rPr>
                <w:rFonts w:hint="eastAsia" w:ascii="宋体" w:hAnsi="宋体" w:eastAsia="宋体" w:cs="宋体"/>
                <w:b/>
                <w:bCs w:val="0"/>
                <w:color w:val="auto"/>
                <w:spacing w:val="-4"/>
                <w:sz w:val="21"/>
                <w:szCs w:val="21"/>
                <w:highlight w:val="none"/>
                <w:lang w:eastAsia="zh-CN"/>
              </w:rPr>
            </w:pPr>
            <w:r>
              <w:rPr>
                <w:rFonts w:hint="eastAsia" w:ascii="宋体" w:hAnsi="宋体" w:cs="宋体"/>
                <w:color w:val="auto"/>
                <w:highlight w:val="none"/>
                <w:lang w:val="en-US" w:eastAsia="zh-CN"/>
              </w:rPr>
              <w:t>招标代理费</w:t>
            </w:r>
            <w:r>
              <w:rPr>
                <w:rFonts w:hint="eastAsia" w:ascii="宋体" w:hAnsi="宋体" w:cs="宋体"/>
                <w:color w:val="auto"/>
                <w:highlight w:val="none"/>
                <w:lang w:eastAsia="zh-CN"/>
              </w:rPr>
              <w:t>、工程量清单和最高限价编制费</w:t>
            </w:r>
            <w:r>
              <w:rPr>
                <w:rFonts w:hint="eastAsia" w:ascii="宋体" w:hAnsi="宋体" w:eastAsia="宋体" w:cs="宋体"/>
                <w:color w:val="auto"/>
                <w:highlight w:val="none"/>
              </w:rPr>
              <w:t>按</w:t>
            </w:r>
            <w:r>
              <w:rPr>
                <w:rFonts w:hint="eastAsia" w:ascii="宋体" w:hAnsi="宋体" w:cs="宋体"/>
                <w:b/>
                <w:bCs/>
                <w:color w:val="auto"/>
                <w:highlight w:val="none"/>
                <w:lang w:val="en-US" w:eastAsia="zh-CN"/>
              </w:rPr>
              <w:t>竞争性谈判</w:t>
            </w:r>
            <w:r>
              <w:rPr>
                <w:rFonts w:hint="eastAsia" w:ascii="宋体" w:hAnsi="宋体" w:eastAsia="宋体" w:cs="宋体"/>
                <w:b/>
                <w:bCs/>
                <w:color w:val="auto"/>
                <w:highlight w:val="none"/>
              </w:rPr>
              <w:t>文件第二章</w:t>
            </w:r>
            <w:r>
              <w:rPr>
                <w:rFonts w:hint="eastAsia" w:ascii="宋体" w:hAnsi="宋体" w:cs="宋体"/>
                <w:b/>
                <w:bCs/>
                <w:color w:val="auto"/>
                <w:highlight w:val="none"/>
                <w:lang w:val="en-US" w:eastAsia="zh-CN"/>
              </w:rPr>
              <w:t>谈判响应</w:t>
            </w:r>
            <w:r>
              <w:rPr>
                <w:rFonts w:hint="eastAsia" w:ascii="宋体" w:hAnsi="宋体" w:eastAsia="宋体" w:cs="宋体"/>
                <w:b/>
                <w:bCs/>
                <w:color w:val="auto"/>
                <w:highlight w:val="none"/>
              </w:rPr>
              <w:t>人须知第</w:t>
            </w:r>
            <w:r>
              <w:rPr>
                <w:rFonts w:hint="eastAsia" w:ascii="宋体" w:hAnsi="宋体" w:cs="宋体"/>
                <w:b/>
                <w:bCs/>
                <w:color w:val="auto"/>
                <w:highlight w:val="none"/>
                <w:lang w:val="en-US" w:eastAsia="zh-CN"/>
              </w:rPr>
              <w:t>27.4</w:t>
            </w:r>
            <w:r>
              <w:rPr>
                <w:rFonts w:hint="eastAsia" w:ascii="宋体" w:hAnsi="宋体" w:eastAsia="宋体" w:cs="宋体"/>
                <w:b/>
                <w:bCs/>
                <w:color w:val="auto"/>
                <w:highlight w:val="none"/>
              </w:rPr>
              <w:t>条</w:t>
            </w:r>
            <w:r>
              <w:rPr>
                <w:rFonts w:hint="eastAsia" w:ascii="宋体" w:hAnsi="宋体" w:eastAsia="宋体" w:cs="宋体"/>
                <w:color w:val="auto"/>
                <w:highlight w:val="none"/>
                <w:lang w:eastAsia="zh-CN"/>
              </w:rPr>
              <w:t>约</w:t>
            </w:r>
            <w:r>
              <w:rPr>
                <w:rFonts w:hint="eastAsia" w:ascii="宋体" w:hAnsi="宋体" w:eastAsia="宋体" w:cs="宋体"/>
                <w:color w:val="auto"/>
                <w:highlight w:val="none"/>
              </w:rPr>
              <w:t>定收取。费用均由</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人支付，</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在投标报价时应考虑此项费用，</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人不再另行支付。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32</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付款方式</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eastAsia="zh-CN"/>
              </w:rPr>
              <w:t>工程竣工验收合格后经发包人或其委托的其他机构审定确认实际结算额后付至审定额总价的97%，其余3%待工程缺陷责任期满无质量问题时付清（不计息）。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33</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strike w:val="0"/>
                <w:dstrike w:val="0"/>
                <w:color w:val="auto"/>
                <w:highlight w:val="none"/>
              </w:rPr>
            </w:pPr>
            <w:r>
              <w:rPr>
                <w:rFonts w:hint="eastAsia" w:ascii="宋体" w:hAnsi="宋体" w:eastAsia="宋体" w:cs="宋体"/>
                <w:b w:val="0"/>
                <w:bCs w:val="0"/>
                <w:color w:val="auto"/>
                <w:highlight w:val="none"/>
                <w:lang w:eastAsia="zh-CN"/>
              </w:rPr>
              <w:t>“危大工程”和“超危大工程”</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overflowPunct/>
              <w:topLinePunct w:val="0"/>
              <w:bidi w:val="0"/>
              <w:spacing w:line="240" w:lineRule="auto"/>
              <w:rPr>
                <w:rFonts w:hint="default" w:ascii="宋体" w:hAnsi="宋体" w:eastAsia="宋体" w:cs="宋体"/>
                <w:b/>
                <w:bCs w:val="0"/>
                <w:color w:val="auto"/>
                <w:spacing w:val="-4"/>
                <w:sz w:val="21"/>
                <w:szCs w:val="21"/>
                <w:highlight w:val="none"/>
                <w:lang w:val="en-US" w:eastAsia="zh-CN"/>
              </w:rPr>
            </w:pPr>
            <w:r>
              <w:rPr>
                <w:rFonts w:hint="eastAsia" w:ascii="宋体" w:hAnsi="宋体" w:cs="宋体"/>
                <w:b/>
                <w:bCs w:val="0"/>
                <w:color w:val="auto"/>
                <w:spacing w:val="-4"/>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34</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strike w:val="0"/>
                <w:dstrike w:val="0"/>
                <w:color w:val="auto"/>
                <w:highlight w:val="none"/>
              </w:rPr>
            </w:pPr>
            <w:r>
              <w:rPr>
                <w:rFonts w:hint="eastAsia" w:ascii="宋体" w:hAnsi="宋体" w:eastAsia="宋体" w:cs="宋体"/>
                <w:b w:val="0"/>
                <w:bCs w:val="0"/>
                <w:color w:val="auto"/>
                <w:highlight w:val="none"/>
                <w:lang w:val="en-US" w:eastAsia="zh-CN"/>
              </w:rPr>
              <w:t>扬尘污染防治</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overflowPunct/>
              <w:topLinePunct w:val="0"/>
              <w:bidi w:val="0"/>
              <w:spacing w:line="240" w:lineRule="auto"/>
              <w:ind w:left="0" w:leftChars="0" w:firstLine="420" w:firstLineChars="200"/>
              <w:rPr>
                <w:rFonts w:hint="eastAsia" w:ascii="宋体" w:hAnsi="宋体" w:eastAsia="宋体" w:cs="宋体"/>
                <w:b/>
                <w:bCs w:val="0"/>
                <w:color w:val="auto"/>
                <w:spacing w:val="-4"/>
                <w:sz w:val="21"/>
                <w:szCs w:val="21"/>
                <w:highlight w:val="none"/>
                <w:lang w:eastAsia="zh-CN"/>
              </w:rPr>
            </w:pPr>
            <w:r>
              <w:rPr>
                <w:rFonts w:hint="eastAsia" w:ascii="宋体" w:hAnsi="宋体" w:eastAsia="宋体" w:cs="宋体"/>
                <w:color w:val="auto"/>
                <w:highlight w:val="none"/>
                <w:lang w:eastAsia="zh-CN"/>
              </w:rPr>
              <w:t>本项目最高</w:t>
            </w:r>
            <w:r>
              <w:rPr>
                <w:rFonts w:hint="eastAsia" w:ascii="宋体" w:hAnsi="宋体" w:cs="宋体"/>
                <w:color w:val="auto"/>
                <w:highlight w:val="none"/>
                <w:lang w:val="en-US" w:eastAsia="zh-CN"/>
              </w:rPr>
              <w:t>谈判</w:t>
            </w:r>
            <w:r>
              <w:rPr>
                <w:rFonts w:hint="eastAsia" w:ascii="宋体" w:hAnsi="宋体" w:eastAsia="宋体" w:cs="宋体"/>
                <w:color w:val="auto"/>
                <w:highlight w:val="none"/>
                <w:lang w:eastAsia="zh-CN"/>
              </w:rPr>
              <w:t>限价已计扬尘污染防治费，</w:t>
            </w:r>
            <w:r>
              <w:rPr>
                <w:rFonts w:hint="eastAsia" w:ascii="宋体" w:hAnsi="宋体" w:cs="宋体"/>
                <w:color w:val="auto"/>
                <w:highlight w:val="none"/>
                <w:lang w:val="en-US" w:eastAsia="zh-CN"/>
              </w:rPr>
              <w:t>成交</w:t>
            </w:r>
            <w:r>
              <w:rPr>
                <w:rFonts w:hint="eastAsia" w:ascii="宋体" w:hAnsi="宋体" w:eastAsia="宋体" w:cs="宋体"/>
                <w:color w:val="auto"/>
                <w:highlight w:val="none"/>
                <w:lang w:eastAsia="zh-CN"/>
              </w:rPr>
              <w:t>人应按照建筑工程施工扬尘污染防治相关规定做好扬尘污染防治工作，重点做好现场工地围挡、车辆冲洗、道路和堆场硬化、裸土覆盖（绿化）等抑尘降尘措施。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35</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最高谈判限价编制依据</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1.《安徽省建设工程工程量清单计价办法》、配套的2018版安徽省建设工程计价定额及其修编；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2.安徽省建设工程造价管理总站《关于调整我省现行建设工程计价依据增值税税率的通知》（造价【2019】7号）。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3.《关于调整安徽省建设工程不可竞争费构成及计费标准的通知》（建标【2021】42号）。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4.安徽省住房和城乡建设厅《关于规范我省建设工程人工价格信息发布工作的通知》（建标〔2021〕46号）及安庆市相关文件。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5.根据安庆市相关规定，凡在市城市管理行政执法局规定的建筑垃圾消纳场处置建筑垃圾的，均应交纳建筑垃圾消纳处置费，收费标准为2.50元/吨。保障性住房和工业项目免收。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①如本项目属于保障性住房和工业项目，如实际发生时，该费用由采购人承担。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②如本项目不属于免收费的项目，则各响应人投标报价中需综合考虑，实际发生时，该费用由中标人承担。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lang w:val="en-US" w:eastAsia="zh-CN"/>
              </w:rPr>
            </w:pPr>
            <w:r>
              <w:rPr>
                <w:rFonts w:hint="eastAsia" w:ascii="宋体" w:hAnsi="宋体" w:cs="宋体"/>
                <w:color w:val="auto"/>
                <w:szCs w:val="21"/>
                <w:highlight w:val="none"/>
                <w:lang w:val="en-US" w:eastAsia="zh-CN"/>
              </w:rPr>
              <w:t>6.材料信息价参照安庆市建筑管理处2022年9期《安庆工程造价信息简讯》执行。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36</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eastAsia" w:ascii="宋体" w:hAnsi="宋体" w:eastAsia="宋体" w:cs="宋体"/>
                <w:strike w:val="0"/>
                <w:dstrike w:val="0"/>
                <w:color w:val="auto"/>
                <w:highlight w:val="none"/>
              </w:rPr>
            </w:pPr>
            <w:r>
              <w:rPr>
                <w:rFonts w:hint="eastAsia" w:ascii="宋体" w:hAnsi="宋体" w:eastAsia="宋体" w:cs="宋体"/>
                <w:color w:val="auto"/>
                <w:highlight w:val="none"/>
                <w:lang w:eastAsia="zh-CN"/>
              </w:rPr>
              <w:t>其他</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overflowPunct/>
              <w:topLinePunct w:val="0"/>
              <w:bidi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开评标过程中，</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人投标报价与公布的</w:t>
            </w:r>
            <w:r>
              <w:rPr>
                <w:rFonts w:hint="eastAsia" w:ascii="宋体" w:hAnsi="宋体" w:eastAsia="宋体" w:cs="宋体"/>
                <w:color w:val="auto"/>
                <w:highlight w:val="none"/>
                <w:lang w:eastAsia="zh-CN"/>
              </w:rPr>
              <w:t>最高</w:t>
            </w:r>
            <w:r>
              <w:rPr>
                <w:rFonts w:hint="eastAsia" w:ascii="宋体" w:hAnsi="宋体" w:cs="宋体"/>
                <w:color w:val="auto"/>
                <w:highlight w:val="none"/>
                <w:lang w:val="en-US" w:eastAsia="zh-CN"/>
              </w:rPr>
              <w:t>谈判</w:t>
            </w:r>
            <w:r>
              <w:rPr>
                <w:rFonts w:hint="eastAsia" w:ascii="宋体" w:hAnsi="宋体" w:eastAsia="宋体" w:cs="宋体"/>
                <w:color w:val="auto"/>
                <w:highlight w:val="none"/>
                <w:lang w:eastAsia="zh-CN"/>
              </w:rPr>
              <w:t>限价</w:t>
            </w:r>
            <w:r>
              <w:rPr>
                <w:rFonts w:hint="eastAsia" w:ascii="宋体" w:hAnsi="宋体" w:eastAsia="宋体" w:cs="宋体"/>
                <w:color w:val="auto"/>
                <w:highlight w:val="none"/>
              </w:rPr>
              <w:t>相比降幅过小，或</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人投标报价明显缺乏竞争性的，评标委员会可以否决所有投标。</w:t>
            </w:r>
          </w:p>
          <w:p>
            <w:pPr>
              <w:pageBreakBefore w:val="0"/>
              <w:numPr>
                <w:ilvl w:val="0"/>
                <w:numId w:val="0"/>
              </w:numPr>
              <w:kinsoku/>
              <w:wordWrap/>
              <w:overflowPunct/>
              <w:topLinePunct w:val="0"/>
              <w:bidi w:val="0"/>
              <w:spacing w:line="240" w:lineRule="auto"/>
              <w:ind w:left="0" w:leftChars="0" w:firstLine="420" w:firstLineChars="200"/>
              <w:rPr>
                <w:rFonts w:hint="eastAsia" w:ascii="宋体" w:hAnsi="宋体" w:eastAsia="宋体" w:cs="宋体"/>
                <w:b/>
                <w:bCs w:val="0"/>
                <w:color w:val="auto"/>
                <w:spacing w:val="-4"/>
                <w:sz w:val="21"/>
                <w:szCs w:val="21"/>
                <w:highlight w:val="none"/>
                <w:lang w:eastAsia="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实行暂</w:t>
            </w:r>
            <w:r>
              <w:rPr>
                <w:rFonts w:hint="eastAsia" w:ascii="宋体" w:hAnsi="宋体" w:eastAsia="宋体" w:cs="宋体"/>
                <w:color w:val="auto"/>
                <w:highlight w:val="none"/>
                <w:lang w:eastAsia="zh-CN"/>
              </w:rPr>
              <w:t>估</w:t>
            </w:r>
            <w:r>
              <w:rPr>
                <w:rFonts w:hint="eastAsia" w:ascii="宋体" w:hAnsi="宋体" w:eastAsia="宋体" w:cs="宋体"/>
                <w:color w:val="auto"/>
                <w:highlight w:val="none"/>
              </w:rPr>
              <w:t>价的材料和设备未达到公开招标标准和规模的，按实调价并仅计税金；实行暂</w:t>
            </w:r>
            <w:r>
              <w:rPr>
                <w:rFonts w:hint="eastAsia" w:ascii="宋体" w:hAnsi="宋体" w:eastAsia="宋体" w:cs="宋体"/>
                <w:color w:val="auto"/>
                <w:highlight w:val="none"/>
                <w:lang w:eastAsia="zh-CN"/>
              </w:rPr>
              <w:t>估</w:t>
            </w:r>
            <w:r>
              <w:rPr>
                <w:rFonts w:hint="eastAsia" w:ascii="宋体" w:hAnsi="宋体" w:eastAsia="宋体" w:cs="宋体"/>
                <w:color w:val="auto"/>
                <w:highlight w:val="none"/>
              </w:rPr>
              <w:t>价的工程制安项目未达到公开招标标准和规模的，按实调价后结合投标报价下浮率作为结算价；实行暂</w:t>
            </w:r>
            <w:r>
              <w:rPr>
                <w:rFonts w:hint="eastAsia" w:ascii="宋体" w:hAnsi="宋体" w:eastAsia="宋体" w:cs="宋体"/>
                <w:color w:val="auto"/>
                <w:highlight w:val="none"/>
                <w:lang w:eastAsia="zh-CN"/>
              </w:rPr>
              <w:t>估</w:t>
            </w:r>
            <w:r>
              <w:rPr>
                <w:rFonts w:hint="eastAsia" w:ascii="宋体" w:hAnsi="宋体" w:eastAsia="宋体" w:cs="宋体"/>
                <w:color w:val="auto"/>
                <w:highlight w:val="none"/>
              </w:rPr>
              <w:t>价的货物类项目未达到公开招标标准和规模的，由发包人和承包人在合同中约定具体结算方式。以上各项最终工程结算以发包人或其委托的其他机构审</w:t>
            </w:r>
            <w:r>
              <w:rPr>
                <w:rFonts w:hint="eastAsia" w:ascii="宋体" w:hAnsi="宋体" w:eastAsia="宋体" w:cs="宋体"/>
                <w:color w:val="auto"/>
                <w:highlight w:val="none"/>
                <w:lang w:eastAsia="zh-CN"/>
              </w:rPr>
              <w:t>定</w:t>
            </w:r>
            <w:r>
              <w:rPr>
                <w:rFonts w:hint="eastAsia" w:ascii="宋体" w:hAnsi="宋体" w:eastAsia="宋体" w:cs="宋体"/>
                <w:color w:val="auto"/>
                <w:highlight w:val="none"/>
              </w:rPr>
              <w:t>结果为准。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37</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strike w:val="0"/>
                <w:dstrike w:val="0"/>
                <w:color w:val="auto"/>
                <w:highlight w:val="none"/>
              </w:rPr>
            </w:pPr>
            <w:r>
              <w:rPr>
                <w:rFonts w:hint="eastAsia" w:ascii="宋体" w:hAnsi="宋体" w:cs="宋体"/>
                <w:color w:val="auto"/>
                <w:szCs w:val="21"/>
                <w:highlight w:val="none"/>
              </w:rPr>
              <w:t>备   注</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420" w:lineRule="exact"/>
              <w:rPr>
                <w:rFonts w:hint="eastAsia"/>
                <w:lang w:eastAsia="zh-CN"/>
              </w:rPr>
            </w:pPr>
            <w:r>
              <w:rPr>
                <w:rFonts w:hint="eastAsia"/>
              </w:rPr>
              <w:t>本竞争性谈判文件的解释权归采购单位</w:t>
            </w:r>
            <w:r>
              <w:rPr>
                <w:rFonts w:hint="eastAsia"/>
                <w:lang w:eastAsia="zh-CN"/>
              </w:rPr>
              <w:t>；</w:t>
            </w:r>
          </w:p>
          <w:p>
            <w:pPr>
              <w:numPr>
                <w:ilvl w:val="0"/>
                <w:numId w:val="5"/>
              </w:numPr>
              <w:spacing w:line="420" w:lineRule="exact"/>
              <w:rPr>
                <w:rFonts w:hint="default"/>
                <w:lang w:val="en-US" w:eastAsia="zh-CN"/>
              </w:rPr>
            </w:pPr>
            <w:r>
              <w:rPr>
                <w:rFonts w:hint="eastAsia"/>
                <w:lang w:val="en-US" w:eastAsia="zh-CN"/>
              </w:rPr>
              <w:t>竞争性谈判限价与最高投标限价同义。</w:t>
            </w:r>
          </w:p>
        </w:tc>
      </w:tr>
    </w:tbl>
    <w:p>
      <w:pPr>
        <w:pStyle w:val="50"/>
        <w:rPr>
          <w:rFonts w:ascii="宋体" w:hAnsi="宋体"/>
          <w:color w:val="auto"/>
          <w:highlight w:val="none"/>
        </w:rPr>
      </w:pPr>
      <w:bookmarkStart w:id="31" w:name="_Toc55202310"/>
      <w:r>
        <w:rPr>
          <w:rFonts w:hint="eastAsia" w:ascii="宋体" w:hAnsi="宋体"/>
          <w:color w:val="auto"/>
          <w:highlight w:val="none"/>
        </w:rPr>
        <w:t>第二节  谈判响应人须知</w:t>
      </w:r>
      <w:bookmarkEnd w:id="30"/>
      <w:bookmarkEnd w:id="31"/>
    </w:p>
    <w:p>
      <w:pPr>
        <w:pStyle w:val="7"/>
        <w:ind w:firstLine="472" w:firstLineChars="196"/>
        <w:jc w:val="both"/>
        <w:rPr>
          <w:rFonts w:hAnsi="宋体" w:cs="宋体"/>
          <w:color w:val="auto"/>
          <w:highlight w:val="none"/>
        </w:rPr>
      </w:pPr>
      <w:bookmarkStart w:id="32" w:name="_Toc7034"/>
      <w:bookmarkStart w:id="33" w:name="_Toc55202311"/>
      <w:r>
        <w:rPr>
          <w:rFonts w:hint="eastAsia" w:hAnsi="宋体" w:cs="宋体"/>
          <w:color w:val="auto"/>
          <w:highlight w:val="none"/>
        </w:rPr>
        <w:t>一、总则</w:t>
      </w:r>
      <w:bookmarkEnd w:id="32"/>
      <w:bookmarkEnd w:id="33"/>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1、</w:t>
      </w:r>
      <w:r>
        <w:rPr>
          <w:rFonts w:hint="eastAsia" w:ascii="宋体" w:hAnsi="宋体" w:cs="宋体"/>
          <w:color w:val="auto"/>
          <w:szCs w:val="21"/>
          <w:highlight w:val="none"/>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2.1、采购单位是指采购人和采购代理机构。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2.2、谈判响应人是指对“谈判响应人须知前附表”所指的项目表现出兴趣，按照</w:t>
      </w:r>
      <w:r>
        <w:rPr>
          <w:rFonts w:hint="eastAsia" w:ascii="宋体" w:hAnsi="宋体" w:cs="宋体"/>
          <w:color w:val="auto"/>
          <w:highlight w:val="none"/>
        </w:rPr>
        <w:t>约定</w:t>
      </w:r>
      <w:r>
        <w:rPr>
          <w:rFonts w:hint="eastAsia" w:ascii="宋体" w:hAnsi="宋体" w:cs="宋体"/>
          <w:color w:val="auto"/>
          <w:szCs w:val="21"/>
          <w:highlight w:val="none"/>
        </w:rPr>
        <w:t>的程序，从采购单位获取了竞争性谈判文件，并实际参与了该项目谈判活动的供应商。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3、谈判响应人资格要求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3.1、参与本项目的谈判响应人必须满足的要求：详见谈判响应人须知前附表。</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单位负责人为同一人或者存在直接控股、管理关系的不同供应商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除单一来源采购项目外，为采购项目提供整体设计、规范编制或者项目管理、监理、检测等服务的供应商</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w:t>
      </w:r>
      <w:r>
        <w:rPr>
          <w:rFonts w:hint="eastAsia" w:ascii="宋体" w:hAnsi="宋体"/>
          <w:color w:val="auto"/>
          <w:szCs w:val="21"/>
          <w:highlight w:val="none"/>
        </w:rPr>
        <w:t>、</w:t>
      </w:r>
      <w:r>
        <w:rPr>
          <w:rFonts w:hint="eastAsia" w:ascii="Arial" w:hAnsi="Arial" w:cs="Arial"/>
          <w:color w:val="auto"/>
          <w:highlight w:val="none"/>
        </w:rPr>
        <w:t>银行、保险、石油化工、电力、电信等特殊行业的分公司参与</w:t>
      </w:r>
      <w:r>
        <w:rPr>
          <w:rFonts w:hint="eastAsia" w:ascii="宋体" w:hAnsi="宋体" w:cs="宋体"/>
          <w:color w:val="auto"/>
          <w:szCs w:val="21"/>
          <w:highlight w:val="none"/>
        </w:rPr>
        <w:t>谈判</w:t>
      </w:r>
      <w:r>
        <w:rPr>
          <w:rFonts w:hint="eastAsia" w:ascii="Arial" w:hAnsi="Arial" w:cs="Arial"/>
          <w:color w:val="auto"/>
          <w:highlight w:val="none"/>
        </w:rPr>
        <w:t>，须取得总公司的相关授权（</w:t>
      </w:r>
      <w:r>
        <w:rPr>
          <w:rFonts w:hint="eastAsia" w:ascii="宋体" w:hAnsi="宋体" w:cs="宋体"/>
          <w:color w:val="auto"/>
          <w:szCs w:val="21"/>
          <w:highlight w:val="none"/>
        </w:rPr>
        <w:t>谈判响应</w:t>
      </w:r>
      <w:r>
        <w:rPr>
          <w:rFonts w:hint="eastAsia" w:ascii="Arial" w:hAnsi="Arial" w:cs="Arial"/>
          <w:color w:val="auto"/>
          <w:highlight w:val="none"/>
        </w:rPr>
        <w:t>文件中须提供）；银行、保险、石油化工、电力、电信等特殊行业的分公司取得总公司相关授权后，</w:t>
      </w:r>
      <w:r>
        <w:rPr>
          <w:rFonts w:hint="eastAsia" w:ascii="宋体" w:hAnsi="宋体" w:cs="宋体"/>
          <w:color w:val="auto"/>
          <w:szCs w:val="21"/>
          <w:highlight w:val="none"/>
        </w:rPr>
        <w:t>谈判</w:t>
      </w:r>
      <w:r>
        <w:rPr>
          <w:rFonts w:hint="eastAsia" w:ascii="Arial" w:hAnsi="Arial" w:cs="Arial"/>
          <w:color w:val="auto"/>
          <w:highlight w:val="none"/>
        </w:rPr>
        <w:t>文件中关于法定代表人的要求事项可由分公司负责人代理。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4</w:t>
      </w:r>
      <w:r>
        <w:rPr>
          <w:rFonts w:hint="eastAsia" w:ascii="宋体" w:hAnsi="宋体" w:cs="宋体"/>
          <w:color w:val="auto"/>
          <w:szCs w:val="21"/>
          <w:highlight w:val="none"/>
        </w:rPr>
        <w:t>、谈判响应人必须确保自己信息真实、准确，否则，谈判响应人因此蒙受损失，采购单位概不负责。</w:t>
      </w:r>
    </w:p>
    <w:p>
      <w:pPr>
        <w:pStyle w:val="12"/>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谈判响应人（包括联合体各成员）不得与本标段相关单位存在下列关联关系：</w:t>
      </w:r>
    </w:p>
    <w:p>
      <w:pPr>
        <w:pStyle w:val="12"/>
        <w:numPr>
          <w:ilvl w:val="0"/>
          <w:numId w:val="0"/>
        </w:numPr>
        <w:ind w:firstLine="420" w:firstLineChars="200"/>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为</w:t>
      </w:r>
      <w:r>
        <w:rPr>
          <w:rFonts w:hint="eastAsia"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人不具有独立法人资格的附属机构（单位）；</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（2）与</w:t>
      </w:r>
      <w:r>
        <w:rPr>
          <w:rFonts w:hint="eastAsia"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人存在利害关系且可能影响招标公正性；</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（3）与本</w:t>
      </w:r>
      <w:r>
        <w:rPr>
          <w:rFonts w:hint="eastAsia"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项目的其他投标人为同一个单位负责人；</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（4）与本</w:t>
      </w:r>
      <w:r>
        <w:rPr>
          <w:rFonts w:hint="eastAsia"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项目的其他投标人存在控股、管理关系；</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（5）为本</w:t>
      </w:r>
      <w:r>
        <w:rPr>
          <w:rFonts w:hint="eastAsia"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项目的代建人；</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（6）为本</w:t>
      </w:r>
      <w:r>
        <w:rPr>
          <w:rFonts w:hint="eastAsia"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项目的招标代理机构；</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（7）与本</w:t>
      </w:r>
      <w:r>
        <w:rPr>
          <w:rFonts w:hint="eastAsia"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项目的代建人或招标代理机构同为一个法定代表人；</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（8）与本</w:t>
      </w:r>
      <w:r>
        <w:rPr>
          <w:rFonts w:hint="eastAsia"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项目的代建人或招标代理机构存在控股或参股关系；</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（9）与本</w:t>
      </w:r>
      <w:r>
        <w:rPr>
          <w:rFonts w:hint="eastAsia"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en-US" w:eastAsia="zh-CN" w:bidi="ar-SA"/>
        </w:rPr>
        <w:t>项目的施工承包人以及建筑材料、建筑构配件和设备供应商有隶属关系或者其他利害关系；</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（10）法律法规或投标人须知前附表规定的其他情形。</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3.6谈判响应</w:t>
      </w:r>
      <w:r>
        <w:rPr>
          <w:rFonts w:hint="eastAsia" w:ascii="宋体" w:hAnsi="宋体" w:eastAsia="宋体" w:cs="宋体"/>
          <w:color w:val="auto"/>
          <w:kern w:val="2"/>
          <w:sz w:val="21"/>
          <w:szCs w:val="21"/>
          <w:highlight w:val="none"/>
          <w:lang w:val="en-US" w:eastAsia="zh-CN" w:bidi="ar-SA"/>
        </w:rPr>
        <w:t>人（包括联合体各成员）不得存在下列不良状况或不良信用记录：</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（1）被县级及以上建设行政主管部门/房屋建筑和市政基础设施工程招标投标活动的监督部门暂停或取消本次招标项目工程所在地或公共资源交易平台所在地的投标资格，且处于有效期内；</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（2）在最近三年内（自投标截止之日向前追溯3年，下同）有骗取中标或严重违约或重大设计质量问题的（以相关行业主管部门的行政处罚决定或司法机关出具的有关法律文书为准）；</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（3）被责令停业，暂扣或吊销执照，或吊销资质证书；</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（4）进入清算程序，或被宣告破产，或其他丧失履约能力的情形；</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（5）在国家企业信用信息公示系统（</w:t>
      </w:r>
      <w:r>
        <w:rPr>
          <w:rFonts w:hint="eastAsia" w:ascii="宋体" w:hAnsi="宋体" w:eastAsia="宋体" w:cs="宋体"/>
          <w:color w:val="auto"/>
          <w:kern w:val="2"/>
          <w:sz w:val="21"/>
          <w:szCs w:val="21"/>
          <w:highlight w:val="none"/>
          <w:lang w:val="en-US" w:eastAsia="zh-CN" w:bidi="ar-SA"/>
        </w:rPr>
        <w:drawing>
          <wp:inline distT="0" distB="0" distL="114300" distR="114300">
            <wp:extent cx="190500" cy="14287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kern w:val="2"/>
          <w:sz w:val="21"/>
          <w:szCs w:val="21"/>
          <w:highlight w:val="none"/>
          <w:lang w:val="en-US" w:eastAsia="zh-CN" w:bidi="ar-SA"/>
        </w:rPr>
        <w:t>http://www.gsxt.gov.cn/）中被列入严重违法失信企业名单；</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（6）在“信用中国”网站（</w:t>
      </w:r>
      <w:r>
        <w:rPr>
          <w:rFonts w:hint="eastAsia" w:ascii="宋体" w:hAnsi="宋体" w:eastAsia="宋体" w:cs="宋体"/>
          <w:color w:val="auto"/>
          <w:kern w:val="2"/>
          <w:sz w:val="21"/>
          <w:szCs w:val="21"/>
          <w:highlight w:val="none"/>
          <w:lang w:val="en-US" w:eastAsia="zh-CN" w:bidi="ar-SA"/>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kern w:val="2"/>
          <w:sz w:val="21"/>
          <w:szCs w:val="21"/>
          <w:highlight w:val="none"/>
          <w:lang w:val="en-US" w:eastAsia="zh-CN" w:bidi="ar-SA"/>
        </w:rPr>
        <w:t>http://www.creditchina.gov.cn/）中被列入失信被执行人名单；</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（7）在“信用中国”网站（</w:t>
      </w:r>
      <w:r>
        <w:rPr>
          <w:rFonts w:hint="eastAsia" w:ascii="宋体" w:hAnsi="宋体" w:eastAsia="宋体" w:cs="宋体"/>
          <w:color w:val="auto"/>
          <w:kern w:val="2"/>
          <w:sz w:val="21"/>
          <w:szCs w:val="21"/>
          <w:highlight w:val="none"/>
          <w:lang w:val="en-US" w:eastAsia="zh-CN" w:bidi="ar-SA"/>
        </w:rPr>
        <w:drawing>
          <wp:inline distT="0" distB="0" distL="114300" distR="114300">
            <wp:extent cx="190500" cy="142875"/>
            <wp:effectExtent l="0" t="0" r="0" b="952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kern w:val="2"/>
          <w:sz w:val="21"/>
          <w:szCs w:val="21"/>
          <w:highlight w:val="none"/>
          <w:lang w:val="en-US" w:eastAsia="zh-CN" w:bidi="ar-SA"/>
        </w:rPr>
        <w:t>http://www.creditchina.gov.cn/）中被列入重大税收违法案件当事人名单的；</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（8）</w:t>
      </w:r>
      <w:r>
        <w:rPr>
          <w:rFonts w:hint="eastAsia" w:cs="宋体"/>
          <w:color w:val="auto"/>
          <w:kern w:val="2"/>
          <w:sz w:val="21"/>
          <w:szCs w:val="21"/>
          <w:highlight w:val="none"/>
          <w:lang w:val="en-US" w:eastAsia="zh-CN" w:bidi="ar-SA"/>
        </w:rPr>
        <w:t>谈判响应</w:t>
      </w:r>
      <w:r>
        <w:rPr>
          <w:rFonts w:hint="eastAsia" w:ascii="宋体" w:hAnsi="宋体" w:eastAsia="宋体" w:cs="宋体"/>
          <w:color w:val="auto"/>
          <w:kern w:val="2"/>
          <w:sz w:val="21"/>
          <w:szCs w:val="21"/>
          <w:highlight w:val="none"/>
          <w:lang w:val="en-US" w:eastAsia="zh-CN" w:bidi="ar-SA"/>
        </w:rPr>
        <w:t>人或其法定代表人、拟委任的项目负责人在近三年内有行贿犯罪行为的；</w:t>
      </w:r>
      <w:r>
        <w:rPr>
          <w:rFonts w:hint="eastAsia" w:ascii="宋体" w:hAnsi="宋体" w:eastAsia="宋体" w:cs="宋体"/>
          <w:color w:val="auto"/>
          <w:kern w:val="2"/>
          <w:sz w:val="21"/>
          <w:szCs w:val="21"/>
          <w:highlight w:val="none"/>
          <w:lang w:val="en-US" w:eastAsia="zh-CN" w:bidi="ar-SA"/>
        </w:rPr>
        <w:br w:type="textWrapping"/>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（9）法律法规或</w:t>
      </w:r>
      <w:r>
        <w:rPr>
          <w:rFonts w:hint="eastAsia" w:cs="宋体"/>
          <w:color w:val="auto"/>
          <w:kern w:val="2"/>
          <w:sz w:val="21"/>
          <w:szCs w:val="21"/>
          <w:highlight w:val="none"/>
          <w:lang w:val="en-US" w:eastAsia="zh-CN" w:bidi="ar-SA"/>
        </w:rPr>
        <w:t>谈判响应</w:t>
      </w:r>
      <w:r>
        <w:rPr>
          <w:rFonts w:hint="eastAsia" w:ascii="宋体" w:hAnsi="宋体" w:eastAsia="宋体" w:cs="宋体"/>
          <w:color w:val="auto"/>
          <w:kern w:val="2"/>
          <w:sz w:val="21"/>
          <w:szCs w:val="21"/>
          <w:highlight w:val="none"/>
          <w:lang w:val="en-US" w:eastAsia="zh-CN" w:bidi="ar-SA"/>
        </w:rPr>
        <w:t>人须知前附表规定的其他情形。</w:t>
      </w:r>
    </w:p>
    <w:p>
      <w:pPr>
        <w:pStyle w:val="12"/>
        <w:numPr>
          <w:ilvl w:val="0"/>
          <w:numId w:val="0"/>
        </w:num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踏勘现场：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5、联合体响应</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440" w:lineRule="exact"/>
        <w:ind w:firstLine="310" w:firstLineChars="147"/>
        <w:rPr>
          <w:rFonts w:ascii="宋体" w:hAnsi="宋体" w:cs="宋体"/>
          <w:color w:val="auto"/>
          <w:szCs w:val="21"/>
          <w:highlight w:val="none"/>
        </w:rPr>
      </w:pPr>
      <w:r>
        <w:rPr>
          <w:rFonts w:hint="eastAsia" w:ascii="宋体" w:hAnsi="宋体" w:cs="宋体"/>
          <w:b/>
          <w:color w:val="auto"/>
          <w:highlight w:val="none"/>
        </w:rPr>
        <w:t>6、谈判响应费用：</w:t>
      </w:r>
      <w:r>
        <w:rPr>
          <w:rFonts w:hint="eastAsia" w:ascii="宋体" w:hAnsi="宋体" w:cs="宋体"/>
          <w:b/>
          <w:color w:val="auto"/>
          <w:szCs w:val="21"/>
          <w:highlight w:val="none"/>
        </w:rPr>
        <w:t>谈判响应人必须自行承担参加谈判响应的所有费用。</w:t>
      </w:r>
      <w:r>
        <w:rPr>
          <w:rFonts w:hint="eastAsia" w:ascii="宋体" w:hAnsi="宋体" w:cs="宋体"/>
          <w:color w:val="auto"/>
          <w:szCs w:val="21"/>
          <w:highlight w:val="none"/>
        </w:rPr>
        <w:t>不论成交与否，采购单位在任何情况下均无义务和责任承担这些费用。</w:t>
      </w:r>
    </w:p>
    <w:p>
      <w:pPr>
        <w:pStyle w:val="7"/>
        <w:ind w:firstLine="472" w:firstLineChars="196"/>
        <w:rPr>
          <w:rFonts w:hAnsi="宋体" w:cs="宋体"/>
          <w:color w:val="auto"/>
          <w:highlight w:val="none"/>
        </w:rPr>
      </w:pPr>
      <w:bookmarkStart w:id="34" w:name="_Toc55202312"/>
      <w:bookmarkStart w:id="35" w:name="_Toc8536"/>
      <w:r>
        <w:rPr>
          <w:rFonts w:hint="eastAsia" w:hAnsi="宋体" w:cs="宋体"/>
          <w:color w:val="auto"/>
          <w:highlight w:val="none"/>
        </w:rPr>
        <w:t>二、竞争性谈判文件</w:t>
      </w:r>
      <w:bookmarkEnd w:id="34"/>
      <w:bookmarkEnd w:id="35"/>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7、竞争性谈判文件的构成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7.1、竞争性谈判文件包括：</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.1.1本竞争性谈判文件的全部内容；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.1.2本工程所有发生的答疑文件（如有）和通知（如有）。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7.3、谈判响应人获取竞争性谈判文件后，应仔细检查竞争性谈判文件的所有内容，如有残缺、文本不清晰、表述不一致等问题应在获得竞争性谈判文件 1 日内向采购单位提出</w:t>
      </w:r>
      <w:r>
        <w:rPr>
          <w:rFonts w:hint="eastAsia" w:ascii="宋体" w:hAnsi="宋体" w:cs="宋体"/>
          <w:color w:val="auto"/>
          <w:szCs w:val="21"/>
          <w:highlight w:val="none"/>
          <w:lang w:val="en-US" w:eastAsia="zh-CN"/>
        </w:rPr>
        <w:t>并将问题发送至邮箱1661851263@qq.com</w:t>
      </w:r>
      <w:r>
        <w:rPr>
          <w:rFonts w:hint="eastAsia" w:ascii="宋体" w:hAnsi="宋体" w:cs="宋体"/>
          <w:color w:val="auto"/>
          <w:szCs w:val="21"/>
          <w:highlight w:val="none"/>
        </w:rPr>
        <w:t>，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color w:val="auto"/>
          <w:highlight w:val="none"/>
        </w:rPr>
        <w:t>约定，</w:t>
      </w:r>
      <w:r>
        <w:rPr>
          <w:rFonts w:hint="eastAsia" w:ascii="宋体" w:hAnsi="宋体" w:cs="宋体"/>
          <w:color w:val="auto"/>
          <w:szCs w:val="21"/>
          <w:highlight w:val="none"/>
        </w:rPr>
        <w:t>该谈判响应有可能被拒绝。</w:t>
      </w:r>
    </w:p>
    <w:p>
      <w:pPr>
        <w:spacing w:line="360" w:lineRule="auto"/>
        <w:rPr>
          <w:rFonts w:ascii="宋体" w:hAnsi="宋体" w:cs="宋体"/>
          <w:color w:val="auto"/>
          <w:szCs w:val="21"/>
          <w:highlight w:val="none"/>
        </w:rPr>
      </w:pP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8、竞争性谈判文件的澄清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8.1、谈判响应人可以要求采购单位对竞争性谈判文件中的有关问题进行答疑或澄清。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8.2、谈判响应人对竞争性谈判文件如有质疑，应在提交响应文件截止时间2个工作日前</w:t>
      </w:r>
      <w:r>
        <w:rPr>
          <w:rFonts w:hint="eastAsia" w:ascii="宋体" w:hAnsi="宋体" w:cs="宋体"/>
          <w:color w:val="auto"/>
          <w:szCs w:val="21"/>
          <w:highlight w:val="none"/>
          <w:lang w:val="en-US" w:eastAsia="zh-CN"/>
        </w:rPr>
        <w:t>向采购单位提出并将问题发送至邮箱1661851263@qq.com</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8.3、如果谈判响应人未在</w:t>
      </w:r>
      <w:r>
        <w:rPr>
          <w:rFonts w:hint="eastAsia" w:ascii="宋体" w:hAnsi="宋体" w:cs="宋体"/>
          <w:color w:val="auto"/>
          <w:highlight w:val="none"/>
        </w:rPr>
        <w:t>约定</w:t>
      </w:r>
      <w:r>
        <w:rPr>
          <w:rFonts w:hint="eastAsia" w:ascii="宋体" w:hAnsi="宋体" w:cs="宋体"/>
          <w:color w:val="auto"/>
          <w:szCs w:val="21"/>
          <w:highlight w:val="none"/>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8.4、采购单位对在</w:t>
      </w:r>
      <w:r>
        <w:rPr>
          <w:rFonts w:hint="eastAsia" w:ascii="宋体" w:hAnsi="宋体" w:cs="宋体"/>
          <w:color w:val="auto"/>
          <w:highlight w:val="none"/>
        </w:rPr>
        <w:t>约定</w:t>
      </w:r>
      <w:r>
        <w:rPr>
          <w:rFonts w:hint="eastAsia" w:ascii="宋体" w:hAnsi="宋体" w:cs="宋体"/>
          <w:color w:val="auto"/>
          <w:szCs w:val="21"/>
          <w:highlight w:val="none"/>
        </w:rPr>
        <w:t>时间收到的、且需要做出澄清的问题，将以本须知所述方式进行答复，但不说明问题的来源。</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9、竞争性谈判文件的修改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9.1、采购单位可以对竞争性谈判文件进行修改。</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9.2、采购单位对谈判响应人质疑的答复和对竞争性谈判文件的澄清、修改、补充说明等内容均通过</w:t>
      </w:r>
      <w:r>
        <w:rPr>
          <w:rFonts w:hint="eastAsia" w:ascii="宋体" w:hAnsi="宋体" w:eastAsia="宋体" w:cs="宋体"/>
          <w:b/>
          <w:bCs/>
          <w:color w:val="auto"/>
          <w:szCs w:val="21"/>
          <w:highlight w:val="none"/>
        </w:rPr>
        <w:t>安庆</w:t>
      </w:r>
      <w:r>
        <w:rPr>
          <w:rFonts w:hint="eastAsia" w:ascii="宋体" w:hAnsi="宋体" w:eastAsia="宋体" w:cs="宋体"/>
          <w:b/>
          <w:bCs/>
          <w:color w:val="auto"/>
          <w:szCs w:val="21"/>
          <w:highlight w:val="none"/>
          <w:lang w:val="en-US" w:eastAsia="zh-CN"/>
        </w:rPr>
        <w:t>职业技术学院（https://www.aqvtc.edu.cn/）招标采购栏目</w:t>
      </w:r>
      <w:r>
        <w:rPr>
          <w:rFonts w:hint="eastAsia" w:ascii="宋体" w:hAnsi="宋体" w:cs="宋体"/>
          <w:b/>
          <w:bCs/>
          <w:color w:val="auto"/>
          <w:szCs w:val="21"/>
          <w:highlight w:val="none"/>
          <w:lang w:val="en-US" w:eastAsia="zh-CN"/>
        </w:rPr>
        <w:t>、安庆市皖宜项目咨询管理有限公司（http://wyxmzx.com/index.html）</w:t>
      </w:r>
      <w:r>
        <w:rPr>
          <w:rFonts w:hint="eastAsia" w:ascii="宋体" w:hAnsi="宋体" w:cs="宋体"/>
          <w:b/>
          <w:bCs/>
          <w:color w:val="auto"/>
          <w:szCs w:val="21"/>
          <w:highlight w:val="none"/>
        </w:rPr>
        <w:t>发布，该修改内容作为竞争性谈判文件的组成部分，具有约束作用。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9.3、当竞争性谈判文件与对竞争性谈判文件的澄清、修改、补充等在同一内容的表述上不一致时，以最后发出的为准。</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9.4、为使谈判响应人有充分时间对竞争性谈判文件的澄清、修改、补充部分进行研究，或是由于其他原因，采购单位可以决定顺延提交响应文件截止时间，具体时间通过</w:t>
      </w:r>
      <w:r>
        <w:rPr>
          <w:rFonts w:hint="eastAsia" w:ascii="宋体" w:hAnsi="宋体" w:eastAsia="宋体" w:cs="宋体"/>
          <w:b w:val="0"/>
          <w:bCs w:val="0"/>
          <w:color w:val="auto"/>
          <w:szCs w:val="21"/>
          <w:highlight w:val="none"/>
        </w:rPr>
        <w:t>安庆</w:t>
      </w:r>
      <w:r>
        <w:rPr>
          <w:rFonts w:hint="eastAsia" w:ascii="宋体" w:hAnsi="宋体" w:eastAsia="宋体" w:cs="宋体"/>
          <w:b w:val="0"/>
          <w:bCs w:val="0"/>
          <w:color w:val="auto"/>
          <w:szCs w:val="21"/>
          <w:highlight w:val="none"/>
          <w:lang w:val="en-US" w:eastAsia="zh-CN"/>
        </w:rPr>
        <w:t>职业技术学院网站、安庆市皖宜项目咨询管理有限公司</w:t>
      </w:r>
      <w:r>
        <w:rPr>
          <w:rFonts w:hint="eastAsia" w:ascii="宋体" w:hAnsi="宋体" w:cs="宋体"/>
          <w:b w:val="0"/>
          <w:bCs w:val="0"/>
          <w:color w:val="auto"/>
          <w:szCs w:val="21"/>
          <w:highlight w:val="none"/>
          <w:lang w:val="en-US" w:eastAsia="zh-CN"/>
        </w:rPr>
        <w:t>网站</w:t>
      </w:r>
      <w:r>
        <w:rPr>
          <w:rFonts w:hint="eastAsia" w:ascii="宋体" w:hAnsi="宋体" w:cs="宋体"/>
          <w:color w:val="auto"/>
          <w:szCs w:val="21"/>
          <w:highlight w:val="none"/>
        </w:rPr>
        <w:t>发布。</w:t>
      </w:r>
    </w:p>
    <w:p>
      <w:pPr>
        <w:spacing w:line="360" w:lineRule="auto"/>
        <w:ind w:firstLine="42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9.5请各响应人自行核对本项目的最高谈判限价，如有异议和投诉，请在谈判响应截止时间前书面提出，且需要同时提交异议和投诉的依据、有关证明材料以及相关的请求及主张。采购人将组织复查。如复查结论与原公布的最高谈判限价误差超过±3%的，采购人将进行修正，如误差在±3%以内的，采购人可不予调整。响应人在规定时间内未提出异议的，中标后，采购人不接受成交人对此提出的任何质疑，不因此而调整合同价，响应人应当按照成交价完成竞争性谈判文件和响应文件规定的所有工程项目内容。</w:t>
      </w:r>
    </w:p>
    <w:p>
      <w:pPr>
        <w:pStyle w:val="7"/>
        <w:ind w:firstLine="472" w:firstLineChars="196"/>
        <w:rPr>
          <w:rFonts w:hAnsi="宋体" w:cs="宋体"/>
          <w:color w:val="auto"/>
          <w:highlight w:val="none"/>
        </w:rPr>
      </w:pPr>
      <w:bookmarkStart w:id="36" w:name="_Toc55202313"/>
      <w:bookmarkStart w:id="37" w:name="_Toc9821"/>
      <w:r>
        <w:rPr>
          <w:rFonts w:hint="eastAsia" w:hAnsi="宋体" w:cs="宋体"/>
          <w:color w:val="auto"/>
          <w:highlight w:val="none"/>
        </w:rPr>
        <w:t>三、谈判响应文件的编制</w:t>
      </w:r>
      <w:bookmarkEnd w:id="36"/>
      <w:bookmarkEnd w:id="37"/>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10、谈判响应的语言及度量衡单位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10.1、谈判响应人的谈判响应文件、谈判响应人与采购单位就谈判响应的所有往来函电，均须使用简体中文。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10.2、除竞争性谈判文件中另有</w:t>
      </w:r>
      <w:r>
        <w:rPr>
          <w:rFonts w:hint="eastAsia" w:ascii="宋体" w:hAnsi="宋体" w:cs="宋体"/>
          <w:color w:val="auto"/>
          <w:highlight w:val="none"/>
        </w:rPr>
        <w:t>约定</w:t>
      </w:r>
      <w:r>
        <w:rPr>
          <w:rFonts w:hint="eastAsia" w:ascii="宋体" w:hAnsi="宋体" w:cs="宋体"/>
          <w:color w:val="auto"/>
          <w:szCs w:val="21"/>
          <w:highlight w:val="none"/>
        </w:rPr>
        <w:t>外，谈判响应文件所使用的度量衡均须采用中华人民共和国法定计量单位。</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11、谈判响应文件的构成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11.1、谈判响应文件应该按照“谈判响应文件格式”</w:t>
      </w:r>
      <w:r>
        <w:rPr>
          <w:rFonts w:hint="eastAsia" w:ascii="宋体" w:hAnsi="宋体" w:cs="宋体"/>
          <w:color w:val="auto"/>
          <w:highlight w:val="none"/>
        </w:rPr>
        <w:t>约定</w:t>
      </w:r>
      <w:r>
        <w:rPr>
          <w:rFonts w:hint="eastAsia" w:ascii="宋体" w:hAnsi="宋体" w:cs="宋体"/>
          <w:color w:val="auto"/>
          <w:szCs w:val="21"/>
          <w:highlight w:val="none"/>
        </w:rPr>
        <w:t>的内容和顺序进行编写。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11.2、谈判响应人应提交“谈判响应人须知前附表”中</w:t>
      </w:r>
      <w:r>
        <w:rPr>
          <w:rFonts w:hint="eastAsia" w:ascii="宋体" w:hAnsi="宋体" w:cs="宋体"/>
          <w:color w:val="auto"/>
          <w:highlight w:val="none"/>
        </w:rPr>
        <w:t>约定</w:t>
      </w:r>
      <w:r>
        <w:rPr>
          <w:rFonts w:hint="eastAsia" w:ascii="宋体" w:hAnsi="宋体" w:cs="宋体"/>
          <w:color w:val="auto"/>
          <w:szCs w:val="21"/>
          <w:highlight w:val="none"/>
        </w:rPr>
        <w:t>的谈判响应文件。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11.4、谈判响应人提供的产品质量和服务均能满足竞争性谈判文件</w:t>
      </w:r>
      <w:r>
        <w:rPr>
          <w:rFonts w:hint="eastAsia" w:ascii="宋体" w:hAnsi="宋体" w:cs="宋体"/>
          <w:color w:val="auto"/>
          <w:highlight w:val="none"/>
        </w:rPr>
        <w:t>约定</w:t>
      </w:r>
      <w:r>
        <w:rPr>
          <w:rFonts w:hint="eastAsia" w:ascii="宋体" w:hAnsi="宋体" w:cs="宋体"/>
          <w:color w:val="auto"/>
          <w:szCs w:val="21"/>
          <w:highlight w:val="none"/>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12、谈判响应报价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12.1、谈判响应文件的服务报价表(首轮）上应清楚地标明</w:t>
      </w:r>
      <w:r>
        <w:rPr>
          <w:rFonts w:hint="eastAsia" w:ascii="宋体" w:hAnsi="宋体" w:cs="宋体"/>
          <w:color w:val="auto"/>
          <w:szCs w:val="21"/>
          <w:highlight w:val="none"/>
          <w:lang w:val="en-US" w:eastAsia="zh-CN"/>
        </w:rPr>
        <w:t>工期</w:t>
      </w:r>
      <w:r>
        <w:rPr>
          <w:rFonts w:hint="eastAsia" w:ascii="宋体" w:hAnsi="宋体"/>
          <w:color w:val="auto"/>
          <w:szCs w:val="21"/>
          <w:highlight w:val="none"/>
        </w:rPr>
        <w:t>、</w:t>
      </w:r>
      <w:r>
        <w:rPr>
          <w:rFonts w:hint="eastAsia" w:ascii="宋体" w:hAnsi="宋体"/>
          <w:color w:val="auto"/>
          <w:szCs w:val="21"/>
          <w:highlight w:val="none"/>
          <w:lang w:val="en-US" w:eastAsia="zh-CN"/>
        </w:rPr>
        <w:t>质量、</w:t>
      </w:r>
      <w:r>
        <w:rPr>
          <w:rFonts w:hint="eastAsia" w:ascii="宋体" w:hAnsi="宋体"/>
          <w:color w:val="auto"/>
          <w:szCs w:val="21"/>
          <w:highlight w:val="none"/>
        </w:rPr>
        <w:t>价格等内容。单价不作为合同结算依据。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12.3、除非合同中另有规定，</w:t>
      </w:r>
      <w:r>
        <w:rPr>
          <w:rFonts w:hint="eastAsia" w:ascii="宋体" w:hAnsi="宋体" w:cs="宋体"/>
          <w:color w:val="auto"/>
          <w:szCs w:val="21"/>
          <w:highlight w:val="none"/>
          <w:lang w:val="en-US" w:eastAsia="zh-CN"/>
        </w:rPr>
        <w:t>谈判人的响应报价</w:t>
      </w:r>
      <w:r>
        <w:rPr>
          <w:rFonts w:hint="eastAsia" w:ascii="宋体" w:hAnsi="宋体" w:cs="宋体"/>
          <w:color w:val="auto"/>
          <w:szCs w:val="21"/>
          <w:highlight w:val="none"/>
        </w:rPr>
        <w:t>均包括完成</w:t>
      </w:r>
      <w:r>
        <w:rPr>
          <w:rFonts w:hint="eastAsia" w:ascii="宋体" w:hAnsi="宋体" w:cs="宋体"/>
          <w:color w:val="auto"/>
          <w:szCs w:val="21"/>
          <w:highlight w:val="none"/>
          <w:lang w:val="en-US" w:eastAsia="zh-CN"/>
        </w:rPr>
        <w:t>竞争性谈判</w:t>
      </w:r>
      <w:r>
        <w:rPr>
          <w:rFonts w:hint="eastAsia" w:ascii="宋体" w:hAnsi="宋体" w:cs="宋体"/>
          <w:color w:val="auto"/>
          <w:szCs w:val="21"/>
          <w:highlight w:val="none"/>
        </w:rPr>
        <w:t>文件约定的全部工程内容及为达到质量和工期目标、安全文明、环境保护等要求的分部分项工程费、措施项目费、不可竞争费、其他项目费、税金等所有费用。为满足工程建设标准和技术规范要求所发生的费用应包括在</w:t>
      </w:r>
      <w:r>
        <w:rPr>
          <w:rFonts w:hint="eastAsia" w:ascii="宋体" w:hAnsi="宋体" w:cs="宋体"/>
          <w:color w:val="auto"/>
          <w:szCs w:val="21"/>
          <w:highlight w:val="none"/>
          <w:lang w:val="en-US" w:eastAsia="zh-CN"/>
        </w:rPr>
        <w:t>谈判响应</w:t>
      </w:r>
      <w:r>
        <w:rPr>
          <w:rFonts w:hint="eastAsia" w:ascii="宋体" w:hAnsi="宋体" w:cs="宋体"/>
          <w:color w:val="auto"/>
          <w:szCs w:val="21"/>
          <w:highlight w:val="none"/>
        </w:rPr>
        <w:t>报价中。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12.4、谈判响应报价高于最高限价的谈判响应无效。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w:t>
      </w:r>
      <w:r>
        <w:rPr>
          <w:rFonts w:ascii="宋体" w:hAnsi="宋体"/>
          <w:color w:val="auto"/>
          <w:szCs w:val="21"/>
          <w:highlight w:val="none"/>
        </w:rPr>
        <w:t>5</w:t>
      </w:r>
      <w:r>
        <w:rPr>
          <w:rFonts w:hint="eastAsia" w:ascii="宋体" w:hAnsi="宋体"/>
          <w:color w:val="auto"/>
          <w:szCs w:val="21"/>
          <w:highlight w:val="none"/>
        </w:rPr>
        <w:t>、谈判响应文件内容不一致的确认。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5.2</w:t>
      </w:r>
      <w:r>
        <w:rPr>
          <w:rFonts w:hint="eastAsia" w:ascii="宋体" w:hAnsi="宋体" w:cs="宋体"/>
          <w:color w:val="auto"/>
          <w:szCs w:val="21"/>
          <w:highlight w:val="none"/>
        </w:rPr>
        <w:t>、若大写金额和小写金额不一致的，以大写金额为准;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5.3</w:t>
      </w:r>
      <w:r>
        <w:rPr>
          <w:rFonts w:hint="eastAsia" w:ascii="宋体" w:hAnsi="宋体" w:cs="宋体"/>
          <w:color w:val="auto"/>
          <w:szCs w:val="21"/>
          <w:highlight w:val="none"/>
        </w:rPr>
        <w:t>、单价金额小数点或者百分比有明显错位的，应以谈判响应函(谈判响应报价)为准，并修正单价。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5.4</w:t>
      </w:r>
      <w:r>
        <w:rPr>
          <w:rFonts w:hint="eastAsia" w:ascii="宋体" w:hAnsi="宋体" w:cs="宋体"/>
          <w:color w:val="auto"/>
          <w:szCs w:val="21"/>
          <w:highlight w:val="none"/>
        </w:rPr>
        <w:t>、总价金额与按单价汇总金额不一致的，以单价金额计算结果为准。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同时出现两种以上不一致的，按照以上规定的顺序修正。修正后的报价应当采用书面形式，并加盖公章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或者由法定代表人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或其委托代理人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,但不得超出谈判响应文件的范围或者改变谈判响应文件的实质性内容。经谈判响应人确认后产生约束力，谈判响应人不确认的，其谈判响应无效。</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12.5.5</w:t>
      </w:r>
      <w:r>
        <w:rPr>
          <w:rFonts w:hint="eastAsia" w:ascii="宋体" w:hAnsi="宋体" w:cs="宋体"/>
          <w:color w:val="auto"/>
          <w:szCs w:val="21"/>
          <w:highlight w:val="none"/>
        </w:rPr>
        <w:t>本工程取、弃土点由施工单位自行解决，承包人投标报价时应综合考虑经济运距及其他可能增加成本的因素，且渣土运输要符合安庆市人民政府关于建筑垃圾处置</w:t>
      </w:r>
      <w:r>
        <w:rPr>
          <w:rFonts w:hint="eastAsia" w:ascii="宋体" w:hAnsi="宋体" w:cs="宋体"/>
          <w:color w:val="auto"/>
          <w:szCs w:val="21"/>
          <w:highlight w:val="none"/>
          <w:lang w:val="en-US" w:eastAsia="zh-CN"/>
        </w:rPr>
        <w:t>的相关规定。</w:t>
      </w:r>
      <w:r>
        <w:rPr>
          <w:rFonts w:hint="eastAsia" w:ascii="宋体" w:hAnsi="宋体" w:cs="宋体"/>
          <w:color w:val="auto"/>
          <w:szCs w:val="21"/>
          <w:highlight w:val="none"/>
        </w:rPr>
        <w:t>承包人投标前必须充分了解安庆渣土运输行情，合理报价，中标后土方报价不做调整。</w:t>
      </w:r>
    </w:p>
    <w:p>
      <w:pPr>
        <w:numPr>
          <w:ilvl w:val="0"/>
          <w:numId w:val="6"/>
        </w:numPr>
        <w:spacing w:line="360" w:lineRule="auto"/>
        <w:ind w:firstLine="422" w:firstLineChars="200"/>
        <w:rPr>
          <w:color w:val="auto"/>
          <w:highlight w:val="none"/>
        </w:rPr>
      </w:pPr>
      <w:r>
        <w:rPr>
          <w:rFonts w:hint="eastAsia" w:ascii="宋体" w:hAnsi="宋体" w:cs="宋体"/>
          <w:b/>
          <w:color w:val="auto"/>
          <w:szCs w:val="21"/>
          <w:highlight w:val="none"/>
        </w:rPr>
        <w:t>谈判响应货币：</w:t>
      </w:r>
      <w:r>
        <w:rPr>
          <w:rFonts w:hint="eastAsia" w:ascii="宋体" w:hAnsi="宋体" w:cs="宋体"/>
          <w:color w:val="auto"/>
          <w:szCs w:val="21"/>
          <w:highlight w:val="none"/>
        </w:rPr>
        <w:t>人民币。</w:t>
      </w:r>
    </w:p>
    <w:p>
      <w:pPr>
        <w:numPr>
          <w:ilvl w:val="0"/>
          <w:numId w:val="6"/>
        </w:numPr>
        <w:spacing w:line="360" w:lineRule="auto"/>
        <w:ind w:firstLine="420" w:firstLineChars="200"/>
        <w:rPr>
          <w:rFonts w:ascii="宋体" w:hAnsi="宋体" w:cs="宋体"/>
          <w:color w:val="auto"/>
          <w:szCs w:val="21"/>
          <w:highlight w:val="none"/>
        </w:rPr>
      </w:pPr>
      <w:r>
        <w:rPr>
          <w:rFonts w:hint="eastAsia"/>
          <w:color w:val="auto"/>
          <w:highlight w:val="none"/>
        </w:rPr>
        <w:t>有下述情形之一的处理：</w:t>
      </w:r>
    </w:p>
    <w:p>
      <w:pPr>
        <w:numPr>
          <w:ilvl w:val="0"/>
          <w:numId w:val="0"/>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、谈判响应人有下列情形之一的，记入不良行为记录：</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（1）谈判响应文件提交截止时间后，谈判响应人在谈判响应有效期内撤销谈判响应文件的；</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（2）成交人无正当理由不与采购人订立合同的，或在签订合同时向采购人提出附加条件的；</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（3）不按照竞争性谈判文件要求提交履约保证金的；</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（4）将成交项目转让给他人，或未按相关规定将成交项目分包给他人的；</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（5）成交人拒绝履行合同义务的；</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（6）提供虚假材料谋取成交的； </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（7）采取不正当手段诋毁、排挤其他供应商的； </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（8）与采购单位、其他谈判响应人恶意串通的； </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）视为谈判响应人串通投标的；</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 xml:space="preserve">）向采购单位行贿或者提供其他不正当利益的； </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 xml:space="preserve">）在竞争性谈判采购过程中与采购人进行协商谈判、不按照竞争性谈判文件和成交人的谈判响应文件订立合同，或者与采购人另行订立背离合同实质性内容的协议； </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）拒绝有关部门监督检查或者提供虚假情况的；</w:t>
      </w:r>
    </w:p>
    <w:p>
      <w:pPr>
        <w:spacing w:line="360" w:lineRule="auto"/>
        <w:ind w:left="420"/>
        <w:rPr>
          <w:rFonts w:ascii="宋体" w:hAnsi="宋体" w:cs="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）受到</w:t>
      </w:r>
      <w:r>
        <w:rPr>
          <w:rFonts w:ascii="宋体" w:hAnsi="宋体"/>
          <w:color w:val="auto"/>
          <w:szCs w:val="21"/>
          <w:highlight w:val="none"/>
        </w:rPr>
        <w:t>财政部门依法</w:t>
      </w:r>
      <w:r>
        <w:rPr>
          <w:rFonts w:hint="eastAsia" w:ascii="宋体" w:hAnsi="宋体"/>
          <w:color w:val="auto"/>
          <w:szCs w:val="21"/>
          <w:highlight w:val="none"/>
        </w:rPr>
        <w:t>作出的</w:t>
      </w:r>
      <w:r>
        <w:rPr>
          <w:rFonts w:ascii="宋体" w:hAnsi="宋体"/>
          <w:color w:val="auto"/>
          <w:szCs w:val="21"/>
          <w:highlight w:val="none"/>
        </w:rPr>
        <w:t>禁止参加政府采购活动</w:t>
      </w:r>
      <w:r>
        <w:rPr>
          <w:rFonts w:hint="eastAsia" w:ascii="宋体" w:hAnsi="宋体"/>
          <w:color w:val="auto"/>
          <w:szCs w:val="21"/>
          <w:highlight w:val="none"/>
        </w:rPr>
        <w:t>且在有效期内的</w:t>
      </w:r>
      <w:r>
        <w:rPr>
          <w:rFonts w:ascii="宋体" w:hAnsi="宋体"/>
          <w:color w:val="auto"/>
          <w:szCs w:val="21"/>
          <w:highlight w:val="none"/>
        </w:rPr>
        <w:t>行政处罚</w:t>
      </w:r>
      <w:r>
        <w:rPr>
          <w:rFonts w:hint="eastAsia" w:ascii="宋体" w:hAnsi="宋体"/>
          <w:color w:val="auto"/>
          <w:szCs w:val="21"/>
          <w:highlight w:val="none"/>
        </w:rPr>
        <w:t>；</w:t>
      </w: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w:t>
      </w:r>
      <w:r>
        <w:rPr>
          <w:rFonts w:hint="eastAsia" w:ascii="宋体" w:hAnsi="宋体" w:cs="宋体"/>
          <w:color w:val="auto"/>
          <w:szCs w:val="21"/>
          <w:highlight w:val="none"/>
        </w:rPr>
        <w:t>）法律、法规规定及竞争性谈判文件约定的其他情形。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谈判响应人上述行为给采购人造成的损失，谈判响应人应当予以赔偿。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hint="eastAsia" w:ascii="宋体" w:hAnsi="宋体"/>
          <w:color w:val="auto"/>
          <w:szCs w:val="21"/>
          <w:highlight w:val="none"/>
          <w:lang w:val="en-US" w:eastAsia="zh-CN"/>
        </w:rPr>
        <w:t>2</w:t>
      </w:r>
      <w:r>
        <w:rPr>
          <w:rFonts w:hint="eastAsia" w:ascii="宋体" w:hAnsi="宋体"/>
          <w:color w:val="auto"/>
          <w:szCs w:val="21"/>
          <w:highlight w:val="none"/>
        </w:rPr>
        <w:t>、有下列情形之一的，视为谈判响应人串通投标，其谈判响应无效：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（1）不同谈判响应人的谈判响应文件由同一单位或者个人编制；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（2）不同谈判响应人委托同一单位或者个人办理谈判响应事宜；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（3）不同谈判响应人的谈判响应文件载明的项目管理成员或联系人员为同一人；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（4）不同谈判响应人的谈判响应文件异常一致或者谈判响应报价呈规律性差异；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（5）不同谈判响应人的谈判响应文件相互混装。</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b/>
          <w:color w:val="auto"/>
          <w:szCs w:val="21"/>
          <w:highlight w:val="none"/>
        </w:rPr>
        <w:t>谈判响应人在本项目竞争性谈判过程中有下列行为之一的，成交无效，给采购人造成的损失，谈判响应人还应予以赔偿。构成犯罪的，依法追究刑事责任。</w:t>
      </w:r>
    </w:p>
    <w:p>
      <w:pPr>
        <w:widowControl/>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（1）成交后无正当理由不与采购单位签订合同的；</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（2）</w:t>
      </w:r>
      <w:r>
        <w:rPr>
          <w:rFonts w:hint="eastAsia" w:ascii="宋体" w:hAnsi="宋体" w:cs="宋体"/>
          <w:color w:val="auto"/>
          <w:szCs w:val="21"/>
          <w:highlight w:val="none"/>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（3）将成交项目转让给他人、或在谈判响应文件中未说明，将成交项目分包给他人的；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szCs w:val="21"/>
          <w:highlight w:val="none"/>
        </w:rPr>
        <w:t>谈判响应人相互串通或者与采购人串通的；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（5）谈判响应人以向采购人或者谈判小组成员行贿的手段谋取成交的；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（6）谈判响应人以他人名义谈判响应或者以其他方式弄虚作假，骗取成交的；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（7）违法与采购人就价格、方案等实质性内容进行谈判，影响成交结果的；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（8）法律、法规规定及竞争性谈判文件约定的其他情形。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15、谈判响应有效期</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15.1、谈判响应有效期见“谈判响应人须知前附表”的约定。</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15.2、在谈判响应有效期内，谈判响应人不得要求撤销或修改其谈判响应文件。</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6"/>
        <w:spacing w:line="360" w:lineRule="exact"/>
        <w:ind w:firstLine="422" w:firstLineChars="200"/>
        <w:rPr>
          <w:rFonts w:hAnsi="宋体" w:cs="宋体"/>
          <w:b/>
          <w:color w:val="auto"/>
          <w:szCs w:val="21"/>
          <w:highlight w:val="none"/>
        </w:rPr>
      </w:pPr>
      <w:r>
        <w:rPr>
          <w:rFonts w:hint="eastAsia" w:hAnsi="宋体" w:cs="宋体"/>
          <w:b/>
          <w:color w:val="auto"/>
          <w:szCs w:val="21"/>
          <w:highlight w:val="none"/>
        </w:rPr>
        <w:t>16、谈判响应文件的签署</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16.1、谈判响应人应按竞争性谈判文件约定的格式，编制并提交谈判响应文件。</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16.2、谈判响应文件应由谈判响应人的法定代表人加盖印章，并加盖谈判响应人公章。委托代理人须将法定代表人出具的“法定代表人授权委托书”及其身份证复印件附在谈判响应文件中。</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16.3、谈判响应文件不得行间插字、涂改或增删。</w:t>
      </w:r>
    </w:p>
    <w:p>
      <w:pPr>
        <w:widowControl/>
        <w:spacing w:line="50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16.4、</w:t>
      </w:r>
      <w:r>
        <w:rPr>
          <w:rFonts w:hint="eastAsia" w:ascii="宋体" w:hAnsi="宋体" w:cs="宋体"/>
          <w:b/>
          <w:color w:val="auto"/>
          <w:highlight w:val="none"/>
        </w:rPr>
        <w:t>谈判响应文件封面、谈判响应函、</w:t>
      </w:r>
      <w:r>
        <w:rPr>
          <w:rFonts w:hint="eastAsia" w:ascii="宋体" w:hAnsi="宋体" w:cs="宋体"/>
          <w:b/>
          <w:color w:val="auto"/>
          <w:highlight w:val="none"/>
          <w:lang w:val="en-US" w:eastAsia="zh-CN"/>
        </w:rPr>
        <w:t>谈判</w:t>
      </w:r>
      <w:r>
        <w:rPr>
          <w:rFonts w:hint="eastAsia" w:ascii="宋体" w:hAnsi="宋体" w:cs="宋体"/>
          <w:b/>
          <w:color w:val="auto"/>
          <w:highlight w:val="none"/>
        </w:rPr>
        <w:t>报价表均应加盖谈判响应人公章并经法定代表人</w:t>
      </w:r>
      <w:r>
        <w:rPr>
          <w:rFonts w:hint="eastAsia" w:ascii="宋体" w:hAnsi="宋体" w:cs="宋体"/>
          <w:b/>
          <w:color w:val="auto"/>
          <w:highlight w:val="none"/>
          <w:lang w:val="en-US" w:eastAsia="zh-CN"/>
        </w:rPr>
        <w:t>签字或</w:t>
      </w:r>
      <w:r>
        <w:rPr>
          <w:rFonts w:hint="eastAsia" w:ascii="宋体" w:hAnsi="宋体" w:cs="宋体"/>
          <w:b/>
          <w:color w:val="auto"/>
          <w:highlight w:val="none"/>
        </w:rPr>
        <w:t>加盖印章。</w:t>
      </w:r>
      <w:r>
        <w:rPr>
          <w:rFonts w:hint="eastAsia" w:ascii="宋体" w:hAnsi="宋体" w:cs="宋体"/>
          <w:b/>
          <w:color w:val="auto"/>
          <w:spacing w:val="-2"/>
          <w:highlight w:val="none"/>
        </w:rPr>
        <w:t>谈判响应文件封面、谈判响应函、谈判报价表</w:t>
      </w:r>
      <w:r>
        <w:rPr>
          <w:rFonts w:hint="eastAsia" w:ascii="宋体" w:hAnsi="宋体" w:cs="宋体"/>
          <w:b/>
          <w:color w:val="auto"/>
          <w:highlight w:val="none"/>
        </w:rPr>
        <w:t>、法定代表人授权委托书的签字或盖章</w:t>
      </w:r>
      <w:r>
        <w:rPr>
          <w:rFonts w:hint="eastAsia" w:ascii="宋体" w:hAnsi="宋体" w:cs="宋体"/>
          <w:b/>
          <w:color w:val="auto"/>
          <w:spacing w:val="-2"/>
          <w:highlight w:val="none"/>
        </w:rPr>
        <w:t>不符合谈判文件要求的，谈判小组可要求其法定代表人或其委托的委托代理人补齐签字或承诺在签订合同前按照谈判文件要求加盖印章。</w:t>
      </w:r>
    </w:p>
    <w:p>
      <w:pPr>
        <w:pStyle w:val="7"/>
        <w:numPr>
          <w:ilvl w:val="0"/>
          <w:numId w:val="7"/>
        </w:numPr>
        <w:ind w:firstLine="472" w:firstLineChars="196"/>
        <w:rPr>
          <w:rFonts w:hAnsi="宋体" w:cs="宋体"/>
          <w:color w:val="auto"/>
          <w:highlight w:val="none"/>
        </w:rPr>
      </w:pPr>
      <w:bookmarkStart w:id="38" w:name="_Toc25319"/>
      <w:bookmarkStart w:id="39" w:name="_Toc55202314"/>
      <w:r>
        <w:rPr>
          <w:rFonts w:hint="eastAsia" w:hAnsi="宋体" w:cs="宋体"/>
          <w:color w:val="auto"/>
          <w:highlight w:val="none"/>
        </w:rPr>
        <w:t>谈判响应文件的提交</w:t>
      </w:r>
      <w:bookmarkEnd w:id="38"/>
      <w:bookmarkEnd w:id="39"/>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17.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1661851263@qq.com邮箱。谈判响应人应在竞争性谈判文件截止时间后30分钟内将加密文件电子档密码发至1661851263@qq.com邮箱。本项目实行远程询标。</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19、谈判响应文件的修改与撤回</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在提交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文件以后，在规定的</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截止时间之前，可以以书面形式补充、修改或撤回已提交的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文件，并以书面形式通知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p>
    <w:p>
      <w:pPr>
        <w:widowControl/>
        <w:spacing w:line="500" w:lineRule="exact"/>
        <w:ind w:firstLine="420" w:firstLineChars="200"/>
        <w:jc w:val="left"/>
        <w:rPr>
          <w:rFonts w:ascii="宋体"/>
          <w:color w:val="000000"/>
        </w:rPr>
      </w:pPr>
      <w:r>
        <w:rPr>
          <w:rFonts w:hint="eastAsia" w:ascii="宋体" w:hAnsi="宋体" w:cs="宋体"/>
          <w:color w:val="auto"/>
          <w:szCs w:val="21"/>
          <w:highlight w:val="none"/>
        </w:rPr>
        <w:t>19.2、</w:t>
      </w:r>
      <w:r>
        <w:rPr>
          <w:rFonts w:hint="eastAsia" w:ascii="宋体" w:hAnsi="宋体" w:cs="宋体"/>
          <w:color w:val="000000"/>
        </w:rPr>
        <w:t>在投标截止时间之后，投标人不得对其投标文件做任何修改。</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19.3、在规定的响应文件截止时间之后，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不得补充、修改投标文件。</w:t>
      </w:r>
    </w:p>
    <w:p>
      <w:pPr>
        <w:pStyle w:val="7"/>
        <w:ind w:firstLine="472" w:firstLineChars="196"/>
        <w:rPr>
          <w:rFonts w:hAnsi="宋体" w:cs="宋体"/>
          <w:color w:val="auto"/>
          <w:highlight w:val="none"/>
        </w:rPr>
      </w:pPr>
      <w:bookmarkStart w:id="40" w:name="_Toc23598"/>
      <w:bookmarkStart w:id="41" w:name="_Toc55202315"/>
      <w:r>
        <w:rPr>
          <w:rFonts w:hint="eastAsia" w:hAnsi="宋体" w:cs="宋体"/>
          <w:color w:val="auto"/>
          <w:highlight w:val="none"/>
        </w:rPr>
        <w:t>五、</w:t>
      </w:r>
      <w:bookmarkEnd w:id="40"/>
      <w:r>
        <w:rPr>
          <w:rFonts w:hint="eastAsia" w:hAnsi="宋体" w:cs="宋体"/>
          <w:color w:val="auto"/>
          <w:highlight w:val="none"/>
        </w:rPr>
        <w:t>谈判程序</w:t>
      </w:r>
      <w:bookmarkEnd w:id="41"/>
    </w:p>
    <w:p>
      <w:pPr>
        <w:widowControl/>
        <w:spacing w:line="500" w:lineRule="exact"/>
        <w:ind w:firstLine="422" w:firstLineChars="200"/>
        <w:jc w:val="left"/>
        <w:rPr>
          <w:rFonts w:ascii="宋体" w:hAnsi="宋体" w:cs="宋体"/>
          <w:color w:val="000000"/>
          <w:szCs w:val="21"/>
          <w:highlight w:val="none"/>
        </w:rPr>
      </w:pPr>
      <w:bookmarkStart w:id="42" w:name="_Toc28310"/>
      <w:bookmarkStart w:id="43" w:name="_Toc55202316"/>
      <w:r>
        <w:rPr>
          <w:rFonts w:hint="eastAsia" w:ascii="宋体" w:hAnsi="宋体" w:cs="宋体"/>
          <w:b/>
          <w:bCs/>
          <w:color w:val="000000"/>
          <w:szCs w:val="21"/>
          <w:highlight w:val="none"/>
        </w:rPr>
        <w:t>20、谈判时间和地点：</w:t>
      </w:r>
      <w:r>
        <w:rPr>
          <w:rFonts w:hint="eastAsia" w:ascii="宋体" w:hAnsi="宋体" w:cs="宋体"/>
          <w:color w:val="000000"/>
          <w:szCs w:val="21"/>
          <w:highlight w:val="none"/>
        </w:rPr>
        <w:t>采购单位将在“谈判响应人须知前附表”约定的时间和地点谈判。</w:t>
      </w:r>
    </w:p>
    <w:p>
      <w:pPr>
        <w:widowControl/>
        <w:spacing w:line="500" w:lineRule="exact"/>
        <w:ind w:firstLine="422" w:firstLineChars="200"/>
        <w:jc w:val="left"/>
        <w:rPr>
          <w:rFonts w:ascii="宋体" w:hAnsi="宋体" w:cs="宋体"/>
          <w:color w:val="000000"/>
          <w:szCs w:val="21"/>
          <w:highlight w:val="none"/>
        </w:rPr>
      </w:pPr>
      <w:r>
        <w:rPr>
          <w:rFonts w:hint="eastAsia" w:ascii="宋体" w:hAnsi="宋体" w:cs="宋体"/>
          <w:b/>
          <w:bCs/>
          <w:color w:val="000000"/>
          <w:szCs w:val="21"/>
          <w:highlight w:val="none"/>
        </w:rPr>
        <w:t>21、谈判程序</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21.1.2、宣布开标纪律；</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现场开启</w:t>
      </w:r>
      <w:r>
        <w:rPr>
          <w:rFonts w:hint="eastAsia" w:ascii="宋体" w:hAnsi="宋体" w:cs="宋体"/>
          <w:color w:val="auto"/>
          <w:szCs w:val="21"/>
          <w:highlight w:val="none"/>
          <w:lang w:val="en-US" w:eastAsia="zh-CN"/>
        </w:rPr>
        <w:t>电子</w:t>
      </w:r>
      <w:r>
        <w:rPr>
          <w:rFonts w:hint="eastAsia" w:ascii="宋体" w:hAnsi="宋体" w:cs="宋体"/>
          <w:color w:val="auto"/>
          <w:szCs w:val="21"/>
          <w:highlight w:val="none"/>
        </w:rPr>
        <w:t>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由采购人代表查验谈判响应人获取谈判文件情况并宣布查验结果；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谈判小组</w:t>
      </w:r>
      <w:r>
        <w:rPr>
          <w:rFonts w:hint="eastAsia" w:ascii="宋体" w:hAnsi="宋体" w:cs="宋体"/>
          <w:color w:val="auto"/>
          <w:szCs w:val="21"/>
          <w:highlight w:val="none"/>
          <w:lang w:val="en-US" w:eastAsia="zh-CN"/>
        </w:rPr>
        <w:t>通过电话</w:t>
      </w:r>
      <w:r>
        <w:rPr>
          <w:rFonts w:hint="eastAsia" w:ascii="宋体" w:hAnsi="宋体" w:cs="宋体"/>
          <w:color w:val="auto"/>
          <w:szCs w:val="21"/>
          <w:highlight w:val="none"/>
        </w:rPr>
        <w:t>与各个谈判响应人进行谈判；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各个谈判响应人进行最终报价；</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复会，宣布评审结果。</w:t>
      </w:r>
    </w:p>
    <w:p>
      <w:pPr>
        <w:widowControl/>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22、谈判响应文件的有效性</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22.1、谈判响应文件有下列情形之一的，将不予受理： </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（1）逾期</w:t>
      </w:r>
      <w:r>
        <w:rPr>
          <w:rFonts w:hint="eastAsia" w:ascii="宋体" w:hAnsi="宋体" w:cs="宋体"/>
          <w:color w:val="auto"/>
          <w:szCs w:val="21"/>
          <w:highlight w:val="none"/>
          <w:lang w:val="en-US" w:eastAsia="zh-CN"/>
        </w:rPr>
        <w:t>提交响应文件的</w:t>
      </w:r>
      <w:r>
        <w:rPr>
          <w:rFonts w:hint="eastAsia" w:ascii="宋体" w:hAnsi="宋体" w:cs="宋体"/>
          <w:color w:val="auto"/>
          <w:szCs w:val="21"/>
          <w:highlight w:val="none"/>
        </w:rPr>
        <w:t xml:space="preserve">； </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22.2、开标过程中发现有下列情况的，由谈判小组评审后，认定为谈判响应无效：</w:t>
      </w:r>
    </w:p>
    <w:p>
      <w:pPr>
        <w:widowControl/>
        <w:spacing w:line="360" w:lineRule="auto"/>
        <w:ind w:firstLine="420" w:firstLineChars="200"/>
        <w:jc w:val="left"/>
        <w:rPr>
          <w:rFonts w:ascii="宋体" w:hAnsi="宋体" w:cs="宋体"/>
          <w:color w:val="0000FF"/>
          <w:szCs w:val="21"/>
          <w:highlight w:val="none"/>
        </w:rPr>
      </w:pPr>
      <w:r>
        <w:rPr>
          <w:rFonts w:hint="eastAsia" w:ascii="宋体" w:hAnsi="宋体" w:cs="宋体"/>
          <w:color w:val="000000"/>
          <w:szCs w:val="21"/>
          <w:highlight w:val="none"/>
        </w:rPr>
        <w:t>22.2.1、</w:t>
      </w:r>
      <w:r>
        <w:rPr>
          <w:rFonts w:hint="eastAsia" w:ascii="宋体" w:hAnsi="宋体" w:cs="宋体"/>
          <w:color w:val="auto"/>
          <w:highlight w:val="none"/>
        </w:rPr>
        <w:t>谈判响应文件封面、谈判响应函、</w:t>
      </w:r>
      <w:r>
        <w:rPr>
          <w:rFonts w:hint="eastAsia" w:ascii="宋体" w:hAnsi="宋体" w:cs="宋体"/>
          <w:color w:val="auto"/>
          <w:highlight w:val="none"/>
          <w:lang w:val="en-US" w:eastAsia="zh-CN"/>
        </w:rPr>
        <w:t>谈判</w:t>
      </w:r>
      <w:r>
        <w:rPr>
          <w:rFonts w:hint="eastAsia" w:ascii="宋体" w:hAnsi="宋体" w:cs="宋体"/>
          <w:color w:val="auto"/>
          <w:highlight w:val="none"/>
        </w:rPr>
        <w:t>报价表</w:t>
      </w:r>
      <w:r>
        <w:rPr>
          <w:rFonts w:hint="eastAsia" w:ascii="宋体" w:hAnsi="宋体" w:eastAsia="宋体" w:cs="宋体"/>
          <w:color w:val="auto"/>
          <w:highlight w:val="none"/>
        </w:rPr>
        <w:t xml:space="preserve">不符合谈判文件要求拒绝补齐签字或拒绝承诺在合同签订前加盖印章的； </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22.2.2</w:t>
      </w:r>
      <w:r>
        <w:rPr>
          <w:rFonts w:ascii="宋体" w:hAnsi="宋体" w:cs="宋体"/>
          <w:color w:val="000000"/>
          <w:szCs w:val="21"/>
          <w:highlight w:val="none"/>
        </w:rPr>
        <w:t xml:space="preserve">  </w:t>
      </w:r>
      <w:r>
        <w:rPr>
          <w:rFonts w:hint="eastAsia" w:ascii="宋体" w:hAnsi="宋体" w:cs="宋体"/>
          <w:color w:val="000000"/>
          <w:szCs w:val="21"/>
          <w:highlight w:val="none"/>
        </w:rPr>
        <w:t>谈判响应报价高于谈判最高限价的；</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22.2.3、法律、法规及竞争性谈判文件约定的其它情形。</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22.3、谈判响应人存在下列情形之一，经谈判小组评审后，认定为谈判响应无效：</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(1)被责令停业且处于有效期内的；</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(2)被安庆市行政区域内公共资源交易监管部门限制投标资格且处于有效期内；</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(3)财产被接管或冻结可能影响本项目正常实施的；</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000000"/>
          <w:szCs w:val="21"/>
          <w:highlight w:val="none"/>
        </w:rPr>
        <w:t>(4)法律、法规规定及竞争性谈判文件约定的其他情形。</w:t>
      </w:r>
    </w:p>
    <w:p>
      <w:pPr>
        <w:widowControl/>
        <w:spacing w:line="500" w:lineRule="exact"/>
        <w:ind w:firstLine="420"/>
        <w:jc w:val="left"/>
        <w:rPr>
          <w:rFonts w:ascii="宋体" w:hAnsi="宋体" w:cs="宋体"/>
          <w:color w:val="auto"/>
          <w:szCs w:val="21"/>
          <w:highlight w:val="none"/>
        </w:rPr>
      </w:pPr>
      <w:r>
        <w:rPr>
          <w:rFonts w:ascii="宋体" w:hAnsi="宋体"/>
          <w:color w:val="auto"/>
          <w:szCs w:val="21"/>
          <w:highlight w:val="none"/>
        </w:rPr>
        <w:t>22.4 各级人民政府财政部门依法对参加政府采购活动的供应商作出的禁止参加政府采购活动等行政处罚决定在全国范围内生效。</w:t>
      </w:r>
      <w:r>
        <w:rPr>
          <w:rFonts w:hint="eastAsia" w:ascii="宋体" w:hAnsi="宋体"/>
          <w:color w:val="auto"/>
          <w:szCs w:val="21"/>
          <w:highlight w:val="none"/>
        </w:rPr>
        <w:t>谈判响应人受到</w:t>
      </w:r>
      <w:r>
        <w:rPr>
          <w:rFonts w:ascii="宋体" w:hAnsi="宋体"/>
          <w:color w:val="auto"/>
          <w:szCs w:val="21"/>
          <w:highlight w:val="none"/>
        </w:rPr>
        <w:t>财政部门依法</w:t>
      </w:r>
      <w:r>
        <w:rPr>
          <w:rFonts w:hint="eastAsia" w:ascii="宋体" w:hAnsi="宋体"/>
          <w:color w:val="auto"/>
          <w:szCs w:val="21"/>
          <w:highlight w:val="none"/>
        </w:rPr>
        <w:t>作出的</w:t>
      </w:r>
      <w:r>
        <w:rPr>
          <w:rFonts w:ascii="宋体" w:hAnsi="宋体"/>
          <w:color w:val="auto"/>
          <w:szCs w:val="21"/>
          <w:highlight w:val="none"/>
        </w:rPr>
        <w:t>禁止参加政府采购活动</w:t>
      </w:r>
      <w:r>
        <w:rPr>
          <w:rFonts w:hint="eastAsia" w:ascii="宋体" w:hAnsi="宋体"/>
          <w:color w:val="auto"/>
          <w:szCs w:val="21"/>
          <w:highlight w:val="none"/>
        </w:rPr>
        <w:t>且在有效期内的</w:t>
      </w:r>
      <w:r>
        <w:rPr>
          <w:rFonts w:ascii="宋体" w:hAnsi="宋体"/>
          <w:color w:val="auto"/>
          <w:szCs w:val="21"/>
          <w:highlight w:val="none"/>
        </w:rPr>
        <w:t>行政处罚</w:t>
      </w:r>
      <w:r>
        <w:rPr>
          <w:rFonts w:hint="eastAsia" w:ascii="宋体" w:hAnsi="宋体"/>
          <w:color w:val="auto"/>
          <w:szCs w:val="21"/>
          <w:highlight w:val="none"/>
        </w:rPr>
        <w:t>，其谈判响应无效。</w:t>
      </w:r>
    </w:p>
    <w:p>
      <w:pPr>
        <w:pStyle w:val="7"/>
        <w:spacing w:line="360" w:lineRule="auto"/>
        <w:ind w:firstLine="472" w:firstLineChars="196"/>
        <w:rPr>
          <w:rFonts w:hAnsi="宋体" w:cs="宋体"/>
          <w:color w:val="auto"/>
          <w:highlight w:val="none"/>
        </w:rPr>
      </w:pPr>
      <w:r>
        <w:rPr>
          <w:rFonts w:hint="eastAsia" w:hAnsi="宋体" w:cs="宋体"/>
          <w:color w:val="auto"/>
          <w:highlight w:val="none"/>
        </w:rPr>
        <w:t>六、</w:t>
      </w:r>
      <w:bookmarkEnd w:id="42"/>
      <w:r>
        <w:rPr>
          <w:rFonts w:hint="eastAsia" w:hAnsi="宋体" w:cs="宋体"/>
          <w:color w:val="auto"/>
          <w:highlight w:val="none"/>
        </w:rPr>
        <w:t>谈判</w:t>
      </w:r>
      <w:bookmarkEnd w:id="43"/>
    </w:p>
    <w:p>
      <w:pPr>
        <w:widowControl/>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 xml:space="preserve">    23、谈判小组</w:t>
      </w:r>
      <w:r>
        <w:rPr>
          <w:rFonts w:hint="eastAsia" w:ascii="宋体" w:hAnsi="宋体" w:cs="宋体"/>
          <w:color w:val="auto"/>
          <w:szCs w:val="21"/>
          <w:highlight w:val="none"/>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24、评审方法：</w:t>
      </w:r>
      <w:r>
        <w:rPr>
          <w:rFonts w:hint="eastAsia" w:ascii="宋体" w:hAnsi="宋体" w:cs="宋体"/>
          <w:color w:val="auto"/>
          <w:szCs w:val="21"/>
          <w:highlight w:val="none"/>
        </w:rPr>
        <w:t>本次谈判采用符合性评审的有效最低价评审方法。</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25、评审程序</w:t>
      </w:r>
      <w:r>
        <w:rPr>
          <w:rFonts w:hint="eastAsia" w:ascii="宋体" w:hAnsi="宋体" w:cs="宋体"/>
          <w:color w:val="auto"/>
          <w:szCs w:val="21"/>
          <w:highlight w:val="none"/>
        </w:rPr>
        <w:t>：评审按照谈判响应文件符合性审查、报价评审、澄清有关问题、失信核查和确定成交候选人排序进行评审。</w:t>
      </w:r>
      <w:r>
        <w:rPr>
          <w:rFonts w:hint="eastAsia" w:ascii="宋体" w:hAnsi="宋体" w:cs="宋体"/>
          <w:b/>
          <w:bCs/>
          <w:color w:val="auto"/>
          <w:szCs w:val="21"/>
          <w:highlight w:val="none"/>
        </w:rPr>
        <w:t>如有任一项未通过的则不进入下一项评审。</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25.1、谈判响应文件符合性审查，包括但不限于以下内容：</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（1）谈判响应人资格是否符合竞争性谈判文件要求；</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（2）谈判响应文件是否按竞争性谈判文件的要求进行编制、盖章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签字</w:t>
      </w:r>
      <w:r>
        <w:rPr>
          <w:rFonts w:hint="eastAsia" w:ascii="宋体" w:hAnsi="宋体" w:cs="宋体"/>
          <w:color w:val="auto"/>
          <w:szCs w:val="21"/>
          <w:highlight w:val="none"/>
        </w:rPr>
        <w:t>和标记</w:t>
      </w:r>
      <w:r>
        <w:rPr>
          <w:rFonts w:hint="eastAsia"/>
          <w:color w:val="auto"/>
          <w:highlight w:val="none"/>
          <w:lang w:eastAsia="zh-CN"/>
        </w:rPr>
        <w:t>（</w:t>
      </w:r>
      <w:r>
        <w:rPr>
          <w:rFonts w:hint="eastAsia"/>
          <w:color w:val="auto"/>
          <w:highlight w:val="none"/>
          <w:lang w:val="en-US" w:eastAsia="zh-CN"/>
        </w:rPr>
        <w:t>另有约定的除外</w:t>
      </w:r>
      <w:r>
        <w:rPr>
          <w:rFonts w:hint="eastAsia"/>
          <w:color w:val="auto"/>
          <w:highlight w:val="none"/>
          <w:lang w:eastAsia="zh-CN"/>
        </w:rPr>
        <w:t>）</w:t>
      </w:r>
      <w:r>
        <w:rPr>
          <w:rFonts w:hint="eastAsia" w:ascii="宋体" w:hAnsi="宋体" w:cs="宋体"/>
          <w:color w:val="auto"/>
          <w:szCs w:val="21"/>
          <w:highlight w:val="none"/>
        </w:rPr>
        <w:t>；</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（3）竞争性谈判文件要求提交的各种资格证明文件是否真实、完整、合法、有效；</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）所提供的</w:t>
      </w:r>
      <w:r>
        <w:rPr>
          <w:rFonts w:hint="eastAsia" w:ascii="宋体" w:hAnsi="宋体" w:cs="宋体"/>
          <w:color w:val="auto"/>
          <w:szCs w:val="21"/>
          <w:highlight w:val="none"/>
          <w:lang w:val="en-US" w:eastAsia="zh-CN"/>
        </w:rPr>
        <w:t>施工内容、服务</w:t>
      </w:r>
      <w:r>
        <w:rPr>
          <w:rFonts w:hint="eastAsia" w:ascii="宋体" w:hAnsi="宋体" w:cs="宋体"/>
          <w:color w:val="auto"/>
          <w:szCs w:val="21"/>
          <w:highlight w:val="none"/>
        </w:rPr>
        <w:t>是否有缺少；</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）谈判响应文件对法律、法规和竞争性谈判文件其他明确要求的符合性；</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）联合体谈判响应是否提交联合体谈判响应协议书，且联合体协议书中是否明确牵头单位；</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）谈判响应文件是否附有采购人不能接受的条件；</w:t>
      </w:r>
    </w:p>
    <w:p>
      <w:pPr>
        <w:widowControl/>
        <w:spacing w:line="360" w:lineRule="auto"/>
        <w:ind w:firstLine="405"/>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）谈判响应文件是否存在竞争性谈判文件中约定的无效谈判响应文件的其他情形；</w:t>
      </w:r>
    </w:p>
    <w:p>
      <w:pPr>
        <w:widowControl/>
        <w:spacing w:line="500" w:lineRule="exact"/>
        <w:ind w:firstLine="405"/>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）谈判响应文件是否符合竞争性谈判文件的要求。</w:t>
      </w:r>
    </w:p>
    <w:p>
      <w:pPr>
        <w:widowControl/>
        <w:spacing w:line="500" w:lineRule="exact"/>
        <w:ind w:firstLine="40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不存在第二章“谈判响应人须知”第</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项或第</w:t>
      </w: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项规定的任何一种情形。谈判响应人在谈判响应函中承诺，不需要提供相关证明。</w:t>
      </w:r>
    </w:p>
    <w:p>
      <w:pPr>
        <w:widowControl/>
        <w:spacing w:line="50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25.2、</w:t>
      </w:r>
      <w:r>
        <w:rPr>
          <w:rFonts w:hint="eastAsia" w:ascii="宋体" w:hAnsi="宋体" w:cs="宋体"/>
          <w:b/>
          <w:color w:val="auto"/>
          <w:szCs w:val="21"/>
          <w:highlight w:val="none"/>
        </w:rPr>
        <w:t>谈判文件所有要求提供复印件或影印件的，若在谈判响应文件中未提供响应复印件或影印件，由成交人在签订合同前提交给采购人，否则视为成交人自动放弃成交资格。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25.4、报价评审：谈判响应报价不得超过谈判最高限价，否则报价评审不通过。</w:t>
      </w:r>
    </w:p>
    <w:p>
      <w:pPr>
        <w:widowControl/>
        <w:spacing w:line="360" w:lineRule="auto"/>
        <w:ind w:firstLine="430"/>
        <w:jc w:val="left"/>
        <w:rPr>
          <w:rFonts w:ascii="宋体" w:hAnsi="宋体" w:cs="宋体"/>
          <w:b/>
          <w:color w:val="auto"/>
          <w:szCs w:val="21"/>
          <w:highlight w:val="none"/>
        </w:rPr>
      </w:pPr>
      <w:r>
        <w:rPr>
          <w:rFonts w:hint="eastAsia" w:ascii="宋体" w:hAnsi="宋体" w:cs="宋体"/>
          <w:color w:val="auto"/>
          <w:szCs w:val="21"/>
          <w:highlight w:val="none"/>
        </w:rPr>
        <w:t>报价中包含单价与总价的，应审核总价金额与按单价汇总金额是否一致</w:t>
      </w:r>
      <w:r>
        <w:rPr>
          <w:rFonts w:hint="eastAsia" w:ascii="宋体" w:hAnsi="宋体" w:cs="宋体"/>
          <w:b/>
          <w:color w:val="auto"/>
          <w:szCs w:val="21"/>
          <w:highlight w:val="none"/>
        </w:rPr>
        <w:t>。</w:t>
      </w:r>
    </w:p>
    <w:p>
      <w:pPr>
        <w:widowControl/>
        <w:spacing w:line="360" w:lineRule="auto"/>
        <w:ind w:firstLine="430"/>
        <w:jc w:val="left"/>
        <w:rPr>
          <w:rFonts w:ascii="宋体" w:hAnsi="宋体" w:cs="宋体"/>
          <w:color w:val="auto"/>
          <w:szCs w:val="21"/>
          <w:highlight w:val="none"/>
        </w:rPr>
      </w:pPr>
      <w:r>
        <w:rPr>
          <w:rFonts w:hint="eastAsia" w:ascii="宋体" w:hAnsi="宋体" w:cs="宋体"/>
          <w:color w:val="auto"/>
          <w:szCs w:val="21"/>
          <w:highlight w:val="none"/>
        </w:rPr>
        <w:t>25.5、</w:t>
      </w:r>
      <w:r>
        <w:rPr>
          <w:rFonts w:hint="eastAsia" w:ascii="宋体" w:hAnsi="宋体" w:cs="宋体"/>
          <w:color w:val="auto"/>
          <w:szCs w:val="21"/>
        </w:rPr>
        <w:t>谈判小组发现谈判响应人的报价或某些分项报价明显不合理或者低于成本，有可能影响</w:t>
      </w:r>
      <w:r>
        <w:rPr>
          <w:rFonts w:hint="eastAsia" w:ascii="宋体" w:hAnsi="宋体" w:cs="宋体"/>
          <w:color w:val="auto"/>
          <w:szCs w:val="21"/>
          <w:lang w:val="en-US" w:eastAsia="zh-CN"/>
        </w:rPr>
        <w:t>服务</w:t>
      </w:r>
      <w:r>
        <w:rPr>
          <w:rFonts w:hint="eastAsia" w:ascii="宋体" w:hAnsi="宋体" w:cs="宋体"/>
          <w:color w:val="auto"/>
          <w:szCs w:val="21"/>
        </w:rPr>
        <w:t>质量和不能诚信履约的，应当要求其在30分钟内</w:t>
      </w:r>
      <w:r>
        <w:rPr>
          <w:rFonts w:hint="eastAsia" w:ascii="宋体" w:hAnsi="宋体" w:cs="宋体"/>
          <w:color w:val="auto"/>
          <w:szCs w:val="21"/>
          <w:lang w:val="en-US" w:eastAsia="zh-CN"/>
        </w:rPr>
        <w:t>通过1661851263@qq.com电子邮箱</w:t>
      </w:r>
      <w:r>
        <w:rPr>
          <w:rFonts w:hint="eastAsia" w:ascii="宋体" w:hAnsi="宋体" w:cs="宋体"/>
          <w:color w:val="auto"/>
          <w:szCs w:val="21"/>
        </w:rPr>
        <w:t>书面予以解释说明，并提交相关证明材料；否则，谈判小组可以取消该谈判响应人的成交候选资格，按顺序由排在后面的成交候选人递补，以此类推。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color w:val="auto"/>
          <w:szCs w:val="21"/>
          <w:highlight w:val="none"/>
        </w:rPr>
      </w:pPr>
      <w:r>
        <w:rPr>
          <w:rFonts w:hint="eastAsia" w:ascii="宋体" w:hAnsi="宋体"/>
          <w:b/>
          <w:color w:val="auto"/>
          <w:szCs w:val="21"/>
          <w:highlight w:val="none"/>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25.7.1</w:t>
      </w:r>
      <w:r>
        <w:rPr>
          <w:rFonts w:hint="eastAsia" w:ascii="宋体" w:hAnsi="宋体" w:cs="宋体"/>
          <w:b/>
          <w:color w:val="auto"/>
          <w:szCs w:val="21"/>
          <w:highlight w:val="none"/>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color w:val="auto"/>
          <w:szCs w:val="21"/>
          <w:highlight w:val="none"/>
        </w:rPr>
        <w:t>。</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25.7.2</w:t>
      </w:r>
      <w:r>
        <w:rPr>
          <w:rFonts w:hint="eastAsia" w:ascii="宋体" w:hAnsi="宋体" w:cs="宋体"/>
          <w:b/>
          <w:color w:val="auto"/>
          <w:szCs w:val="21"/>
          <w:highlight w:val="none"/>
        </w:rPr>
        <w:t>谈判响应人根据谈判小组要求进行最终报价，且最终报价不得高于首轮报价</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谈判响应人</w:t>
      </w:r>
      <w:r>
        <w:rPr>
          <w:rFonts w:hint="eastAsia" w:ascii="宋体" w:hAnsi="宋体" w:cs="宋体"/>
          <w:b/>
          <w:color w:val="auto"/>
          <w:szCs w:val="21"/>
          <w:highlight w:val="none"/>
          <w:lang w:val="en-US" w:eastAsia="zh-CN"/>
        </w:rPr>
        <w:t>将</w:t>
      </w:r>
      <w:r>
        <w:rPr>
          <w:rFonts w:hint="eastAsia" w:ascii="宋体" w:hAnsi="宋体" w:cs="宋体"/>
          <w:b/>
          <w:color w:val="auto"/>
          <w:szCs w:val="21"/>
          <w:highlight w:val="none"/>
        </w:rPr>
        <w:t>最终报价表制作完成并加盖谈判响应人公章（PDF等不可编辑的电子文件）后应对最终报价表进行文档加密</w:t>
      </w:r>
      <w:r>
        <w:rPr>
          <w:rFonts w:hint="eastAsia" w:ascii="宋体" w:hAnsi="宋体" w:cs="宋体"/>
          <w:b/>
          <w:color w:val="auto"/>
          <w:szCs w:val="21"/>
          <w:highlight w:val="none"/>
          <w:lang w:eastAsia="zh-CN"/>
        </w:rPr>
        <w:t>，谈判响应人将加密最终报价表电子档发至</w:t>
      </w:r>
      <w:r>
        <w:rPr>
          <w:rFonts w:hint="eastAsia" w:ascii="宋体" w:hAnsi="宋体" w:cs="宋体"/>
          <w:b/>
          <w:color w:val="auto"/>
          <w:szCs w:val="21"/>
          <w:highlight w:val="none"/>
          <w:lang w:val="en-US" w:eastAsia="zh-CN"/>
        </w:rPr>
        <w:t>1661851263</w:t>
      </w:r>
      <w:r>
        <w:rPr>
          <w:rFonts w:hint="eastAsia" w:ascii="宋体" w:hAnsi="宋体" w:cs="宋体"/>
          <w:b/>
          <w:color w:val="auto"/>
          <w:szCs w:val="21"/>
          <w:highlight w:val="none"/>
          <w:lang w:eastAsia="zh-CN"/>
        </w:rPr>
        <w:t>@qq.com邮箱。开启时工作人员通过电话向各响应人获取密码解密。</w:t>
      </w:r>
    </w:p>
    <w:p>
      <w:pPr>
        <w:widowControl/>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25.</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确定成交候选人排序：谈判小组对通过谈判响应文件符合性审查、报价评审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26、</w:t>
      </w:r>
      <w:r>
        <w:rPr>
          <w:rFonts w:hint="eastAsia" w:ascii="宋体" w:hAnsi="宋体" w:cs="宋体"/>
          <w:b/>
          <w:color w:val="auto"/>
          <w:szCs w:val="21"/>
          <w:highlight w:val="none"/>
        </w:rPr>
        <w:t>谈判评审</w:t>
      </w:r>
      <w:r>
        <w:rPr>
          <w:rFonts w:hint="eastAsia" w:ascii="宋体" w:hAnsi="宋体" w:cs="宋体"/>
          <w:b/>
          <w:bCs/>
          <w:color w:val="auto"/>
          <w:szCs w:val="21"/>
          <w:highlight w:val="none"/>
        </w:rPr>
        <w:t>异常情况处理</w:t>
      </w:r>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在竞争性谈判采购中，出现下列情况之一的，应予废标，采购单位重新组织采购：</w:t>
      </w:r>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(1) 符合专业条件的谈判响应人或者对竞争性谈判文件作实质响应的谈判响应人不足三家的；</w:t>
      </w:r>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(2)</w:t>
      </w:r>
      <w:r>
        <w:rPr>
          <w:rFonts w:hint="eastAsia" w:ascii="宋体" w:hAnsi="宋体" w:cs="宋体"/>
          <w:color w:val="auto"/>
          <w:szCs w:val="21"/>
          <w:highlight w:val="none"/>
        </w:rPr>
        <w:tab/>
      </w:r>
      <w:r>
        <w:rPr>
          <w:rFonts w:hint="eastAsia" w:ascii="宋体" w:hAnsi="宋体" w:cs="宋体"/>
          <w:color w:val="auto"/>
          <w:szCs w:val="21"/>
          <w:highlight w:val="none"/>
        </w:rPr>
        <w:t>出现影响采购公正的违法、违规行为的；</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(3)</w:t>
      </w:r>
      <w:r>
        <w:rPr>
          <w:rFonts w:hint="eastAsia" w:ascii="宋体" w:hAnsi="宋体" w:cs="宋体"/>
          <w:color w:val="auto"/>
          <w:szCs w:val="21"/>
          <w:highlight w:val="none"/>
        </w:rPr>
        <w:tab/>
      </w:r>
      <w:r>
        <w:rPr>
          <w:rFonts w:hint="eastAsia" w:ascii="宋体" w:hAnsi="宋体" w:cs="宋体"/>
          <w:color w:val="auto"/>
          <w:szCs w:val="21"/>
          <w:highlight w:val="none"/>
        </w:rPr>
        <w:t>谈判响应人的总报价均超过了谈判最高限价，采购人不能支付的；</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因重大变故，采购任务取消的。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27、谈判过程的保密性</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27.2、在评审过程中，谈判响应人如向谈判小组成员施加任何影响，都将会导致其谈判响应文件被拒绝。   </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27.3、成交人确定后，采购单位不对未成交人就评审过程以及未能成交原因做出任何解释。谈判响应人不得向谈判小组组成人员或其他有关人员询问评审过程的情况和要求提供材料。</w:t>
      </w:r>
      <w:bookmarkStart w:id="44" w:name="_Toc418517858"/>
      <w:bookmarkStart w:id="45" w:name="_Toc417655921"/>
      <w:bookmarkStart w:id="46" w:name="_Toc15032"/>
    </w:p>
    <w:p>
      <w:pPr>
        <w:widowControl/>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27.4、</w:t>
      </w:r>
      <w:r>
        <w:rPr>
          <w:rFonts w:hint="eastAsia" w:ascii="宋体" w:hAnsi="宋体" w:cs="宋体"/>
          <w:color w:val="auto"/>
          <w:szCs w:val="21"/>
          <w:highlight w:val="none"/>
          <w:lang w:val="en-US" w:eastAsia="zh-CN"/>
        </w:rPr>
        <w:t>招标代理费</w:t>
      </w:r>
      <w:r>
        <w:rPr>
          <w:rFonts w:hint="eastAsia" w:ascii="宋体" w:hAnsi="宋体" w:cs="宋体"/>
          <w:color w:val="auto"/>
          <w:szCs w:val="21"/>
          <w:highlight w:val="none"/>
          <w:lang w:eastAsia="zh-CN"/>
        </w:rPr>
        <w:t>、工程量清单和最高投标限价编制费</w:t>
      </w:r>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27.4.1、成交人应在收到缴费通知后三日内按竞争性谈判文件要求缴纳</w:t>
      </w:r>
      <w:r>
        <w:rPr>
          <w:rFonts w:hint="eastAsia" w:ascii="宋体" w:hAnsi="宋体" w:cs="宋体"/>
          <w:color w:val="auto"/>
          <w:szCs w:val="21"/>
          <w:highlight w:val="none"/>
          <w:lang w:val="en-US" w:eastAsia="zh-CN"/>
        </w:rPr>
        <w:t>招标代理费</w:t>
      </w:r>
      <w:r>
        <w:rPr>
          <w:rFonts w:hint="eastAsia" w:ascii="宋体" w:hAnsi="宋体" w:cs="宋体"/>
          <w:color w:val="auto"/>
          <w:szCs w:val="21"/>
          <w:highlight w:val="none"/>
          <w:lang w:eastAsia="zh-CN"/>
        </w:rPr>
        <w:t>、工程量清单和最高投标限价编制费</w:t>
      </w:r>
      <w:r>
        <w:rPr>
          <w:rFonts w:hint="eastAsia" w:ascii="宋体" w:hAnsi="宋体"/>
          <w:color w:val="auto"/>
          <w:szCs w:val="21"/>
          <w:highlight w:val="none"/>
        </w:rPr>
        <w:t>，完成缴费后请</w:t>
      </w:r>
      <w:r>
        <w:rPr>
          <w:rFonts w:ascii="宋体" w:hAnsi="宋体"/>
          <w:color w:val="auto"/>
          <w:szCs w:val="21"/>
          <w:highlight w:val="none"/>
        </w:rPr>
        <w:t>在</w:t>
      </w:r>
      <w:r>
        <w:rPr>
          <w:rFonts w:hint="eastAsia" w:ascii="宋体" w:hAnsi="宋体"/>
          <w:color w:val="auto"/>
          <w:szCs w:val="21"/>
          <w:highlight w:val="none"/>
        </w:rPr>
        <w:t>7</w:t>
      </w:r>
      <w:r>
        <w:rPr>
          <w:rFonts w:ascii="宋体" w:hAnsi="宋体"/>
          <w:color w:val="auto"/>
          <w:szCs w:val="21"/>
          <w:highlight w:val="none"/>
        </w:rPr>
        <w:t>个工作日内前来开具增值税发票，逾期按普票开具，不再开具专票。</w:t>
      </w:r>
    </w:p>
    <w:p>
      <w:pPr>
        <w:widowControl/>
        <w:spacing w:line="360" w:lineRule="auto"/>
        <w:ind w:firstLine="405"/>
        <w:jc w:val="left"/>
        <w:rPr>
          <w:rFonts w:ascii="宋体" w:hAnsi="宋体" w:cs="宋体"/>
          <w:color w:val="auto"/>
          <w:szCs w:val="21"/>
          <w:highlight w:val="none"/>
        </w:rPr>
      </w:pPr>
      <w:r>
        <w:rPr>
          <w:rFonts w:hint="eastAsia" w:ascii="宋体" w:hAnsi="宋体" w:cs="宋体"/>
          <w:color w:val="auto"/>
          <w:szCs w:val="21"/>
          <w:highlight w:val="none"/>
        </w:rPr>
        <w:t>27.4.2、</w:t>
      </w:r>
      <w:r>
        <w:rPr>
          <w:rFonts w:hint="eastAsia" w:ascii="宋体" w:hAnsi="宋体" w:cs="宋体"/>
          <w:color w:val="auto"/>
          <w:szCs w:val="21"/>
          <w:highlight w:val="none"/>
          <w:lang w:val="en-US" w:eastAsia="zh-CN"/>
        </w:rPr>
        <w:t>招标代理费</w:t>
      </w:r>
      <w:r>
        <w:rPr>
          <w:rFonts w:hint="eastAsia" w:ascii="宋体" w:hAnsi="宋体" w:cs="宋体"/>
          <w:color w:val="auto"/>
          <w:szCs w:val="21"/>
          <w:highlight w:val="none"/>
        </w:rPr>
        <w:t>按差额定率累进法计算。以成交价为计算基数，按下表约定的</w:t>
      </w:r>
      <w:r>
        <w:rPr>
          <w:rFonts w:hint="eastAsia" w:ascii="宋体" w:hAnsi="宋体" w:cs="宋体"/>
          <w:color w:val="auto"/>
          <w:szCs w:val="21"/>
          <w:highlight w:val="none"/>
          <w:u w:val="single"/>
          <w:lang w:val="en-US" w:eastAsia="zh-CN"/>
        </w:rPr>
        <w:t>工程</w:t>
      </w:r>
      <w:r>
        <w:rPr>
          <w:rFonts w:hint="eastAsia" w:ascii="宋体" w:hAnsi="宋体" w:cs="宋体"/>
          <w:color w:val="auto"/>
          <w:szCs w:val="21"/>
          <w:highlight w:val="none"/>
        </w:rPr>
        <w:t>标准的80%收取。</w:t>
      </w:r>
    </w:p>
    <w:tbl>
      <w:tblPr>
        <w:tblStyle w:val="2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szCs w:val="21"/>
                <w:highlight w:val="none"/>
              </w:rPr>
              <w:t xml:space="preserve">          费率</w:t>
            </w:r>
          </w:p>
          <w:p>
            <w:pPr>
              <w:rPr>
                <w:rFonts w:ascii="宋体" w:hAnsi="宋体" w:cs="宋体"/>
                <w:color w:val="auto"/>
                <w:szCs w:val="21"/>
                <w:highlight w:val="none"/>
              </w:rPr>
            </w:pPr>
            <w:r>
              <w:rPr>
                <w:rFonts w:hint="eastAsia" w:ascii="宋体" w:hAnsi="宋体" w:cs="宋体"/>
                <w:color w:val="auto"/>
                <w:szCs w:val="21"/>
                <w:highlight w:val="none"/>
              </w:rPr>
              <w:t>成交价</w:t>
            </w:r>
          </w:p>
        </w:tc>
        <w:tc>
          <w:tcPr>
            <w:tcW w:w="1755" w:type="dxa"/>
            <w:vAlign w:val="center"/>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218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color w:val="auto"/>
                <w:szCs w:val="21"/>
                <w:highlight w:val="none"/>
              </w:rPr>
            </w:pPr>
            <w:r>
              <w:rPr>
                <w:rFonts w:hint="eastAsia" w:ascii="宋体" w:hAnsi="宋体" w:cs="宋体"/>
                <w:color w:val="auto"/>
                <w:szCs w:val="21"/>
                <w:highlight w:val="none"/>
              </w:rPr>
              <w:t>100万元以下</w:t>
            </w:r>
          </w:p>
        </w:tc>
        <w:tc>
          <w:tcPr>
            <w:tcW w:w="1755" w:type="dxa"/>
          </w:tcPr>
          <w:p>
            <w:pPr>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682"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2186"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highlight w:val="none"/>
              </w:rPr>
            </w:pPr>
            <w:r>
              <w:rPr>
                <w:rFonts w:hint="eastAsia" w:ascii="宋体" w:hAnsi="宋体" w:cs="宋体"/>
                <w:color w:val="auto"/>
                <w:szCs w:val="21"/>
                <w:highlight w:val="none"/>
              </w:rPr>
              <w:t>100～500万元</w:t>
            </w:r>
          </w:p>
        </w:tc>
        <w:tc>
          <w:tcPr>
            <w:tcW w:w="1755"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682"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2186"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highlight w:val="none"/>
              </w:rPr>
            </w:pPr>
            <w:r>
              <w:rPr>
                <w:rFonts w:hint="eastAsia" w:ascii="宋体" w:hAnsi="宋体" w:cs="宋体"/>
                <w:color w:val="auto"/>
                <w:szCs w:val="21"/>
                <w:highlight w:val="none"/>
              </w:rPr>
              <w:t>500～1000万元</w:t>
            </w:r>
          </w:p>
        </w:tc>
        <w:tc>
          <w:tcPr>
            <w:tcW w:w="1755" w:type="dxa"/>
          </w:tcPr>
          <w:p>
            <w:pPr>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682"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2186"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highlight w:val="none"/>
              </w:rPr>
            </w:pPr>
            <w:r>
              <w:rPr>
                <w:rFonts w:hint="eastAsia" w:ascii="宋体" w:hAnsi="宋体" w:cs="宋体"/>
                <w:color w:val="auto"/>
                <w:szCs w:val="21"/>
                <w:highlight w:val="none"/>
              </w:rPr>
              <w:t>1000～5000万元</w:t>
            </w:r>
          </w:p>
        </w:tc>
        <w:tc>
          <w:tcPr>
            <w:tcW w:w="1755"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682"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2186"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755"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682"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2186"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highlight w:val="none"/>
              </w:rPr>
            </w:pPr>
            <w:r>
              <w:rPr>
                <w:rFonts w:hint="eastAsia" w:ascii="宋体" w:hAnsi="宋体" w:cs="宋体"/>
                <w:color w:val="auto"/>
                <w:szCs w:val="21"/>
                <w:highlight w:val="none"/>
              </w:rPr>
              <w:t>1～5亿元</w:t>
            </w:r>
          </w:p>
        </w:tc>
        <w:tc>
          <w:tcPr>
            <w:tcW w:w="1755" w:type="dxa"/>
          </w:tcPr>
          <w:p>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682" w:type="dxa"/>
          </w:tcPr>
          <w:p>
            <w:pPr>
              <w:jc w:val="center"/>
              <w:rPr>
                <w:rFonts w:ascii="宋体" w:hAnsi="宋体" w:cs="宋体"/>
                <w:color w:val="auto"/>
                <w:szCs w:val="21"/>
                <w:highlight w:val="none"/>
              </w:rPr>
            </w:pPr>
            <w:r>
              <w:rPr>
                <w:rFonts w:hint="eastAsia" w:ascii="宋体" w:hAnsi="宋体" w:cs="宋体"/>
                <w:color w:val="auto"/>
                <w:szCs w:val="21"/>
                <w:highlight w:val="none"/>
              </w:rPr>
              <w:t>0.05%</w:t>
            </w:r>
          </w:p>
        </w:tc>
        <w:tc>
          <w:tcPr>
            <w:tcW w:w="2186" w:type="dxa"/>
          </w:tcPr>
          <w:p>
            <w:pPr>
              <w:jc w:val="center"/>
              <w:rPr>
                <w:rFonts w:ascii="宋体" w:hAnsi="宋体" w:cs="宋体"/>
                <w:color w:val="auto"/>
                <w:szCs w:val="21"/>
                <w:highlight w:val="none"/>
              </w:rPr>
            </w:pPr>
            <w:r>
              <w:rPr>
                <w:rFonts w:hint="eastAsia" w:ascii="宋体" w:hAnsi="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highlight w:val="none"/>
              </w:rPr>
            </w:pPr>
            <w:r>
              <w:rPr>
                <w:rFonts w:hint="eastAsia" w:ascii="宋体" w:hAnsi="宋体" w:cs="宋体"/>
                <w:color w:val="auto"/>
                <w:szCs w:val="21"/>
                <w:highlight w:val="none"/>
              </w:rPr>
              <w:t>5～10亿元</w:t>
            </w:r>
          </w:p>
        </w:tc>
        <w:tc>
          <w:tcPr>
            <w:tcW w:w="1755" w:type="dxa"/>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682" w:type="dxa"/>
          </w:tcPr>
          <w:p>
            <w:pPr>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2186" w:type="dxa"/>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highlight w:val="none"/>
              </w:rPr>
            </w:pPr>
            <w:r>
              <w:rPr>
                <w:rFonts w:hint="eastAsia" w:ascii="宋体" w:hAnsi="宋体" w:cs="宋体"/>
                <w:color w:val="auto"/>
                <w:szCs w:val="21"/>
                <w:highlight w:val="none"/>
              </w:rPr>
              <w:t>10～50亿元</w:t>
            </w:r>
          </w:p>
        </w:tc>
        <w:tc>
          <w:tcPr>
            <w:tcW w:w="1755" w:type="dxa"/>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682" w:type="dxa"/>
          </w:tcPr>
          <w:p>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2186" w:type="dxa"/>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highlight w:val="none"/>
              </w:rPr>
            </w:pPr>
            <w:r>
              <w:rPr>
                <w:rFonts w:hint="eastAsia" w:ascii="宋体" w:hAnsi="宋体" w:cs="宋体"/>
                <w:color w:val="auto"/>
                <w:szCs w:val="21"/>
                <w:highlight w:val="none"/>
              </w:rPr>
              <w:t>50～100亿元</w:t>
            </w:r>
          </w:p>
        </w:tc>
        <w:tc>
          <w:tcPr>
            <w:tcW w:w="1755" w:type="dxa"/>
          </w:tcPr>
          <w:p>
            <w:pPr>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682" w:type="dxa"/>
          </w:tcPr>
          <w:p>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2186" w:type="dxa"/>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color w:val="auto"/>
                <w:szCs w:val="21"/>
                <w:highlight w:val="none"/>
              </w:rPr>
            </w:pPr>
            <w:r>
              <w:rPr>
                <w:rFonts w:hint="eastAsia" w:ascii="宋体" w:hAnsi="宋体" w:cs="宋体"/>
                <w:color w:val="auto"/>
                <w:szCs w:val="21"/>
                <w:highlight w:val="none"/>
              </w:rPr>
              <w:t>100亿以上</w:t>
            </w:r>
          </w:p>
        </w:tc>
        <w:tc>
          <w:tcPr>
            <w:tcW w:w="1755" w:type="dxa"/>
          </w:tcPr>
          <w:p>
            <w:pPr>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682" w:type="dxa"/>
          </w:tcPr>
          <w:p>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2186" w:type="dxa"/>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pPr>
        <w:widowControl/>
        <w:spacing w:line="500" w:lineRule="exact"/>
        <w:ind w:firstLine="421"/>
        <w:jc w:val="left"/>
        <w:rPr>
          <w:rFonts w:hint="eastAsia" w:ascii="宋体" w:hAnsi="宋体" w:cs="宋体"/>
          <w:b/>
          <w:color w:val="auto"/>
          <w:highlight w:val="none"/>
        </w:rPr>
      </w:pPr>
      <w:r>
        <w:rPr>
          <w:rFonts w:hint="eastAsia" w:ascii="宋体" w:hAnsi="宋体" w:cs="宋体"/>
          <w:b/>
          <w:color w:val="auto"/>
          <w:highlight w:val="none"/>
        </w:rPr>
        <w:t>说明:按上述收费标准计算不足1500元的，按1500元计费。</w:t>
      </w:r>
    </w:p>
    <w:p>
      <w:pPr>
        <w:pStyle w:val="16"/>
        <w:pageBreakBefore w:val="0"/>
        <w:kinsoku/>
        <w:wordWrap/>
        <w:overflowPunct/>
        <w:topLinePunct w:val="0"/>
        <w:bidi w:val="0"/>
        <w:spacing w:beforeAutospacing="0" w:afterAutospacing="0" w:line="240" w:lineRule="auto"/>
        <w:ind w:firstLine="420"/>
        <w:rPr>
          <w:rFonts w:hint="eastAsia" w:ascii="宋体" w:hAnsi="宋体" w:eastAsia="宋体" w:cs="宋体"/>
          <w:color w:val="auto"/>
          <w:highlight w:val="none"/>
        </w:rPr>
      </w:pPr>
      <w:r>
        <w:rPr>
          <w:rFonts w:hint="eastAsia" w:ascii="宋体" w:hAnsi="宋体" w:cs="宋体"/>
          <w:b/>
          <w:color w:val="auto"/>
          <w:highlight w:val="none"/>
          <w:lang w:val="en-US" w:eastAsia="zh-CN"/>
        </w:rPr>
        <w:t>27.4.3</w:t>
      </w:r>
      <w:r>
        <w:rPr>
          <w:rFonts w:hint="eastAsia" w:ascii="宋体" w:hAnsi="宋体" w:eastAsia="宋体" w:cs="宋体"/>
          <w:color w:val="auto"/>
          <w:highlight w:val="none"/>
        </w:rPr>
        <w:t>工程量清单和</w:t>
      </w:r>
      <w:r>
        <w:rPr>
          <w:rFonts w:hint="eastAsia" w:hAnsi="宋体" w:eastAsia="宋体" w:cs="宋体"/>
          <w:color w:val="auto"/>
          <w:highlight w:val="none"/>
          <w:lang w:eastAsia="zh-CN"/>
        </w:rPr>
        <w:t>最高投标限价</w:t>
      </w:r>
      <w:r>
        <w:rPr>
          <w:rFonts w:hint="eastAsia" w:ascii="宋体" w:hAnsi="宋体" w:eastAsia="宋体" w:cs="宋体"/>
          <w:color w:val="auto"/>
          <w:highlight w:val="none"/>
        </w:rPr>
        <w:t>编制费：以中标价为计算基数，按照</w:t>
      </w:r>
      <w:r>
        <w:rPr>
          <w:rFonts w:hint="eastAsia" w:ascii="宋体" w:hAnsi="宋体" w:eastAsia="宋体" w:cs="宋体"/>
          <w:color w:val="auto"/>
          <w:highlight w:val="none"/>
          <w:lang w:val="en-US" w:eastAsia="zh-CN"/>
        </w:rPr>
        <w:t>下表</w:t>
      </w:r>
      <w:r>
        <w:rPr>
          <w:rFonts w:hint="eastAsia" w:ascii="宋体" w:hAnsi="宋体" w:eastAsia="宋体" w:cs="宋体"/>
          <w:color w:val="auto"/>
          <w:highlight w:val="none"/>
        </w:rPr>
        <w:t>规定标准70%收取。</w:t>
      </w:r>
    </w:p>
    <w:tbl>
      <w:tblPr>
        <w:tblStyle w:val="27"/>
        <w:tblW w:w="0" w:type="auto"/>
        <w:jc w:val="center"/>
        <w:tblLayout w:type="fixed"/>
        <w:tblCellMar>
          <w:top w:w="0" w:type="dxa"/>
          <w:left w:w="0" w:type="dxa"/>
          <w:bottom w:w="0" w:type="dxa"/>
          <w:right w:w="0" w:type="dxa"/>
        </w:tblCellMar>
      </w:tblPr>
      <w:tblGrid>
        <w:gridCol w:w="1723"/>
        <w:gridCol w:w="837"/>
        <w:gridCol w:w="941"/>
        <w:gridCol w:w="579"/>
        <w:gridCol w:w="547"/>
        <w:gridCol w:w="588"/>
        <w:gridCol w:w="631"/>
        <w:gridCol w:w="575"/>
        <w:gridCol w:w="589"/>
        <w:gridCol w:w="727"/>
        <w:gridCol w:w="773"/>
      </w:tblGrid>
      <w:tr>
        <w:tblPrEx>
          <w:tblCellMar>
            <w:top w:w="0" w:type="dxa"/>
            <w:left w:w="0" w:type="dxa"/>
            <w:bottom w:w="0" w:type="dxa"/>
            <w:right w:w="0" w:type="dxa"/>
          </w:tblCellMar>
        </w:tblPrEx>
        <w:trPr>
          <w:trHeight w:val="546" w:hRule="atLeast"/>
          <w:jc w:val="center"/>
        </w:trPr>
        <w:tc>
          <w:tcPr>
            <w:tcW w:w="2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收费基础</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工程类型</w:t>
            </w:r>
          </w:p>
        </w:tc>
        <w:tc>
          <w:tcPr>
            <w:tcW w:w="5009" w:type="dxa"/>
            <w:gridSpan w:val="8"/>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单位工程金额(万元)</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bCs/>
                <w:color w:val="auto"/>
                <w:sz w:val="21"/>
                <w:highlight w:val="none"/>
              </w:rPr>
              <w:t xml:space="preserve">费率：‰ </w:t>
            </w:r>
          </w:p>
        </w:tc>
      </w:tr>
      <w:tr>
        <w:tblPrEx>
          <w:tblCellMar>
            <w:top w:w="0" w:type="dxa"/>
            <w:left w:w="0" w:type="dxa"/>
            <w:bottom w:w="0" w:type="dxa"/>
            <w:right w:w="0" w:type="dxa"/>
          </w:tblCellMar>
        </w:tblPrEx>
        <w:trPr>
          <w:trHeight w:val="953" w:hRule="atLeast"/>
          <w:jc w:val="center"/>
        </w:trPr>
        <w:tc>
          <w:tcPr>
            <w:tcW w:w="2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highlight w:val="none"/>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57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以内</w:t>
            </w:r>
          </w:p>
        </w:tc>
        <w:tc>
          <w:tcPr>
            <w:tcW w:w="54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以内</w:t>
            </w:r>
          </w:p>
        </w:tc>
        <w:tc>
          <w:tcPr>
            <w:tcW w:w="58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以内</w:t>
            </w:r>
          </w:p>
        </w:tc>
        <w:tc>
          <w:tcPr>
            <w:tcW w:w="63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以内</w:t>
            </w:r>
          </w:p>
        </w:tc>
        <w:tc>
          <w:tcPr>
            <w:tcW w:w="5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以内</w:t>
            </w:r>
          </w:p>
        </w:tc>
        <w:tc>
          <w:tcPr>
            <w:tcW w:w="58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以内</w:t>
            </w:r>
          </w:p>
        </w:tc>
        <w:tc>
          <w:tcPr>
            <w:tcW w:w="7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以内</w:t>
            </w:r>
          </w:p>
        </w:tc>
        <w:tc>
          <w:tcPr>
            <w:tcW w:w="77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以上</w:t>
            </w:r>
          </w:p>
        </w:tc>
      </w:tr>
      <w:tr>
        <w:tblPrEx>
          <w:tblCellMar>
            <w:top w:w="0" w:type="dxa"/>
            <w:left w:w="0" w:type="dxa"/>
            <w:bottom w:w="0" w:type="dxa"/>
            <w:right w:w="0" w:type="dxa"/>
          </w:tblCellMar>
        </w:tblPrEx>
        <w:trPr>
          <w:trHeight w:val="546" w:hRule="atLeast"/>
          <w:jc w:val="center"/>
        </w:trPr>
        <w:tc>
          <w:tcPr>
            <w:tcW w:w="1723"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工程量清单编制</w:t>
            </w:r>
          </w:p>
        </w:tc>
        <w:tc>
          <w:tcPr>
            <w:tcW w:w="837"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中标价</w:t>
            </w:r>
          </w:p>
        </w:tc>
        <w:tc>
          <w:tcPr>
            <w:tcW w:w="941"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建筑工程</w:t>
            </w:r>
          </w:p>
        </w:tc>
        <w:tc>
          <w:tcPr>
            <w:tcW w:w="57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54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58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63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5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8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7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77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r>
      <w:tr>
        <w:tblPrEx>
          <w:tblCellMar>
            <w:top w:w="0" w:type="dxa"/>
            <w:left w:w="0" w:type="dxa"/>
            <w:bottom w:w="0" w:type="dxa"/>
            <w:right w:w="0" w:type="dxa"/>
          </w:tblCellMar>
        </w:tblPrEx>
        <w:trPr>
          <w:trHeight w:val="546" w:hRule="atLeast"/>
          <w:jc w:val="center"/>
        </w:trPr>
        <w:tc>
          <w:tcPr>
            <w:tcW w:w="1723"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8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安装工程</w:t>
            </w:r>
          </w:p>
        </w:tc>
        <w:tc>
          <w:tcPr>
            <w:tcW w:w="57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5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58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3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58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7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7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r>
      <w:tr>
        <w:tblPrEx>
          <w:tblCellMar>
            <w:top w:w="0" w:type="dxa"/>
            <w:left w:w="0" w:type="dxa"/>
            <w:bottom w:w="0" w:type="dxa"/>
            <w:right w:w="0" w:type="dxa"/>
          </w:tblCellMar>
        </w:tblPrEx>
        <w:trPr>
          <w:trHeight w:val="544" w:hRule="atLeas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最高投标限价</w:t>
            </w: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中标价</w:t>
            </w:r>
          </w:p>
        </w:tc>
        <w:tc>
          <w:tcPr>
            <w:tcW w:w="9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建筑工程</w:t>
            </w:r>
          </w:p>
        </w:tc>
        <w:tc>
          <w:tcPr>
            <w:tcW w:w="57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8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3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5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58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7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544" w:hRule="atLeas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highlight w:val="none"/>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240" w:lineRule="auto"/>
              <w:jc w:val="left"/>
              <w:rPr>
                <w:rFonts w:hint="eastAsia" w:ascii="宋体" w:hAnsi="宋体" w:eastAsia="宋体" w:cs="宋体"/>
                <w:color w:val="auto"/>
                <w:kern w:val="0"/>
                <w:sz w:val="21"/>
                <w:szCs w:val="21"/>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安装工程</w:t>
            </w:r>
          </w:p>
        </w:tc>
        <w:tc>
          <w:tcPr>
            <w:tcW w:w="57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5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58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63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58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7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r>
      <w:tr>
        <w:tblPrEx>
          <w:tblCellMar>
            <w:top w:w="0" w:type="dxa"/>
            <w:left w:w="0" w:type="dxa"/>
            <w:bottom w:w="0" w:type="dxa"/>
            <w:right w:w="0" w:type="dxa"/>
          </w:tblCellMar>
        </w:tblPrEx>
        <w:trPr>
          <w:trHeight w:val="566" w:hRule="atLeast"/>
          <w:jc w:val="center"/>
        </w:trPr>
        <w:tc>
          <w:tcPr>
            <w:tcW w:w="350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钢筋及预埋件计算</w:t>
            </w:r>
          </w:p>
        </w:tc>
        <w:tc>
          <w:tcPr>
            <w:tcW w:w="5009"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10元/吨</w:t>
            </w:r>
          </w:p>
        </w:tc>
      </w:tr>
    </w:tbl>
    <w:p>
      <w:pPr>
        <w:pStyle w:val="16"/>
        <w:keepNext w:val="0"/>
        <w:keepLines w:val="0"/>
        <w:pageBreakBefore w:val="0"/>
        <w:kinsoku/>
        <w:wordWrap/>
        <w:overflowPunct/>
        <w:topLinePunct w:val="0"/>
        <w:autoSpaceDE/>
        <w:autoSpaceDN/>
        <w:bidi w:val="0"/>
        <w:adjustRightInd/>
        <w:snapToGrid/>
        <w:spacing w:beforeAutospacing="0" w:afterAutospacing="0"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说明：</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b/>
          <w:bCs/>
          <w:color w:val="auto"/>
          <w:highlight w:val="none"/>
        </w:rPr>
        <w:t>按</w:t>
      </w:r>
      <w:r>
        <w:rPr>
          <w:rFonts w:hint="eastAsia" w:ascii="宋体" w:hAnsi="宋体" w:eastAsia="宋体" w:cs="宋体"/>
          <w:b/>
          <w:bCs/>
          <w:color w:val="auto"/>
          <w:highlight w:val="none"/>
          <w:lang w:eastAsia="zh-CN"/>
        </w:rPr>
        <w:t>上述</w:t>
      </w:r>
      <w:r>
        <w:rPr>
          <w:rFonts w:hint="eastAsia" w:ascii="宋体" w:hAnsi="宋体" w:eastAsia="宋体" w:cs="宋体"/>
          <w:b/>
          <w:bCs/>
          <w:color w:val="auto"/>
          <w:highlight w:val="none"/>
        </w:rPr>
        <w:t>收费标准</w:t>
      </w:r>
      <w:r>
        <w:rPr>
          <w:rFonts w:hint="eastAsia" w:ascii="宋体" w:hAnsi="宋体" w:eastAsia="宋体" w:cs="宋体"/>
          <w:b/>
          <w:bCs/>
          <w:color w:val="auto"/>
          <w:highlight w:val="none"/>
          <w:lang w:eastAsia="zh-CN"/>
        </w:rPr>
        <w:t>计算</w:t>
      </w:r>
      <w:r>
        <w:rPr>
          <w:rFonts w:hint="eastAsia" w:ascii="宋体" w:hAnsi="宋体" w:eastAsia="宋体" w:cs="宋体"/>
          <w:b/>
          <w:bCs/>
          <w:color w:val="auto"/>
          <w:highlight w:val="none"/>
        </w:rPr>
        <w:t>不足</w:t>
      </w:r>
      <w:r>
        <w:rPr>
          <w:rFonts w:hint="eastAsia" w:hAnsi="宋体" w:cs="宋体"/>
          <w:b/>
          <w:bCs/>
          <w:color w:val="auto"/>
          <w:highlight w:val="none"/>
          <w:lang w:val="en-US" w:eastAsia="zh-CN"/>
        </w:rPr>
        <w:t>2</w:t>
      </w:r>
      <w:r>
        <w:rPr>
          <w:rFonts w:hint="eastAsia" w:ascii="宋体" w:hAnsi="宋体" w:eastAsia="宋体" w:cs="宋体"/>
          <w:b/>
          <w:bCs/>
          <w:color w:val="auto"/>
          <w:highlight w:val="none"/>
        </w:rPr>
        <w:t>000元的，按</w:t>
      </w:r>
      <w:r>
        <w:rPr>
          <w:rFonts w:hint="eastAsia" w:hAnsi="宋体" w:cs="宋体"/>
          <w:b/>
          <w:bCs/>
          <w:color w:val="auto"/>
          <w:highlight w:val="none"/>
          <w:lang w:val="en-US" w:eastAsia="zh-CN"/>
        </w:rPr>
        <w:t>2</w:t>
      </w:r>
      <w:r>
        <w:rPr>
          <w:rFonts w:hint="eastAsia" w:ascii="宋体" w:hAnsi="宋体" w:eastAsia="宋体" w:cs="宋体"/>
          <w:b/>
          <w:bCs/>
          <w:color w:val="auto"/>
          <w:highlight w:val="none"/>
        </w:rPr>
        <w:t>000元计费</w:t>
      </w:r>
      <w:r>
        <w:rPr>
          <w:rFonts w:hint="eastAsia" w:ascii="宋体" w:hAnsi="宋体" w:eastAsia="宋体" w:cs="宋体"/>
          <w:color w:val="auto"/>
          <w:highlight w:val="none"/>
        </w:rPr>
        <w:t>。</w:t>
      </w:r>
    </w:p>
    <w:p>
      <w:pPr>
        <w:pStyle w:val="16"/>
        <w:keepNext w:val="0"/>
        <w:keepLines w:val="0"/>
        <w:pageBreakBefore w:val="0"/>
        <w:kinsoku/>
        <w:wordWrap/>
        <w:overflowPunct/>
        <w:topLinePunct w:val="0"/>
        <w:autoSpaceDE/>
        <w:autoSpaceDN/>
        <w:bidi w:val="0"/>
        <w:adjustRightInd/>
        <w:snapToGrid/>
        <w:spacing w:beforeAutospacing="0" w:afterAutospacing="0" w:line="500" w:lineRule="exact"/>
        <w:ind w:firstLine="420"/>
        <w:textAlignment w:val="auto"/>
        <w:rPr>
          <w:rFonts w:hint="default" w:ascii="宋体" w:hAnsi="宋体" w:eastAsia="宋体" w:cs="宋体"/>
          <w:b/>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2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②</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“建筑工程”适用建筑工程及配套的装饰工程、安装工程；市政工程等。“安装工程”适用单独安装工程、装饰工程（含二次装饰装修）；房屋修缮；园林绿化及仿古建筑工程等。</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27.5、成交通知书</w:t>
      </w:r>
      <w:bookmarkEnd w:id="44"/>
      <w:bookmarkEnd w:id="45"/>
      <w:bookmarkEnd w:id="46"/>
    </w:p>
    <w:p>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采购人在评审报告推荐的成交候选人中按顺序确定成交人。采购人将向成交人发出成交通知书，同时在安庆职业技术学院（https://www.aqvtc.edu.cn/）</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安庆市皖宜项目咨询管理有限公司（http://wyxmzx.com/index.html）</w:t>
      </w:r>
      <w:r>
        <w:rPr>
          <w:rFonts w:hint="eastAsia" w:ascii="宋体" w:hAnsi="宋体" w:cs="宋体"/>
          <w:color w:val="auto"/>
          <w:szCs w:val="21"/>
          <w:highlight w:val="none"/>
        </w:rPr>
        <w:t>公告成交结果。谈判响应人如有质疑、投诉，必须在成交公告规定的质疑、投诉期内以书面形式向有关机构提出。</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27.6、采购人在收到评审报告5个工作日内未按评审报告推荐的成交候选人顺序确定成交人，又不能说明合法理由的，视同按评审报告推荐的顺序确定排名第一的成交候选人为成交人。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cs="宋体"/>
          <w:color w:val="auto"/>
          <w:szCs w:val="21"/>
          <w:highlight w:val="none"/>
        </w:rPr>
      </w:pPr>
      <w:bookmarkStart w:id="47" w:name="_Toc417655920"/>
      <w:bookmarkStart w:id="48" w:name="_Toc418517857"/>
      <w:bookmarkStart w:id="49" w:name="_Toc2342"/>
      <w:r>
        <w:rPr>
          <w:rFonts w:hint="eastAsia" w:ascii="宋体" w:hAnsi="宋体" w:cs="宋体"/>
          <w:b/>
          <w:bCs/>
          <w:color w:val="auto"/>
          <w:szCs w:val="20"/>
          <w:highlight w:val="none"/>
        </w:rPr>
        <w:t xml:space="preserve">   </w:t>
      </w:r>
      <w:r>
        <w:rPr>
          <w:rFonts w:hint="eastAsia" w:ascii="宋体" w:hAnsi="宋体" w:cs="宋体"/>
          <w:color w:val="auto"/>
          <w:szCs w:val="21"/>
          <w:highlight w:val="none"/>
        </w:rPr>
        <w:t xml:space="preserve"> 27.</w:t>
      </w:r>
      <w:bookmarkEnd w:id="47"/>
      <w:bookmarkEnd w:id="48"/>
      <w:bookmarkEnd w:id="49"/>
      <w:r>
        <w:rPr>
          <w:rFonts w:hint="eastAsia" w:ascii="宋体" w:hAnsi="宋体" w:cs="宋体"/>
          <w:color w:val="auto"/>
          <w:szCs w:val="21"/>
          <w:highlight w:val="none"/>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color w:val="auto"/>
          <w:szCs w:val="21"/>
          <w:highlight w:val="none"/>
        </w:rPr>
      </w:pPr>
      <w:bookmarkStart w:id="50" w:name="_Toc23509"/>
      <w:r>
        <w:rPr>
          <w:rFonts w:hint="eastAsia" w:ascii="宋体" w:hAnsi="宋体" w:cs="宋体"/>
          <w:b/>
          <w:bCs/>
          <w:color w:val="auto"/>
          <w:szCs w:val="21"/>
          <w:highlight w:val="none"/>
        </w:rPr>
        <w:t xml:space="preserve">    </w:t>
      </w:r>
      <w:bookmarkStart w:id="51" w:name="_Toc55202317"/>
      <w:r>
        <w:rPr>
          <w:rFonts w:hint="eastAsia" w:ascii="宋体" w:hAnsi="宋体" w:cs="宋体"/>
          <w:b/>
          <w:bCs/>
          <w:color w:val="auto"/>
          <w:szCs w:val="21"/>
          <w:highlight w:val="none"/>
        </w:rPr>
        <w:t>七、合同授予</w:t>
      </w:r>
      <w:bookmarkEnd w:id="50"/>
      <w:bookmarkEnd w:id="51"/>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28、</w:t>
      </w:r>
      <w:bookmarkStart w:id="52" w:name="_Toc21358"/>
      <w:bookmarkStart w:id="53" w:name="_Toc418517860"/>
      <w:bookmarkStart w:id="54" w:name="_Toc417655923"/>
      <w:r>
        <w:rPr>
          <w:rFonts w:hint="eastAsia" w:ascii="宋体" w:hAnsi="宋体" w:cs="宋体"/>
          <w:color w:val="auto"/>
          <w:szCs w:val="21"/>
          <w:highlight w:val="none"/>
        </w:rPr>
        <w:t>签订合同</w:t>
      </w:r>
      <w:bookmarkEnd w:id="52"/>
      <w:bookmarkEnd w:id="53"/>
      <w:bookmarkEnd w:id="54"/>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28.1、成交人的成交价即为合同价款。</w:t>
      </w:r>
    </w:p>
    <w:p>
      <w:pPr>
        <w:widowControl/>
        <w:spacing w:line="5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28.2、成交人在收到成交通知书起</w:t>
      </w:r>
      <w:r>
        <w:rPr>
          <w:rFonts w:ascii="宋体" w:hAnsi="宋体" w:cs="宋体"/>
          <w:color w:val="auto"/>
          <w:szCs w:val="21"/>
          <w:highlight w:val="none"/>
        </w:rPr>
        <w:t>30</w:t>
      </w:r>
      <w:r>
        <w:rPr>
          <w:rFonts w:hint="eastAsia" w:ascii="宋体" w:hAnsi="宋体" w:cs="宋体"/>
          <w:color w:val="auto"/>
          <w:szCs w:val="21"/>
          <w:highlight w:val="none"/>
        </w:rPr>
        <w:t>日内，与采购人签订合同。</w:t>
      </w:r>
    </w:p>
    <w:p>
      <w:pPr>
        <w:widowControl/>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 xml:space="preserve">    29、履约保证金</w:t>
      </w:r>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29.1、成交人在签订合同前必须按竞争性谈判文件的约定，及时、足额向采购人提交履约保证金。</w:t>
      </w:r>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29.2、若成交人不能按谈判响应人须知前附表执行，采购人可在无须征得成交人同意的情况下，不与其签订合同，并不予退还谈判响应保证金。给采购单位造成的损失超过谈判响应保证金数额的，还应当对超过部分予以赔偿。</w:t>
      </w:r>
    </w:p>
    <w:p>
      <w:pPr>
        <w:widowControl/>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29.3、履约保证金按合同条款</w:t>
      </w:r>
      <w:r>
        <w:rPr>
          <w:rFonts w:hint="eastAsia" w:ascii="宋体" w:hAnsi="宋体" w:cs="宋体"/>
          <w:color w:val="auto"/>
          <w:kern w:val="0"/>
          <w:szCs w:val="21"/>
          <w:highlight w:val="none"/>
        </w:rPr>
        <w:t>约定</w:t>
      </w:r>
      <w:r>
        <w:rPr>
          <w:rFonts w:hint="eastAsia" w:ascii="宋体" w:hAnsi="宋体" w:cs="宋体"/>
          <w:color w:val="auto"/>
          <w:szCs w:val="21"/>
          <w:highlight w:val="none"/>
        </w:rPr>
        <w:t>退还。</w:t>
      </w:r>
    </w:p>
    <w:p>
      <w:pPr>
        <w:widowControl/>
        <w:spacing w:line="500" w:lineRule="exact"/>
        <w:ind w:firstLine="420"/>
        <w:jc w:val="left"/>
        <w:rPr>
          <w:rFonts w:ascii="宋体" w:hAnsi="宋体" w:cs="宋体"/>
          <w:b/>
          <w:bCs/>
          <w:color w:val="auto"/>
          <w:szCs w:val="21"/>
          <w:highlight w:val="none"/>
        </w:rPr>
      </w:pPr>
      <w:r>
        <w:rPr>
          <w:rFonts w:hint="eastAsia" w:ascii="宋体" w:hAnsi="宋体" w:cs="宋体"/>
          <w:b/>
          <w:bCs/>
          <w:color w:val="auto"/>
          <w:szCs w:val="21"/>
          <w:highlight w:val="none"/>
        </w:rPr>
        <w:t>30、未尽事宜</w:t>
      </w:r>
    </w:p>
    <w:p>
      <w:pPr>
        <w:widowControl/>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按《中华人民共和国政府采购法》、《中华人民共和国政府采购法实施条例》及其他有关法律法规规定执行。</w:t>
      </w: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pStyle w:val="5"/>
        <w:pageBreakBefore w:val="0"/>
        <w:numPr>
          <w:ilvl w:val="0"/>
          <w:numId w:val="0"/>
        </w:numPr>
        <w:kinsoku/>
        <w:wordWrap/>
        <w:overflowPunct/>
        <w:topLinePunct w:val="0"/>
        <w:bidi w:val="0"/>
        <w:spacing w:beforeAutospacing="0" w:afterAutospacing="0" w:line="24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合同条款</w:t>
      </w:r>
    </w:p>
    <w:p>
      <w:pPr>
        <w:pStyle w:val="60"/>
        <w:pageBreakBefore w:val="0"/>
        <w:kinsoku/>
        <w:wordWrap/>
        <w:overflowPunct/>
        <w:topLinePunct w:val="0"/>
        <w:bidi w:val="0"/>
        <w:spacing w:before="0" w:beforeLines="0" w:beforeAutospacing="0" w:after="0" w:afterLines="0" w:afterAutospacing="0" w:line="240" w:lineRule="auto"/>
        <w:ind w:left="0" w:right="0" w:firstLine="643"/>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建设工程施工合同（</w:t>
      </w:r>
      <w:r>
        <w:rPr>
          <w:rFonts w:hint="eastAsia" w:ascii="宋体" w:hAnsi="宋体" w:eastAsia="宋体" w:cs="宋体"/>
          <w:bCs/>
          <w:color w:val="auto"/>
          <w:sz w:val="32"/>
          <w:szCs w:val="32"/>
          <w:highlight w:val="none"/>
        </w:rPr>
        <w:t>GF—201</w:t>
      </w:r>
      <w:r>
        <w:rPr>
          <w:rFonts w:hint="eastAsia" w:ascii="宋体" w:hAnsi="宋体" w:eastAsia="宋体" w:cs="宋体"/>
          <w:bCs/>
          <w:color w:val="auto"/>
          <w:sz w:val="32"/>
          <w:szCs w:val="32"/>
          <w:highlight w:val="none"/>
          <w:lang w:val="en-US" w:eastAsia="zh-CN"/>
        </w:rPr>
        <w:t>7</w:t>
      </w:r>
      <w:r>
        <w:rPr>
          <w:rFonts w:hint="eastAsia" w:ascii="宋体" w:hAnsi="宋体" w:eastAsia="宋体" w:cs="宋体"/>
          <w:bCs/>
          <w:color w:val="auto"/>
          <w:sz w:val="32"/>
          <w:szCs w:val="32"/>
          <w:highlight w:val="none"/>
        </w:rPr>
        <w:t>—0201</w:t>
      </w:r>
      <w:r>
        <w:rPr>
          <w:rFonts w:hint="eastAsia" w:ascii="宋体" w:hAnsi="宋体" w:eastAsia="宋体" w:cs="宋体"/>
          <w:b/>
          <w:color w:val="auto"/>
          <w:sz w:val="32"/>
          <w:szCs w:val="32"/>
          <w:highlight w:val="none"/>
        </w:rPr>
        <w:t>示范文本）</w:t>
      </w:r>
    </w:p>
    <w:p>
      <w:pPr>
        <w:pageBreakBefore w:val="0"/>
        <w:kinsoku/>
        <w:wordWrap/>
        <w:overflowPunct/>
        <w:topLinePunct w:val="0"/>
        <w:bidi w:val="0"/>
        <w:spacing w:line="240" w:lineRule="auto"/>
        <w:jc w:val="center"/>
        <w:rPr>
          <w:rFonts w:hint="eastAsia"/>
          <w:b/>
          <w:bCs/>
          <w:color w:val="auto"/>
          <w:sz w:val="32"/>
          <w:szCs w:val="40"/>
          <w:highlight w:val="none"/>
          <w:lang w:val="zh-CN"/>
        </w:rPr>
      </w:pPr>
      <w:bookmarkStart w:id="55" w:name="_Toc22091"/>
      <w:bookmarkStart w:id="56" w:name="_Toc11581"/>
      <w:bookmarkStart w:id="57" w:name="_Toc27346"/>
      <w:bookmarkStart w:id="58" w:name="_Toc296503025"/>
      <w:bookmarkStart w:id="59" w:name="_Toc296890982"/>
      <w:r>
        <w:rPr>
          <w:rFonts w:hint="eastAsia"/>
          <w:b/>
          <w:bCs/>
          <w:color w:val="auto"/>
          <w:sz w:val="32"/>
          <w:szCs w:val="40"/>
          <w:highlight w:val="none"/>
          <w:lang w:val="zh-CN"/>
        </w:rPr>
        <w:t>说明</w:t>
      </w:r>
      <w:bookmarkEnd w:id="55"/>
      <w:bookmarkEnd w:id="56"/>
      <w:bookmarkEnd w:id="57"/>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为了指导建设工程施工合同当事人的签约行为，维护合同当事人的合法权益，依据《</w:t>
      </w:r>
      <w:r>
        <w:rPr>
          <w:rFonts w:hint="eastAsia" w:ascii="宋体" w:hAnsi="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一、《示范文本》的组成</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《示范文本》由合同协议书、通用合同条款和专用合同条款三部分组成。</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（一）合同协议书</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《示范文本》合同协议书共计13条，主要包括：工程概况、合同工期、质量标准、签约合同价和合同价格形式、项目</w:t>
      </w:r>
      <w:r>
        <w:rPr>
          <w:rFonts w:hint="eastAsia" w:ascii="宋体" w:hAnsi="宋体" w:cs="宋体"/>
          <w:color w:val="auto"/>
          <w:szCs w:val="21"/>
          <w:highlight w:val="none"/>
          <w:lang w:val="en-US" w:eastAsia="zh-CN"/>
        </w:rPr>
        <w:t>经理（项目负责人）</w:t>
      </w:r>
      <w:r>
        <w:rPr>
          <w:rFonts w:hint="eastAsia" w:ascii="宋体" w:hAnsi="宋体" w:eastAsia="宋体" w:cs="宋体"/>
          <w:color w:val="auto"/>
          <w:szCs w:val="21"/>
          <w:highlight w:val="none"/>
        </w:rPr>
        <w:t>、合同文件构成、承诺以及合同生效条件等重要内容，集中约定了合同当事人基本的合同权利义务。</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（二）通用合同条款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通用合同条款是合同当事人根据《中华人民共和国建筑法》、《</w:t>
      </w:r>
      <w:r>
        <w:rPr>
          <w:rFonts w:hint="eastAsia" w:ascii="宋体" w:hAnsi="宋体" w:cs="宋体"/>
          <w:color w:val="auto"/>
          <w:szCs w:val="21"/>
          <w:highlight w:val="none"/>
          <w:lang w:eastAsia="zh-CN"/>
        </w:rPr>
        <w:t>中华人民共和国民法典</w:t>
      </w:r>
      <w:r>
        <w:rPr>
          <w:rFonts w:hint="eastAsia" w:ascii="宋体" w:hAnsi="宋体" w:eastAsia="宋体" w:cs="宋体"/>
          <w:color w:val="auto"/>
          <w:szCs w:val="21"/>
          <w:highlight w:val="none"/>
        </w:rPr>
        <w:t>》等法律法规的规定，就工程建设的实施及相关事项，对合同当事人的权利义务作出的原则性约定。</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（三）专用合同条款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1.专用合同条款的编号应与相应的通用合同条款的编号一致；</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2.合同当事人可以通过对专用合同条款的修改，满足具体建设工程的特殊要求，避免直接修改通用合同条款；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3.在专用合同条款中有横道线的地方，合同当事人可针对相应的通用合同条款进行细化、完善、补充、修改或另行约定；如无细化、完善、补充、修改或另行约定，则填写“无”或划“/”。</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二、《示范文本》的性质和适用范围</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bookmarkEnd w:id="58"/>
      <w:bookmarkEnd w:id="59"/>
      <w:bookmarkStart w:id="60" w:name="_Toc351203632"/>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r>
        <w:rPr>
          <w:rFonts w:hint="eastAsia" w:ascii="宋体" w:hAnsi="宋体" w:eastAsia="宋体" w:cs="宋体"/>
          <w:b/>
          <w:bCs/>
          <w:color w:val="auto"/>
          <w:sz w:val="36"/>
          <w:szCs w:val="21"/>
          <w:highlight w:val="none"/>
        </w:rPr>
        <w:t>第一部分 合同协议书</w:t>
      </w:r>
    </w:p>
    <w:p>
      <w:pPr>
        <w:pageBreakBefore w:val="0"/>
        <w:kinsoku/>
        <w:wordWrap/>
        <w:overflowPunct/>
        <w:topLinePunct w:val="0"/>
        <w:bidi w:val="0"/>
        <w:spacing w:line="24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        </w:t>
      </w:r>
    </w:p>
    <w:p>
      <w:pPr>
        <w:pageBreakBefore w:val="0"/>
        <w:kinsoku/>
        <w:wordWrap/>
        <w:overflowPunct/>
        <w:topLinePunct w:val="0"/>
        <w:bidi w:val="0"/>
        <w:spacing w:line="24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        </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中华人民共和国民法典</w:t>
      </w:r>
      <w:r>
        <w:rPr>
          <w:rFonts w:hint="eastAsia" w:ascii="宋体" w:hAnsi="宋体" w:eastAsia="宋体" w:cs="宋体"/>
          <w:bCs/>
          <w:color w:val="auto"/>
          <w:sz w:val="21"/>
          <w:szCs w:val="21"/>
          <w:highlight w:val="none"/>
        </w:rPr>
        <w:t>》、《中华人民共和国建筑法》及有关法律规定，遵循平等、自愿、公平和诚实信用的原则，双方就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pPr>
        <w:pStyle w:val="8"/>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1" w:name="_Toc351203481"/>
      <w:r>
        <w:rPr>
          <w:rFonts w:hint="eastAsia" w:ascii="宋体" w:hAnsi="宋体" w:eastAsia="宋体" w:cs="宋体"/>
          <w:b/>
          <w:bCs/>
          <w:color w:val="auto"/>
          <w:sz w:val="21"/>
          <w:szCs w:val="21"/>
          <w:highlight w:val="none"/>
        </w:rPr>
        <w:t>一、工程概况</w:t>
      </w:r>
      <w:bookmarkEnd w:id="61"/>
    </w:p>
    <w:p>
      <w:pPr>
        <w:pageBreakBefore w:val="0"/>
        <w:kinsoku/>
        <w:wordWrap/>
        <w:overflowPunct/>
        <w:topLinePunct w:val="0"/>
        <w:bidi w:val="0"/>
        <w:spacing w:line="24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工程量清单列示的全部内容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群体工程应附《承包人承揽工程项目一览表》（附件1）。</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6.工程承包范围：</w:t>
      </w:r>
      <w:r>
        <w:rPr>
          <w:rFonts w:hint="eastAsia" w:ascii="宋体" w:hAnsi="宋体" w:eastAsia="宋体" w:cs="宋体"/>
          <w:color w:val="auto"/>
          <w:sz w:val="21"/>
          <w:szCs w:val="21"/>
          <w:highlight w:val="none"/>
          <w:u w:val="single"/>
          <w:lang w:eastAsia="zh-CN"/>
        </w:rPr>
        <w:t>工程量清单列示的全部内容</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2" w:name="_Toc351203482"/>
      <w:r>
        <w:rPr>
          <w:rFonts w:hint="eastAsia" w:ascii="宋体" w:hAnsi="宋体" w:eastAsia="宋体" w:cs="宋体"/>
          <w:b/>
          <w:bCs/>
          <w:color w:val="auto"/>
          <w:sz w:val="21"/>
          <w:szCs w:val="21"/>
          <w:highlight w:val="none"/>
        </w:rPr>
        <w:t>二、合同工期</w:t>
      </w:r>
      <w:bookmarkEnd w:id="62"/>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8"/>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
          <w:bCs/>
          <w:color w:val="auto"/>
          <w:sz w:val="21"/>
          <w:szCs w:val="21"/>
          <w:highlight w:val="none"/>
        </w:rPr>
        <w:t xml:space="preserve">    </w:t>
      </w:r>
      <w:bookmarkStart w:id="63" w:name="_Toc351203483"/>
      <w:r>
        <w:rPr>
          <w:rFonts w:hint="eastAsia" w:ascii="宋体" w:hAnsi="宋体" w:eastAsia="宋体" w:cs="宋体"/>
          <w:b/>
          <w:bCs/>
          <w:color w:val="auto"/>
          <w:sz w:val="21"/>
          <w:szCs w:val="21"/>
          <w:highlight w:val="none"/>
        </w:rPr>
        <w:t>三、质量标准</w:t>
      </w:r>
      <w:bookmarkEnd w:id="63"/>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国家相关施工验收规范合格</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pPr>
        <w:pStyle w:val="8"/>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4" w:name="_Toc351203484"/>
      <w:r>
        <w:rPr>
          <w:rFonts w:hint="eastAsia" w:ascii="宋体" w:hAnsi="宋体" w:eastAsia="宋体" w:cs="宋体"/>
          <w:b/>
          <w:bCs/>
          <w:color w:val="auto"/>
          <w:sz w:val="21"/>
          <w:szCs w:val="21"/>
          <w:highlight w:val="none"/>
        </w:rPr>
        <w:t>四、签约合同价与合同价格形式</w:t>
      </w:r>
      <w:bookmarkEnd w:id="64"/>
      <w:r>
        <w:rPr>
          <w:rFonts w:hint="eastAsia" w:ascii="宋体" w:hAnsi="宋体" w:eastAsia="宋体" w:cs="宋体"/>
          <w:b w:val="0"/>
          <w:color w:val="auto"/>
          <w:sz w:val="21"/>
          <w:szCs w:val="21"/>
          <w:highlight w:val="none"/>
        </w:rPr>
        <w:tab/>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pPr>
        <w:pageBreakBefore w:val="0"/>
        <w:kinsoku/>
        <w:wordWrap/>
        <w:overflowPunct/>
        <w:topLinePunct w:val="0"/>
        <w:bidi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pPr>
        <w:pageBreakBefore w:val="0"/>
        <w:kinsoku/>
        <w:wordWrap/>
        <w:overflowPunct/>
        <w:topLinePunct w:val="0"/>
        <w:bidi w:val="0"/>
        <w:spacing w:line="24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pPr>
        <w:pageBreakBefore w:val="0"/>
        <w:kinsoku/>
        <w:wordWrap/>
        <w:overflowPunct/>
        <w:topLinePunct w:val="0"/>
        <w:bidi w:val="0"/>
        <w:spacing w:line="24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lang w:eastAsia="zh-CN"/>
        </w:rPr>
        <w:t>填写含税金额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pPr>
        <w:pageBreakBefore w:val="0"/>
        <w:kinsoku/>
        <w:wordWrap/>
        <w:overflowPunct/>
        <w:topLinePunct w:val="0"/>
        <w:bidi w:val="0"/>
        <w:spacing w:line="24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lang w:eastAsia="zh-CN"/>
        </w:rPr>
        <w:t>填写含税金额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pPr>
        <w:pageBreakBefore w:val="0"/>
        <w:kinsoku/>
        <w:wordWrap/>
        <w:overflowPunct/>
        <w:topLinePunct w:val="0"/>
        <w:bidi w:val="0"/>
        <w:spacing w:line="24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lang w:eastAsia="zh-CN"/>
        </w:rPr>
        <w:t>填写含税金额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固定总价合同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5" w:name="_Toc351203485"/>
      <w:r>
        <w:rPr>
          <w:rFonts w:hint="eastAsia" w:ascii="宋体" w:hAnsi="宋体" w:eastAsia="宋体" w:cs="宋体"/>
          <w:b/>
          <w:bCs/>
          <w:color w:val="auto"/>
          <w:sz w:val="21"/>
          <w:szCs w:val="21"/>
          <w:highlight w:val="none"/>
        </w:rPr>
        <w:t>五、</w:t>
      </w:r>
      <w:bookmarkEnd w:id="65"/>
      <w:r>
        <w:rPr>
          <w:rFonts w:hint="eastAsia" w:ascii="宋体" w:hAnsi="宋体" w:eastAsia="宋体" w:cs="宋体"/>
          <w:b/>
          <w:bCs/>
          <w:color w:val="auto"/>
          <w:sz w:val="21"/>
          <w:szCs w:val="21"/>
          <w:highlight w:val="none"/>
        </w:rPr>
        <w:t>项目经理</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6" w:name="_Toc351203486"/>
      <w:r>
        <w:rPr>
          <w:rFonts w:hint="eastAsia" w:ascii="宋体" w:hAnsi="宋体" w:eastAsia="宋体" w:cs="宋体"/>
          <w:b/>
          <w:bCs/>
          <w:color w:val="auto"/>
          <w:sz w:val="21"/>
          <w:szCs w:val="21"/>
          <w:highlight w:val="none"/>
        </w:rPr>
        <w:t>六、合同文件构成</w:t>
      </w:r>
      <w:bookmarkEnd w:id="66"/>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（1）中标通知书（如果有）；</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（2）投标函及其附录（如果有）； </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（3）专用合同条款及其附件；</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（4）通用合同条款；</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（5）技术标准和要求；</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（6）图纸；</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（7）已标价工程量清单或预算书；</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（8）其他合同文件。</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在合同订立及履行过程中形成的与合同有关的文件均构成合同文件组成部分。</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8"/>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7" w:name="_Toc351203487"/>
      <w:r>
        <w:rPr>
          <w:rFonts w:hint="eastAsia" w:ascii="宋体" w:hAnsi="宋体" w:eastAsia="宋体" w:cs="宋体"/>
          <w:b/>
          <w:bCs/>
          <w:color w:val="auto"/>
          <w:sz w:val="21"/>
          <w:szCs w:val="21"/>
          <w:highlight w:val="none"/>
        </w:rPr>
        <w:t>七、承诺</w:t>
      </w:r>
      <w:bookmarkEnd w:id="67"/>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pPr>
        <w:pStyle w:val="8"/>
        <w:pageBreakBefore w:val="0"/>
        <w:kinsoku/>
        <w:wordWrap/>
        <w:overflowPunct/>
        <w:topLinePunct w:val="0"/>
        <w:bidi w:val="0"/>
        <w:spacing w:line="240" w:lineRule="auto"/>
        <w:rPr>
          <w:rFonts w:hint="eastAsia" w:ascii="宋体" w:hAnsi="宋体" w:eastAsia="宋体" w:cs="宋体"/>
          <w:b/>
          <w:bCs/>
          <w:color w:val="auto"/>
          <w:sz w:val="21"/>
          <w:szCs w:val="21"/>
          <w:highlight w:val="none"/>
        </w:rPr>
      </w:pPr>
      <w:bookmarkStart w:id="68" w:name="_Toc351203488"/>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八、词语含义</w:t>
      </w:r>
      <w:bookmarkEnd w:id="68"/>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pPr>
        <w:pStyle w:val="8"/>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9" w:name="_Toc351203489"/>
      <w:r>
        <w:rPr>
          <w:rFonts w:hint="eastAsia" w:ascii="宋体" w:hAnsi="宋体" w:eastAsia="宋体" w:cs="宋体"/>
          <w:b/>
          <w:bCs/>
          <w:color w:val="auto"/>
          <w:sz w:val="21"/>
          <w:szCs w:val="21"/>
          <w:highlight w:val="none"/>
        </w:rPr>
        <w:t>九、签订时间</w:t>
      </w:r>
      <w:bookmarkEnd w:id="69"/>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8"/>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70" w:name="_Toc351203490"/>
      <w:r>
        <w:rPr>
          <w:rFonts w:hint="eastAsia" w:ascii="宋体" w:hAnsi="宋体" w:eastAsia="宋体" w:cs="宋体"/>
          <w:b/>
          <w:bCs/>
          <w:color w:val="auto"/>
          <w:sz w:val="21"/>
          <w:szCs w:val="21"/>
          <w:highlight w:val="none"/>
        </w:rPr>
        <w:t>十、签订地点</w:t>
      </w:r>
      <w:bookmarkEnd w:id="70"/>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pPr>
        <w:pStyle w:val="8"/>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71" w:name="_Toc351203491"/>
      <w:r>
        <w:rPr>
          <w:rFonts w:hint="eastAsia" w:ascii="宋体" w:hAnsi="宋体" w:eastAsia="宋体" w:cs="宋体"/>
          <w:b/>
          <w:bCs/>
          <w:color w:val="auto"/>
          <w:sz w:val="21"/>
          <w:szCs w:val="21"/>
          <w:highlight w:val="none"/>
        </w:rPr>
        <w:t>十一、补充协议</w:t>
      </w:r>
      <w:bookmarkEnd w:id="71"/>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8"/>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72" w:name="_Toc351203492"/>
      <w:r>
        <w:rPr>
          <w:rFonts w:hint="eastAsia" w:ascii="宋体" w:hAnsi="宋体" w:eastAsia="宋体" w:cs="宋体"/>
          <w:b/>
          <w:bCs/>
          <w:color w:val="auto"/>
          <w:sz w:val="21"/>
          <w:szCs w:val="21"/>
          <w:highlight w:val="none"/>
        </w:rPr>
        <w:t>十二、合同生效</w:t>
      </w:r>
      <w:bookmarkEnd w:id="72"/>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双方签字盖章之日起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pPr>
        <w:pStyle w:val="8"/>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73" w:name="_Toc351203493"/>
      <w:r>
        <w:rPr>
          <w:rFonts w:hint="eastAsia" w:ascii="宋体" w:hAnsi="宋体" w:eastAsia="宋体" w:cs="宋体"/>
          <w:b w:val="0"/>
          <w:color w:val="auto"/>
          <w:sz w:val="21"/>
          <w:szCs w:val="21"/>
          <w:highlight w:val="none"/>
        </w:rPr>
        <w:t>十三、合同份数</w:t>
      </w:r>
      <w:bookmarkEnd w:id="73"/>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pPr>
        <w:pageBreakBefore w:val="0"/>
        <w:kinsoku/>
        <w:wordWrap/>
        <w:overflowPunct/>
        <w:topLinePunct w:val="0"/>
        <w:bidi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发包人：  (公章)             承包人：  (公章)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pPr>
        <w:pageBreakBefore w:val="0"/>
        <w:kinsoku/>
        <w:wordWrap/>
        <w:overflowPunct/>
        <w:topLinePunct w:val="0"/>
        <w:bidi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（签字）                    （签字）</w:t>
      </w:r>
    </w:p>
    <w:p>
      <w:pPr>
        <w:keepNext w:val="0"/>
        <w:keepLines w:val="0"/>
        <w:pageBreakBefore w:val="0"/>
        <w:widowControl w:val="0"/>
        <w:tabs>
          <w:tab w:val="left" w:pos="441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bookmarkEnd w:id="60"/>
      <w:r>
        <w:rPr>
          <w:rFonts w:hint="eastAsia" w:ascii="宋体" w:hAnsi="宋体" w:eastAsia="宋体" w:cs="宋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36"/>
          <w:szCs w:val="21"/>
          <w:highlight w:val="none"/>
        </w:rPr>
        <w:t>第二部分</w:t>
      </w:r>
      <w:r>
        <w:rPr>
          <w:rFonts w:hint="eastAsia" w:ascii="宋体" w:hAnsi="宋体" w:eastAsia="宋体" w:cs="宋体"/>
          <w:b/>
          <w:bCs/>
          <w:color w:val="auto"/>
          <w:sz w:val="36"/>
          <w:szCs w:val="21"/>
          <w:highlight w:val="none"/>
          <w:lang w:val="en-US" w:eastAsia="zh-CN"/>
        </w:rPr>
        <w:t xml:space="preserve"> </w:t>
      </w:r>
      <w:r>
        <w:rPr>
          <w:rFonts w:hint="eastAsia" w:ascii="宋体" w:hAnsi="宋体" w:eastAsia="宋体" w:cs="宋体"/>
          <w:b/>
          <w:bCs/>
          <w:color w:val="auto"/>
          <w:sz w:val="36"/>
          <w:szCs w:val="21"/>
          <w:highlight w:val="none"/>
        </w:rPr>
        <w:t>通用合同条款</w:t>
      </w:r>
    </w:p>
    <w:p>
      <w:pPr>
        <w:pStyle w:val="7"/>
        <w:pageBreakBefore w:val="0"/>
        <w:kinsoku/>
        <w:wordWrap/>
        <w:overflowPunct/>
        <w:topLinePunct w:val="0"/>
        <w:bidi w:val="0"/>
        <w:spacing w:line="240" w:lineRule="auto"/>
        <w:jc w:val="center"/>
        <w:rPr>
          <w:rFonts w:ascii="华文中宋" w:hAnsi="华文中宋" w:eastAsia="华文中宋"/>
          <w:color w:val="auto"/>
          <w:sz w:val="44"/>
          <w:szCs w:val="44"/>
          <w:highlight w:val="none"/>
        </w:rPr>
      </w:pPr>
      <w:r>
        <w:rPr>
          <w:rFonts w:hint="eastAsia" w:ascii="宋体" w:hAnsi="宋体" w:eastAsia="宋体" w:cs="宋体"/>
          <w:color w:val="auto"/>
          <w:highlight w:val="none"/>
        </w:rPr>
        <w:t>（略）</w:t>
      </w:r>
    </w:p>
    <w:p>
      <w:pPr>
        <w:pStyle w:val="7"/>
        <w:pageBreakBefore w:val="0"/>
        <w:kinsoku/>
        <w:wordWrap/>
        <w:overflowPunct/>
        <w:topLinePunct w:val="0"/>
        <w:bidi w:val="0"/>
        <w:spacing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第三部分 专用合同条款</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 一般约定</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74" w:name="_Toc27487"/>
      <w:bookmarkStart w:id="75" w:name="_Toc21923"/>
      <w:r>
        <w:rPr>
          <w:rFonts w:hint="eastAsia" w:ascii="宋体" w:hAnsi="宋体" w:eastAsia="宋体" w:cs="宋体"/>
          <w:color w:val="auto"/>
          <w:sz w:val="21"/>
          <w:szCs w:val="21"/>
          <w:highlight w:val="none"/>
        </w:rPr>
        <w:t>1.1 词语定义</w:t>
      </w:r>
      <w:bookmarkEnd w:id="74"/>
      <w:bookmarkEnd w:id="75"/>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1.1.1合同</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1.1.1.10其他合同文件包括：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 xml:space="preserve"> 执行通用条款</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ind w:left="1650" w:hanging="1155" w:hangingChars="5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ind w:left="1650" w:hanging="1155" w:hangingChars="55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用于施工需要的临时占地</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无</w:t>
      </w:r>
      <w:r>
        <w:rPr>
          <w:rFonts w:hint="eastAsia" w:ascii="宋体" w:hAnsi="宋体" w:eastAsia="宋体" w:cs="宋体"/>
          <w:color w:val="auto"/>
          <w:sz w:val="21"/>
          <w:szCs w:val="21"/>
          <w:highlight w:val="none"/>
          <w:u w:val="single"/>
        </w:rPr>
        <w:t></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用于施工需要的临时占地</w:t>
      </w:r>
      <w:r>
        <w:rPr>
          <w:rFonts w:hint="eastAsia" w:ascii="宋体" w:hAnsi="宋体" w:eastAsia="宋体" w:cs="宋体"/>
          <w:color w:val="auto"/>
          <w:sz w:val="21"/>
          <w:szCs w:val="21"/>
          <w:highlight w:val="none"/>
          <w:u w:val="single"/>
        </w:rPr>
        <w:t></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pPr>
        <w:pageBreakBefore w:val="0"/>
        <w:kinsoku/>
        <w:wordWrap/>
        <w:overflowPunct/>
        <w:topLinePunct w:val="0"/>
        <w:autoSpaceDE w:val="0"/>
        <w:autoSpaceDN w:val="0"/>
        <w:bidi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val="en-US" w:eastAsia="zh-CN"/>
        </w:rPr>
        <w:t>竞争性谈判</w:t>
      </w:r>
      <w:r>
        <w:rPr>
          <w:rFonts w:hint="eastAsia" w:ascii="宋体" w:hAnsi="宋体" w:eastAsia="宋体" w:cs="宋体"/>
          <w:color w:val="auto"/>
          <w:szCs w:val="21"/>
          <w:highlight w:val="none"/>
          <w:u w:val="single"/>
        </w:rPr>
        <w:t>文件及通用条款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val="en-US" w:eastAsia="zh-CN"/>
        </w:rPr>
        <w:t>竞争性谈判</w:t>
      </w:r>
      <w:r>
        <w:rPr>
          <w:rFonts w:hint="eastAsia" w:ascii="宋体" w:hAnsi="宋体" w:eastAsia="宋体" w:cs="宋体"/>
          <w:color w:val="auto"/>
          <w:szCs w:val="21"/>
          <w:highlight w:val="none"/>
          <w:u w:val="single"/>
        </w:rPr>
        <w:t>文件及通用条款</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76" w:name="_Toc18402"/>
      <w:bookmarkStart w:id="77" w:name="_Toc23870"/>
      <w:r>
        <w:rPr>
          <w:rFonts w:hint="eastAsia" w:ascii="宋体" w:hAnsi="宋体" w:eastAsia="宋体" w:cs="宋体"/>
          <w:color w:val="auto"/>
          <w:sz w:val="21"/>
          <w:szCs w:val="21"/>
          <w:highlight w:val="none"/>
        </w:rPr>
        <w:t>1.5 合同文件的优先顺序</w:t>
      </w:r>
      <w:bookmarkEnd w:id="76"/>
      <w:bookmarkEnd w:id="77"/>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通知书；</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竞争性谈判</w:t>
      </w:r>
      <w:r>
        <w:rPr>
          <w:rFonts w:hint="eastAsia" w:ascii="宋体" w:hAnsi="宋体" w:eastAsia="宋体" w:cs="宋体"/>
          <w:color w:val="auto"/>
          <w:szCs w:val="21"/>
          <w:highlight w:val="none"/>
        </w:rPr>
        <w:t>文件；</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（3）合同协议书；</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（4）合同专用条款；</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（5）合同通用条款；</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val="en-US" w:eastAsia="zh-CN"/>
        </w:rPr>
        <w:t>谈判响应</w:t>
      </w:r>
      <w:r>
        <w:rPr>
          <w:rFonts w:hint="eastAsia" w:ascii="宋体" w:hAnsi="宋体" w:eastAsia="宋体" w:cs="宋体"/>
          <w:color w:val="auto"/>
          <w:szCs w:val="21"/>
          <w:highlight w:val="none"/>
        </w:rPr>
        <w:t>文件；</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）列入合同的投标辅助资料。</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78" w:name="_Toc31059"/>
      <w:bookmarkStart w:id="79" w:name="_Toc22017"/>
      <w:r>
        <w:rPr>
          <w:rFonts w:hint="eastAsia" w:ascii="宋体" w:hAnsi="宋体" w:eastAsia="宋体" w:cs="宋体"/>
          <w:color w:val="auto"/>
          <w:sz w:val="21"/>
          <w:szCs w:val="21"/>
          <w:highlight w:val="none"/>
        </w:rPr>
        <w:t>1.6 图纸和承包人文件</w:t>
      </w:r>
      <w:bookmarkEnd w:id="78"/>
      <w:bookmarkEnd w:id="79"/>
      <w:r>
        <w:rPr>
          <w:rFonts w:hint="eastAsia" w:ascii="宋体" w:hAnsi="宋体" w:eastAsia="宋体" w:cs="宋体"/>
          <w:color w:val="auto"/>
          <w:sz w:val="21"/>
          <w:szCs w:val="21"/>
          <w:highlight w:val="none"/>
        </w:rPr>
        <w:tab/>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合同签订后三日内</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施工图以及图审意见回复变更通知书、图纸补疑文件等</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贰套</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pPr>
        <w:pageBreakBefore w:val="0"/>
        <w:kinsoku/>
        <w:wordWrap/>
        <w:overflowPunct/>
        <w:topLinePunct w:val="0"/>
        <w:bidi w:val="0"/>
        <w:spacing w:line="240" w:lineRule="auto"/>
        <w:ind w:left="596" w:leftChars="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 xml:space="preserve"> 工程开工前3天</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叁份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 xml:space="preserve"> 纸质版两份，电子版一份</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Cs w:val="21"/>
          <w:highlight w:val="none"/>
          <w:u w:val="single"/>
        </w:rPr>
        <w:t>承包人提交全部资料后七日内</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80" w:name="_Toc14830"/>
      <w:bookmarkStart w:id="81" w:name="_Toc17217"/>
      <w:r>
        <w:rPr>
          <w:rFonts w:hint="eastAsia" w:ascii="宋体" w:hAnsi="宋体" w:eastAsia="宋体" w:cs="宋体"/>
          <w:color w:val="auto"/>
          <w:sz w:val="21"/>
          <w:szCs w:val="21"/>
          <w:highlight w:val="none"/>
        </w:rPr>
        <w:t>1.7 联络</w:t>
      </w:r>
      <w:bookmarkEnd w:id="80"/>
      <w:bookmarkEnd w:id="81"/>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lang w:eastAsia="zh-CN"/>
        </w:rPr>
        <w:t>七</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施工现场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施工现场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82" w:name="_Toc15291"/>
      <w:bookmarkStart w:id="83" w:name="_Toc8730"/>
      <w:r>
        <w:rPr>
          <w:rFonts w:hint="eastAsia" w:ascii="宋体" w:hAnsi="宋体" w:eastAsia="宋体" w:cs="宋体"/>
          <w:color w:val="auto"/>
          <w:sz w:val="21"/>
          <w:szCs w:val="21"/>
          <w:highlight w:val="none"/>
        </w:rPr>
        <w:t>1.10 交通运输</w:t>
      </w:r>
      <w:bookmarkEnd w:id="82"/>
      <w:bookmarkEnd w:id="83"/>
    </w:p>
    <w:p>
      <w:pPr>
        <w:pageBreakBefore w:val="0"/>
        <w:kinsoku/>
        <w:wordWrap/>
        <w:overflowPunct/>
        <w:topLinePunct w:val="0"/>
        <w:bidi w:val="0"/>
        <w:spacing w:line="240" w:lineRule="auto"/>
        <w:ind w:firstLine="420" w:firstLineChars="200"/>
        <w:outlineLvl w:val="0"/>
        <w:rPr>
          <w:rFonts w:hint="eastAsia" w:ascii="宋体" w:hAnsi="宋体" w:eastAsia="宋体" w:cs="宋体"/>
          <w:color w:val="auto"/>
          <w:sz w:val="21"/>
          <w:szCs w:val="21"/>
          <w:highlight w:val="none"/>
        </w:rPr>
      </w:pPr>
      <w:bookmarkStart w:id="84" w:name="_Toc9447"/>
      <w:bookmarkStart w:id="85" w:name="_Toc2418"/>
      <w:r>
        <w:rPr>
          <w:rFonts w:hint="eastAsia" w:ascii="宋体" w:hAnsi="宋体" w:eastAsia="宋体" w:cs="宋体"/>
          <w:color w:val="auto"/>
          <w:sz w:val="21"/>
          <w:szCs w:val="21"/>
          <w:highlight w:val="none"/>
        </w:rPr>
        <w:t>1.10.1 出入现场的权利</w:t>
      </w:r>
      <w:bookmarkEnd w:id="84"/>
      <w:bookmarkEnd w:id="85"/>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承包人应对出入施工现场的车辆进行管理，工程运输车辆应符合安庆市城市管理有关规定</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86" w:name="_Toc8371"/>
      <w:bookmarkStart w:id="87" w:name="_Toc12638"/>
      <w:r>
        <w:rPr>
          <w:rFonts w:hint="eastAsia" w:ascii="宋体" w:hAnsi="宋体" w:eastAsia="宋体" w:cs="宋体"/>
          <w:color w:val="auto"/>
          <w:sz w:val="21"/>
          <w:szCs w:val="21"/>
          <w:highlight w:val="none"/>
        </w:rPr>
        <w:t>1.10.3 场内交通</w:t>
      </w:r>
      <w:bookmarkEnd w:id="86"/>
      <w:bookmarkEnd w:id="87"/>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规划红线</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不提供</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88" w:name="_Toc10302"/>
      <w:bookmarkStart w:id="89" w:name="_Toc14580"/>
      <w:r>
        <w:rPr>
          <w:rFonts w:hint="eastAsia" w:ascii="宋体" w:hAnsi="宋体" w:eastAsia="宋体" w:cs="宋体"/>
          <w:color w:val="auto"/>
          <w:sz w:val="21"/>
          <w:szCs w:val="21"/>
          <w:highlight w:val="none"/>
        </w:rPr>
        <w:t>1.11 知识产权</w:t>
      </w:r>
      <w:bookmarkEnd w:id="88"/>
      <w:bookmarkEnd w:id="89"/>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outlineLvl w:val="0"/>
        <w:rPr>
          <w:rFonts w:hint="eastAsia" w:ascii="宋体" w:hAnsi="宋体" w:eastAsia="宋体" w:cs="宋体"/>
          <w:color w:val="auto"/>
          <w:kern w:val="0"/>
          <w:sz w:val="21"/>
          <w:szCs w:val="21"/>
          <w:highlight w:val="none"/>
        </w:rPr>
      </w:pPr>
      <w:bookmarkStart w:id="90" w:name="_Toc19571"/>
      <w:bookmarkStart w:id="91" w:name="_Toc18982"/>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bookmarkEnd w:id="90"/>
      <w:bookmarkEnd w:id="91"/>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eastAsia="宋体" w:cs="宋体"/>
          <w:color w:val="auto"/>
          <w:szCs w:val="21"/>
          <w:highlight w:val="none"/>
          <w:u w:val="single"/>
          <w:lang w:eastAsia="zh-CN"/>
        </w:rPr>
        <w:t>竞争性谈判</w:t>
      </w:r>
      <w:r>
        <w:rPr>
          <w:rFonts w:hint="eastAsia" w:ascii="宋体" w:hAnsi="宋体" w:cs="宋体"/>
          <w:color w:val="auto"/>
          <w:szCs w:val="21"/>
          <w:highlight w:val="none"/>
          <w:u w:val="single"/>
          <w:lang w:val="en-US" w:eastAsia="zh-CN"/>
        </w:rPr>
        <w:t>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w:t>
      </w:r>
      <w:r>
        <w:rPr>
          <w:rFonts w:hint="eastAsia" w:ascii="宋体" w:hAnsi="宋体" w:eastAsia="宋体" w:cs="宋体"/>
          <w:color w:val="auto"/>
          <w:szCs w:val="21"/>
          <w:highlight w:val="none"/>
          <w:u w:val="single"/>
          <w:lang w:eastAsia="zh-CN"/>
        </w:rPr>
        <w:t>竞争性谈判</w:t>
      </w:r>
      <w:r>
        <w:rPr>
          <w:rFonts w:hint="eastAsia" w:ascii="宋体" w:hAnsi="宋体" w:cs="宋体"/>
          <w:color w:val="auto"/>
          <w:szCs w:val="21"/>
          <w:highlight w:val="none"/>
          <w:u w:val="single"/>
          <w:lang w:val="en-US" w:eastAsia="zh-CN"/>
        </w:rPr>
        <w:t>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 发包人</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92" w:name="_Toc16291"/>
      <w:bookmarkStart w:id="93" w:name="_Toc6535"/>
      <w:r>
        <w:rPr>
          <w:rFonts w:hint="eastAsia" w:ascii="宋体" w:hAnsi="宋体" w:eastAsia="宋体" w:cs="宋体"/>
          <w:color w:val="auto"/>
          <w:sz w:val="21"/>
          <w:szCs w:val="21"/>
          <w:highlight w:val="none"/>
        </w:rPr>
        <w:t>2.2 发包人代表</w:t>
      </w:r>
      <w:bookmarkEnd w:id="92"/>
      <w:bookmarkEnd w:id="93"/>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Cs w:val="21"/>
          <w:highlight w:val="none"/>
          <w:u w:val="single"/>
        </w:rPr>
        <w:t>除设计变更、费用调整、工期延长及其他法律、法规和政策性规定须由发包人批准才能行使职权的事项外，其它执行竞争性谈判文件及通用条款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94" w:name="_Toc6072"/>
      <w:bookmarkStart w:id="95" w:name="_Toc12298"/>
      <w:r>
        <w:rPr>
          <w:rFonts w:hint="eastAsia" w:ascii="宋体" w:hAnsi="宋体" w:eastAsia="宋体" w:cs="宋体"/>
          <w:color w:val="auto"/>
          <w:sz w:val="21"/>
          <w:szCs w:val="21"/>
          <w:highlight w:val="none"/>
        </w:rPr>
        <w:t>2.4 施工现场、施工条件和基础资料的提供</w:t>
      </w:r>
      <w:bookmarkEnd w:id="94"/>
      <w:bookmarkEnd w:id="95"/>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96" w:name="_Toc2686"/>
      <w:bookmarkStart w:id="97" w:name="_Toc12988"/>
      <w:r>
        <w:rPr>
          <w:rFonts w:hint="eastAsia" w:ascii="宋体" w:hAnsi="宋体" w:eastAsia="宋体" w:cs="宋体"/>
          <w:color w:val="auto"/>
          <w:sz w:val="21"/>
          <w:szCs w:val="21"/>
          <w:highlight w:val="none"/>
        </w:rPr>
        <w:t>2.5 资金来源证明及支付担保</w:t>
      </w:r>
      <w:bookmarkEnd w:id="96"/>
      <w:bookmarkEnd w:id="97"/>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不提供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不提供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不提供</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 承包人</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竣工资料执行《建设工程文件归档规范》（GB/T50328-20</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2019版本</w:t>
      </w:r>
      <w:r>
        <w:rPr>
          <w:rFonts w:hint="eastAsia" w:ascii="宋体" w:hAnsi="宋体" w:cs="宋体"/>
          <w:color w:val="auto"/>
          <w:szCs w:val="21"/>
          <w:highlight w:val="none"/>
          <w:u w:val="single"/>
          <w:lang w:eastAsia="zh-CN"/>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竣工资料各肆套并提供电子版一套</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竣工验收后15日内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整理装订成册并签章的书面文件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Cs w:val="21"/>
          <w:highlight w:val="none"/>
          <w:u w:val="single"/>
        </w:rPr>
        <w:t>负责施工现场的项目管理工程</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Cs w:val="21"/>
          <w:highlight w:val="none"/>
          <w:u w:val="single"/>
        </w:rPr>
        <w:t>项目经理应常驻施工现场，且每月在施工现场时间不得少于26天。项目经理确需离开施工现场时，应事先通知监理人，并取得发包人的书面同意</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由承包人自行解决</w:t>
      </w:r>
      <w:r>
        <w:rPr>
          <w:rFonts w:hint="eastAsia" w:ascii="宋体" w:hAnsi="宋体" w:eastAsia="宋体" w:cs="宋体"/>
          <w:color w:val="auto"/>
          <w:sz w:val="21"/>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项目经理要常驻施工现场，离开现场的须经发包人同意，并书面指定临时代表，代为行使项目经理权利，该临时代表的一切行为均认为是项目经理的行为。未经发包人批准，擅自离开施工现场，一经发现，每次扣罚2000元，工程建设期间发生三次以上（不含三次），发包人有权终止合同、履约保证金不予退还。</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3.2.3承包人擅自更换项目经理的违约责任：</w:t>
      </w:r>
      <w:r>
        <w:rPr>
          <w:rFonts w:hint="eastAsia" w:ascii="宋体" w:hAnsi="宋体" w:eastAsia="宋体" w:cs="宋体"/>
          <w:color w:val="auto"/>
          <w:szCs w:val="21"/>
          <w:highlight w:val="none"/>
          <w:u w:val="single"/>
        </w:rPr>
        <w:t>须提前14天通知发包人和监理人，并征得发包人的书面同意，更换后的项目经理资历、水平不</w:t>
      </w:r>
      <w:r>
        <w:rPr>
          <w:rFonts w:hint="eastAsia" w:ascii="宋体" w:hAnsi="宋体" w:eastAsia="宋体" w:cs="宋体"/>
          <w:color w:val="auto"/>
          <w:szCs w:val="21"/>
          <w:highlight w:val="none"/>
          <w:u w:val="single"/>
          <w:lang w:eastAsia="zh-CN"/>
        </w:rPr>
        <w:t>得</w:t>
      </w:r>
      <w:r>
        <w:rPr>
          <w:rFonts w:hint="eastAsia" w:ascii="宋体" w:hAnsi="宋体" w:eastAsia="宋体" w:cs="宋体"/>
          <w:color w:val="auto"/>
          <w:szCs w:val="21"/>
          <w:highlight w:val="none"/>
          <w:u w:val="single"/>
        </w:rPr>
        <w:t>降低。擅自更换项目经理将对承包人处以5000~20000元违约金处罚。</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3.2.4承包人无正当理由拒绝更换项目经理的违约责任：</w:t>
      </w:r>
      <w:r>
        <w:rPr>
          <w:rFonts w:hint="eastAsia" w:ascii="宋体" w:hAnsi="宋体" w:eastAsia="宋体" w:cs="宋体"/>
          <w:color w:val="auto"/>
          <w:szCs w:val="21"/>
          <w:highlight w:val="none"/>
          <w:u w:val="single"/>
        </w:rPr>
        <w:t>将对承包人处以5000元~20000元违约金处罚。</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Cs w:val="21"/>
          <w:highlight w:val="none"/>
          <w:u w:val="single"/>
        </w:rPr>
        <w:t>施工合同签订后3日内</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Cs w:val="21"/>
          <w:highlight w:val="none"/>
          <w:u w:val="single"/>
        </w:rPr>
        <w:t>执行竞争性谈判文件及通用条款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Cs w:val="21"/>
          <w:highlight w:val="none"/>
          <w:u w:val="single"/>
        </w:rPr>
        <w:t>承包人主要施工管理人员应常驻现场，离开现场须经发包人或监理人同意，擅自离开的，一经发现，将按竞争性谈判文件进行处罚</w:t>
      </w:r>
      <w:r>
        <w:rPr>
          <w:rFonts w:hint="eastAsia" w:ascii="宋体" w:hAnsi="宋体" w:eastAsia="宋体" w:cs="宋体"/>
          <w:color w:val="auto"/>
          <w:sz w:val="21"/>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color w:val="auto"/>
          <w:szCs w:val="21"/>
          <w:highlight w:val="none"/>
          <w:u w:val="single"/>
        </w:rPr>
        <w:t>将对承包人处以警告处罚，情节严重处以2000元~50000元违约金处罚，直至解除合同。</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分包</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分包的一般约定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主体结构工程、关键性工作</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Cs w:val="21"/>
          <w:highlight w:val="none"/>
          <w:u w:val="single"/>
        </w:rPr>
        <w:t>涉及承包人资质证书承包范围内的工程内容</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3.5.2分包的确定</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Cs w:val="21"/>
          <w:highlight w:val="none"/>
          <w:u w:val="single"/>
        </w:rPr>
        <w:t>涉及承包人资质证书承包范围外的工程内容</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pPr>
        <w:pageBreakBefore w:val="0"/>
        <w:kinsoku/>
        <w:wordWrap/>
        <w:overflowPunct/>
        <w:topLinePunct w:val="0"/>
        <w:bidi w:val="0"/>
        <w:spacing w:before="120" w:after="120" w:line="24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kern w:val="0"/>
          <w:szCs w:val="21"/>
          <w:highlight w:val="none"/>
          <w:u w:val="single"/>
        </w:rPr>
        <w:t>承包人按</w:t>
      </w:r>
      <w:r>
        <w:rPr>
          <w:rFonts w:hint="eastAsia" w:ascii="宋体" w:hAnsi="宋体" w:eastAsia="宋体" w:cs="宋体"/>
          <w:bCs/>
          <w:color w:val="auto"/>
          <w:kern w:val="0"/>
          <w:szCs w:val="21"/>
          <w:highlight w:val="none"/>
          <w:u w:val="single"/>
          <w:lang w:val="en-US" w:eastAsia="zh-CN"/>
        </w:rPr>
        <w:t>竞争性谈判文件</w:t>
      </w:r>
      <w:r>
        <w:rPr>
          <w:rFonts w:hint="eastAsia" w:ascii="宋体" w:hAnsi="宋体" w:eastAsia="宋体" w:cs="宋体"/>
          <w:bCs/>
          <w:color w:val="auto"/>
          <w:kern w:val="0"/>
          <w:szCs w:val="21"/>
          <w:highlight w:val="none"/>
          <w:u w:val="single"/>
          <w:lang w:eastAsia="zh-CN"/>
        </w:rPr>
        <w:t>约定</w:t>
      </w:r>
      <w:r>
        <w:rPr>
          <w:rFonts w:hint="eastAsia" w:ascii="宋体" w:hAnsi="宋体" w:eastAsia="宋体" w:cs="宋体"/>
          <w:bCs/>
          <w:color w:val="auto"/>
          <w:kern w:val="0"/>
          <w:szCs w:val="21"/>
          <w:highlight w:val="none"/>
          <w:u w:val="single"/>
        </w:rPr>
        <w:t>向发包人提交履约担保</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 监理人</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详见监理合同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除设计变更、费用调整、工期延长及其他法律、法规和政策性规定须由发包人批准才能行使职权的事项外，其它执行竞争性谈判文件及通用条款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承包人为监理人提供办公场所一间</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在发包人和承包人不能通过协商达成一致意见时，发包人授权监理人对以下事项进行确定：</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 工程质量</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98" w:name="_Toc12030"/>
      <w:bookmarkStart w:id="99" w:name="_Toc1232"/>
      <w:r>
        <w:rPr>
          <w:rFonts w:hint="eastAsia" w:ascii="宋体" w:hAnsi="宋体" w:eastAsia="宋体" w:cs="宋体"/>
          <w:color w:val="auto"/>
          <w:sz w:val="21"/>
          <w:szCs w:val="21"/>
          <w:highlight w:val="none"/>
        </w:rPr>
        <w:t>5.1 质量要求</w:t>
      </w:r>
      <w:bookmarkEnd w:id="98"/>
      <w:bookmarkEnd w:id="99"/>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特殊质量标准和要求：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合格标准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00" w:name="_Toc15686"/>
      <w:bookmarkStart w:id="101" w:name="_Toc4426"/>
      <w:r>
        <w:rPr>
          <w:rFonts w:hint="eastAsia" w:ascii="宋体" w:hAnsi="宋体" w:eastAsia="宋体" w:cs="宋体"/>
          <w:color w:val="auto"/>
          <w:sz w:val="21"/>
          <w:szCs w:val="21"/>
          <w:highlight w:val="none"/>
        </w:rPr>
        <w:t>5.3 隐蔽工程检查</w:t>
      </w:r>
      <w:bookmarkEnd w:id="100"/>
      <w:bookmarkEnd w:id="101"/>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 安全文明施工与环境保护</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执行国家、省、市有关规定，确保文明施工</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与工程进度款同期支付</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 工期和进度</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7.1.1 合</w:t>
      </w:r>
      <w:r>
        <w:rPr>
          <w:rFonts w:hint="eastAsia" w:ascii="宋体" w:hAnsi="宋体" w:eastAsia="宋体" w:cs="宋体"/>
          <w:color w:val="auto"/>
          <w:kern w:val="0"/>
          <w:sz w:val="21"/>
          <w:szCs w:val="21"/>
          <w:highlight w:val="none"/>
        </w:rPr>
        <w:t>同当事人约定的施工组织设计应包括的其他内容：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施工进度计划</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发包人应按照法律规定获得工程施工所需的许可。经发包人同意后，监理人发出的开工通知应符合法律规定。监理人应在计划开工日期7天前向承包人发出开工通知，工期以开工通知中的开工日期起算</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Cs w:val="21"/>
          <w:highlight w:val="none"/>
          <w:u w:val="single"/>
        </w:rPr>
        <w:t>7日内</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工期延误</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 因承包人原因导致工期延误</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因承包人原因造成工期延误，逾期竣工违约金的计算方法为：</w:t>
      </w:r>
      <w:r>
        <w:rPr>
          <w:rFonts w:hint="eastAsia" w:ascii="宋体" w:hAnsi="宋体" w:eastAsia="宋体" w:cs="宋体"/>
          <w:color w:val="auto"/>
          <w:szCs w:val="21"/>
          <w:highlight w:val="none"/>
          <w:u w:val="single"/>
        </w:rPr>
        <w:t>每延期竣工一天，承包人支付发包人合同价款的万分之三的违约金；违约金最高限额为合同价款的6%。延期竣工</w:t>
      </w:r>
      <w:r>
        <w:rPr>
          <w:rFonts w:hint="eastAsia" w:ascii="宋体" w:hAnsi="宋体" w:cs="宋体"/>
          <w:color w:val="auto"/>
          <w:szCs w:val="21"/>
          <w:highlight w:val="none"/>
          <w:u w:val="single"/>
          <w:lang w:val="en-US" w:eastAsia="zh-CN"/>
        </w:rPr>
        <w:t>1周</w:t>
      </w:r>
      <w:r>
        <w:rPr>
          <w:rFonts w:hint="eastAsia" w:ascii="宋体" w:hAnsi="宋体" w:eastAsia="宋体" w:cs="宋体"/>
          <w:color w:val="auto"/>
          <w:szCs w:val="21"/>
          <w:highlight w:val="none"/>
          <w:u w:val="single"/>
        </w:rPr>
        <w:t>以上的，发包人有权解除合同并追究连带损失</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102" w:name="_Toc312678014"/>
      <w:bookmarkStart w:id="103" w:name="_Toc318581171"/>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02"/>
    <w:bookmarkEnd w:id="103"/>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 不利物质条件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7.7异常恶劣的气候条件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（1）战争、动乱、空中飞行物体坠落或其他非发包人承包人责任造成的爆炸、火灾；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（2）四级以上地震，连续四日日降雨量100mm以上的天气及其他天灾；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（3）其它执行通用合同条款。</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04" w:name="_Toc22791"/>
      <w:bookmarkStart w:id="105" w:name="_Toc803"/>
      <w:r>
        <w:rPr>
          <w:rFonts w:hint="eastAsia" w:ascii="宋体" w:hAnsi="宋体" w:eastAsia="宋体" w:cs="宋体"/>
          <w:color w:val="auto"/>
          <w:sz w:val="21"/>
          <w:szCs w:val="21"/>
          <w:highlight w:val="none"/>
        </w:rPr>
        <w:t>7.9 提前竣工的奖励</w:t>
      </w:r>
      <w:bookmarkEnd w:id="104"/>
      <w:bookmarkEnd w:id="105"/>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 材料与设备</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8.4材料与工程设备的保管与使用</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8.4.1发包人供应的材料设备的保管费用的承担：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06" w:name="_Toc3274"/>
      <w:bookmarkStart w:id="107" w:name="_Toc652"/>
      <w:r>
        <w:rPr>
          <w:rFonts w:hint="eastAsia" w:ascii="宋体" w:hAnsi="宋体" w:eastAsia="宋体" w:cs="宋体"/>
          <w:color w:val="auto"/>
          <w:sz w:val="21"/>
          <w:szCs w:val="21"/>
          <w:highlight w:val="none"/>
        </w:rPr>
        <w:t>8.6 样品</w:t>
      </w:r>
      <w:bookmarkEnd w:id="106"/>
      <w:bookmarkEnd w:id="107"/>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8.6.1样品的报送与封存</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08" w:name="_Toc6426"/>
      <w:bookmarkStart w:id="109" w:name="_Toc26592"/>
      <w:r>
        <w:rPr>
          <w:rFonts w:hint="eastAsia" w:ascii="宋体" w:hAnsi="宋体" w:eastAsia="宋体" w:cs="宋体"/>
          <w:color w:val="auto"/>
          <w:sz w:val="21"/>
          <w:szCs w:val="21"/>
          <w:highlight w:val="none"/>
        </w:rPr>
        <w:t>8.8 施工设备和临时设施</w:t>
      </w:r>
      <w:bookmarkEnd w:id="108"/>
      <w:bookmarkEnd w:id="109"/>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 试验与检验</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9.1试验设备与试验人员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试验设备</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施工现场需要配置的试验场所：</w:t>
      </w:r>
      <w:r>
        <w:rPr>
          <w:rFonts w:hint="eastAsia" w:ascii="宋体" w:hAnsi="宋体" w:eastAsia="宋体" w:cs="宋体"/>
          <w:color w:val="auto"/>
          <w:szCs w:val="21"/>
          <w:highlight w:val="none"/>
          <w:u w:val="single"/>
        </w:rPr>
        <w:t>承包人自行解决，费用自理。</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承包人自行解决，费用自理。</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Cs w:val="21"/>
          <w:highlight w:val="none"/>
          <w:u w:val="single"/>
        </w:rPr>
      </w:pPr>
      <w:bookmarkStart w:id="110" w:name="_Toc1869"/>
      <w:bookmarkStart w:id="111" w:name="_Toc9705"/>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承包人自行解决，费用自理。</w:t>
      </w:r>
      <w:bookmarkEnd w:id="110"/>
      <w:bookmarkEnd w:id="111"/>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12" w:name="_Toc6064"/>
      <w:bookmarkStart w:id="113" w:name="_Toc9596"/>
      <w:r>
        <w:rPr>
          <w:rFonts w:hint="eastAsia" w:ascii="宋体" w:hAnsi="宋体" w:eastAsia="宋体" w:cs="宋体"/>
          <w:color w:val="auto"/>
          <w:sz w:val="21"/>
          <w:szCs w:val="21"/>
          <w:highlight w:val="none"/>
        </w:rPr>
        <w:t>9.4 现场工艺试验</w:t>
      </w:r>
      <w:bookmarkEnd w:id="112"/>
      <w:bookmarkEnd w:id="113"/>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 变更</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10.1变更的范围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执行竞争性谈判文件及通用条款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14" w:name="_Toc7399"/>
      <w:bookmarkStart w:id="115" w:name="_Toc27145"/>
      <w:r>
        <w:rPr>
          <w:rFonts w:hint="eastAsia" w:ascii="宋体" w:hAnsi="宋体" w:eastAsia="宋体" w:cs="宋体"/>
          <w:color w:val="auto"/>
          <w:sz w:val="21"/>
          <w:szCs w:val="21"/>
          <w:highlight w:val="none"/>
        </w:rPr>
        <w:t>10.4 变更估价</w:t>
      </w:r>
      <w:bookmarkEnd w:id="114"/>
      <w:bookmarkEnd w:id="115"/>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u w:val="single"/>
        </w:rPr>
        <w:t xml:space="preserve"> （1）合同价中已有适用的综合单价，按</w:t>
      </w:r>
      <w:r>
        <w:rPr>
          <w:rFonts w:hint="eastAsia" w:ascii="宋体" w:hAnsi="宋体" w:eastAsia="宋体" w:cs="宋体"/>
          <w:color w:val="auto"/>
          <w:sz w:val="21"/>
          <w:szCs w:val="21"/>
          <w:highlight w:val="none"/>
          <w:u w:val="single"/>
          <w:lang w:eastAsia="zh-CN"/>
        </w:rPr>
        <w:t>最高投标限价</w:t>
      </w:r>
      <w:r>
        <w:rPr>
          <w:rFonts w:hint="eastAsia" w:ascii="宋体" w:hAnsi="宋体" w:eastAsia="宋体" w:cs="宋体"/>
          <w:color w:val="auto"/>
          <w:sz w:val="21"/>
          <w:szCs w:val="21"/>
          <w:highlight w:val="none"/>
          <w:u w:val="single"/>
        </w:rPr>
        <w:t>中的子目综合单价结合下浮率计算结算价款；（2）合同价中有类似的综合单价，参照</w:t>
      </w:r>
      <w:r>
        <w:rPr>
          <w:rFonts w:hint="eastAsia" w:ascii="宋体" w:hAnsi="宋体" w:eastAsia="宋体" w:cs="宋体"/>
          <w:color w:val="auto"/>
          <w:sz w:val="21"/>
          <w:szCs w:val="21"/>
          <w:highlight w:val="none"/>
          <w:u w:val="single"/>
          <w:lang w:eastAsia="zh-CN"/>
        </w:rPr>
        <w:t>最高投标限价</w:t>
      </w:r>
      <w:r>
        <w:rPr>
          <w:rFonts w:hint="eastAsia" w:ascii="宋体" w:hAnsi="宋体" w:eastAsia="宋体" w:cs="宋体"/>
          <w:color w:val="auto"/>
          <w:sz w:val="21"/>
          <w:szCs w:val="21"/>
          <w:highlight w:val="none"/>
          <w:u w:val="single"/>
        </w:rPr>
        <w:t>中的子目综合单价结合下浮率计算结算价款；（3）合同价中没有适用或类似的综合单价，由承包人根据</w:t>
      </w:r>
      <w:r>
        <w:rPr>
          <w:rFonts w:hint="eastAsia" w:ascii="宋体" w:hAnsi="宋体" w:eastAsia="宋体" w:cs="宋体"/>
          <w:color w:val="auto"/>
          <w:sz w:val="21"/>
          <w:szCs w:val="21"/>
          <w:highlight w:val="none"/>
          <w:u w:val="single"/>
          <w:lang w:eastAsia="zh-CN"/>
        </w:rPr>
        <w:t>最高投标限价</w:t>
      </w:r>
      <w:r>
        <w:rPr>
          <w:rFonts w:hint="eastAsia" w:ascii="宋体" w:hAnsi="宋体" w:eastAsia="宋体" w:cs="宋体"/>
          <w:color w:val="auto"/>
          <w:sz w:val="21"/>
          <w:szCs w:val="21"/>
          <w:highlight w:val="none"/>
          <w:u w:val="single"/>
        </w:rPr>
        <w:t>编制依据中的计价原则规定提出适当的综合单价，经发包人或其委托的工程造价咨询单位审定后作为结算依据，</w:t>
      </w:r>
      <w:r>
        <w:rPr>
          <w:rFonts w:hint="eastAsia" w:ascii="宋体" w:hAnsi="宋体" w:eastAsia="宋体" w:cs="宋体"/>
          <w:color w:val="auto"/>
          <w:szCs w:val="21"/>
          <w:highlight w:val="none"/>
          <w:u w:val="single"/>
        </w:rPr>
        <w:t>该综合单价需乘以（1-下浮率）作为实际结算综合单价予以结算，最终结算价以</w:t>
      </w:r>
      <w:r>
        <w:rPr>
          <w:rFonts w:hint="eastAsia" w:ascii="宋体" w:hAnsi="宋体" w:eastAsia="宋体" w:cs="宋体"/>
          <w:color w:val="auto"/>
          <w:sz w:val="21"/>
          <w:szCs w:val="21"/>
          <w:highlight w:val="none"/>
          <w:u w:val="single"/>
        </w:rPr>
        <w:t>发包人或其委托的</w:t>
      </w:r>
      <w:r>
        <w:rPr>
          <w:rFonts w:hint="eastAsia" w:ascii="宋体" w:hAnsi="宋体" w:eastAsia="宋体" w:cs="宋体"/>
          <w:color w:val="auto"/>
          <w:sz w:val="21"/>
          <w:szCs w:val="21"/>
          <w:highlight w:val="none"/>
          <w:u w:val="single"/>
          <w:lang w:eastAsia="zh-CN"/>
        </w:rPr>
        <w:t>其他机构</w:t>
      </w:r>
      <w:r>
        <w:rPr>
          <w:rFonts w:hint="eastAsia" w:ascii="宋体" w:hAnsi="宋体" w:eastAsia="宋体" w:cs="宋体"/>
          <w:color w:val="auto"/>
          <w:szCs w:val="21"/>
          <w:highlight w:val="none"/>
          <w:u w:val="single"/>
        </w:rPr>
        <w:t>审定价为准。其中下浮率=[1-（中标人的中标价-</w:t>
      </w:r>
      <w:r>
        <w:rPr>
          <w:rFonts w:hint="eastAsia" w:ascii="宋体" w:hAnsi="宋体" w:eastAsia="宋体" w:cs="宋体"/>
          <w:color w:val="auto"/>
          <w:szCs w:val="21"/>
          <w:highlight w:val="none"/>
          <w:u w:val="single"/>
          <w:lang w:eastAsia="zh-CN"/>
        </w:rPr>
        <w:t>暂列金额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暂估价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最高投标限价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暂列金额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暂估价</w:t>
      </w:r>
      <w:r>
        <w:rPr>
          <w:rFonts w:hint="eastAsia" w:ascii="宋体" w:hAnsi="宋体" w:eastAsia="宋体" w:cs="宋体"/>
          <w:color w:val="auto"/>
          <w:szCs w:val="21"/>
          <w:highlight w:val="none"/>
          <w:u w:val="single"/>
        </w:rPr>
        <w:t>）]×100%。</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10.5承包人的合理化建议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承包人提出的合理化建议降低了合同价格或者提高了工程经济效益的奖励的方法和金额为：</w:t>
      </w:r>
      <w:r>
        <w:rPr>
          <w:rFonts w:hint="eastAsia" w:ascii="宋体" w:hAnsi="宋体" w:eastAsia="宋体" w:cs="宋体"/>
          <w:color w:val="auto"/>
          <w:szCs w:val="21"/>
          <w:highlight w:val="none"/>
          <w:u w:val="singl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16" w:name="_Toc29382"/>
      <w:bookmarkStart w:id="117" w:name="_Toc8978"/>
      <w:r>
        <w:rPr>
          <w:rFonts w:hint="eastAsia" w:ascii="宋体" w:hAnsi="宋体" w:eastAsia="宋体" w:cs="宋体"/>
          <w:color w:val="auto"/>
          <w:sz w:val="21"/>
          <w:szCs w:val="21"/>
          <w:highlight w:val="none"/>
        </w:rPr>
        <w:t>10.7 暂估价</w:t>
      </w:r>
      <w:bookmarkEnd w:id="116"/>
      <w:bookmarkEnd w:id="117"/>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暂估价材料和工程设备的明细详见附件11：《</w:t>
      </w:r>
      <w:r>
        <w:rPr>
          <w:rFonts w:hint="eastAsia" w:ascii="宋体" w:hAnsi="宋体" w:eastAsia="宋体" w:cs="宋体"/>
          <w:color w:val="auto"/>
          <w:sz w:val="21"/>
          <w:szCs w:val="21"/>
          <w:highlight w:val="none"/>
        </w:rPr>
        <w:t>暂估价一览表》</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 依法必须招标的暂估价项目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种方式确定。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种方式确定。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 价格调整</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市场价格波动引起的调整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执行竞争性谈判文件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种方式对合同价格进行调整：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（2）关于基准价格的约定：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%时，其超过部分据实调整。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%时，其超过部分据实调整。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%时，其超过部分据实调整。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12. 合同价格、计量与支付</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12.1 合同价格形式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采用固定总价合同</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人工市场价、材料费及机械费的市场价格变化；除政策性调整、不可抗力以外的其他风险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投标人在投标报价时已经考虑，不再另行计取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Cs w:val="21"/>
          <w:highlight w:val="none"/>
          <w:u w:val="single"/>
        </w:rPr>
        <w:t>以相关的国家标准、行业标准等为依据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按月进行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每月25日前提交当月已完工程量报告，监理工程师在2日内审核完毕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w:t>
      </w:r>
      <w:r>
        <w:rPr>
          <w:rFonts w:hint="eastAsia" w:ascii="宋体" w:hAnsi="宋体" w:eastAsia="宋体" w:cs="宋体"/>
          <w:color w:val="auto"/>
          <w:kern w:val="0"/>
          <w:sz w:val="21"/>
          <w:szCs w:val="21"/>
          <w:highlight w:val="none"/>
        </w:rPr>
        <w:t xml:space="preserve">12.3.4 </w:t>
      </w:r>
      <w:r>
        <w:rPr>
          <w:rFonts w:hint="eastAsia" w:ascii="宋体" w:hAnsi="宋体" w:eastAsia="宋体" w:cs="宋体"/>
          <w:color w:val="auto"/>
          <w:sz w:val="21"/>
          <w:szCs w:val="21"/>
          <w:highlight w:val="none"/>
        </w:rPr>
        <w:t>项</w:t>
      </w:r>
      <w:r>
        <w:rPr>
          <w:rFonts w:hint="eastAsia" w:ascii="宋体" w:hAnsi="宋体" w:eastAsia="宋体" w:cs="宋体"/>
          <w:color w:val="auto"/>
          <w:kern w:val="0"/>
          <w:sz w:val="21"/>
          <w:szCs w:val="21"/>
          <w:highlight w:val="none"/>
        </w:rPr>
        <w:t>〔总价合同的计量〕</w:t>
      </w:r>
      <w:r>
        <w:rPr>
          <w:rFonts w:hint="eastAsia" w:ascii="宋体" w:hAnsi="宋体" w:eastAsia="宋体" w:cs="宋体"/>
          <w:color w:val="auto"/>
          <w:sz w:val="21"/>
          <w:szCs w:val="21"/>
          <w:highlight w:val="none"/>
        </w:rPr>
        <w:t>约定进行计量：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pPr>
        <w:pageBreakBefore w:val="0"/>
        <w:kinsoku/>
        <w:wordWrap/>
        <w:overflowPunct/>
        <w:topLinePunct w:val="0"/>
        <w:bidi w:val="0"/>
        <w:spacing w:line="240" w:lineRule="auto"/>
        <w:ind w:firstLine="420" w:firstLineChars="200"/>
        <w:jc w:val="left"/>
        <w:rPr>
          <w:rFonts w:hint="eastAsia" w:ascii="宋体" w:hAnsi="宋体" w:eastAsia="宋体" w:cs="宋体"/>
          <w:strike w:val="0"/>
          <w:dstrike w:val="0"/>
          <w:color w:val="auto"/>
          <w:szCs w:val="21"/>
          <w:highlight w:val="none"/>
          <w:u w:val="single"/>
        </w:rPr>
      </w:pPr>
      <w:r>
        <w:rPr>
          <w:rFonts w:hint="eastAsia" w:ascii="宋体" w:hAnsi="宋体" w:eastAsia="宋体" w:cs="宋体"/>
          <w:color w:val="auto"/>
          <w:sz w:val="21"/>
          <w:szCs w:val="21"/>
          <w:highlight w:val="none"/>
        </w:rPr>
        <w:t>关于付款周期的约定：</w:t>
      </w:r>
      <w:r>
        <w:rPr>
          <w:rFonts w:hint="eastAsia" w:ascii="宋体" w:hAnsi="宋体" w:eastAsia="宋体" w:cs="宋体"/>
          <w:strike w:val="0"/>
          <w:dstrike w:val="0"/>
          <w:color w:val="auto"/>
          <w:szCs w:val="21"/>
          <w:highlight w:val="none"/>
          <w:u w:val="single"/>
          <w:lang w:eastAsia="zh-CN"/>
        </w:rPr>
        <w:t>工程竣工验收合格后经发包人或其委托的其他机构审定确认实际结算额后付至审定额总价的97%，其余3%待工程缺陷责任期满无质量问题时付清（不计息）。</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eastAsia="宋体" w:cs="宋体"/>
          <w:strike w:val="0"/>
          <w:dstrike w:val="0"/>
          <w:color w:val="auto"/>
          <w:szCs w:val="21"/>
          <w:highlight w:val="none"/>
          <w:u w:val="single"/>
        </w:rPr>
        <w:t>竞争性谈判文件</w:t>
      </w:r>
      <w:r>
        <w:rPr>
          <w:rFonts w:hint="eastAsia" w:ascii="宋体" w:hAnsi="宋体" w:eastAsia="宋体" w:cs="宋体"/>
          <w:strike w:val="0"/>
          <w:color w:val="auto"/>
          <w:szCs w:val="21"/>
          <w:highlight w:val="none"/>
          <w:u w:val="single"/>
        </w:rPr>
        <w:t>及</w:t>
      </w:r>
      <w:r>
        <w:rPr>
          <w:rFonts w:hint="eastAsia" w:ascii="宋体" w:hAnsi="宋体" w:eastAsia="宋体" w:cs="宋体"/>
          <w:color w:val="auto"/>
          <w:szCs w:val="21"/>
          <w:highlight w:val="none"/>
          <w:u w:val="single"/>
        </w:rPr>
        <w:t>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pPr>
        <w:pageBreakBefore w:val="0"/>
        <w:kinsoku/>
        <w:wordWrap/>
        <w:overflowPunct/>
        <w:topLinePunct w:val="0"/>
        <w:bidi w:val="0"/>
        <w:spacing w:line="240" w:lineRule="auto"/>
        <w:ind w:left="4200" w:leftChars="200" w:hanging="3780" w:hangingChars="1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 验收和工程试车</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pPr>
        <w:pageBreakBefore w:val="0"/>
        <w:kinsoku/>
        <w:wordWrap/>
        <w:overflowPunct/>
        <w:topLinePunct w:val="0"/>
        <w:bidi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竣工验收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pPr>
        <w:pageBreakBefore w:val="0"/>
        <w:kinsoku/>
        <w:wordWrap/>
        <w:overflowPunct/>
        <w:topLinePunct w:val="0"/>
        <w:bidi w:val="0"/>
        <w:spacing w:line="240" w:lineRule="auto"/>
        <w:ind w:left="4200" w:leftChars="200" w:hanging="3780" w:hangingChars="18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18" w:name="_Toc7888"/>
      <w:bookmarkStart w:id="119" w:name="_Toc31312"/>
      <w:r>
        <w:rPr>
          <w:rFonts w:hint="eastAsia" w:ascii="宋体" w:hAnsi="宋体" w:eastAsia="宋体" w:cs="宋体"/>
          <w:color w:val="auto"/>
          <w:sz w:val="21"/>
          <w:szCs w:val="21"/>
          <w:highlight w:val="none"/>
        </w:rPr>
        <w:t>13.6 竣工退场</w:t>
      </w:r>
      <w:bookmarkEnd w:id="118"/>
      <w:bookmarkEnd w:id="119"/>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颁发工程接收证书后7日内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 竣工结算</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除执行通用条款外，还必须提交竣工结算审</w:t>
      </w:r>
      <w:r>
        <w:rPr>
          <w:rFonts w:hint="eastAsia" w:ascii="宋体" w:hAnsi="宋体" w:eastAsia="宋体" w:cs="宋体"/>
          <w:color w:val="auto"/>
          <w:szCs w:val="21"/>
          <w:highlight w:val="none"/>
          <w:u w:val="single"/>
          <w:lang w:eastAsia="zh-CN"/>
        </w:rPr>
        <w:t>定</w:t>
      </w:r>
      <w:r>
        <w:rPr>
          <w:rFonts w:hint="eastAsia" w:ascii="宋体" w:hAnsi="宋体" w:eastAsia="宋体" w:cs="宋体"/>
          <w:color w:val="auto"/>
          <w:szCs w:val="21"/>
          <w:highlight w:val="none"/>
          <w:u w:val="single"/>
        </w:rPr>
        <w:t>所需的资料文件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20" w:name="_Toc20379"/>
      <w:bookmarkStart w:id="121" w:name="_Toc20936"/>
      <w:r>
        <w:rPr>
          <w:rFonts w:hint="eastAsia" w:ascii="宋体" w:hAnsi="宋体" w:eastAsia="宋体" w:cs="宋体"/>
          <w:color w:val="auto"/>
          <w:sz w:val="21"/>
          <w:szCs w:val="21"/>
          <w:highlight w:val="none"/>
        </w:rPr>
        <w:t>14.2 竣工结算审核</w:t>
      </w:r>
      <w:bookmarkEnd w:id="120"/>
      <w:bookmarkEnd w:id="121"/>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依法定程序竣工结算审</w:t>
      </w:r>
      <w:r>
        <w:rPr>
          <w:rFonts w:hint="eastAsia" w:ascii="宋体" w:hAnsi="宋体" w:eastAsia="宋体" w:cs="宋体"/>
          <w:color w:val="auto"/>
          <w:szCs w:val="21"/>
          <w:highlight w:val="none"/>
          <w:u w:val="single"/>
          <w:lang w:eastAsia="zh-CN"/>
        </w:rPr>
        <w:t>定</w:t>
      </w:r>
      <w:r>
        <w:rPr>
          <w:rFonts w:hint="eastAsia" w:ascii="宋体" w:hAnsi="宋体" w:eastAsia="宋体" w:cs="宋体"/>
          <w:color w:val="auto"/>
          <w:szCs w:val="21"/>
          <w:highlight w:val="none"/>
          <w:u w:val="single"/>
        </w:rPr>
        <w:t>后30日内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签发竣工付款证书后60日内</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叁份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颁发最终结算证书后30日内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15. 缺陷责任期与保修</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eastAsia="宋体" w:cs="宋体"/>
          <w:b/>
          <w:bCs/>
          <w:color w:val="auto"/>
          <w:sz w:val="21"/>
          <w:szCs w:val="21"/>
          <w:highlight w:val="none"/>
          <w:u w:val="single"/>
          <w:lang w:eastAsia="zh-CN"/>
        </w:rPr>
        <w:t>个月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22" w:name="_Toc22641"/>
      <w:bookmarkStart w:id="123" w:name="_Toc4987"/>
      <w:r>
        <w:rPr>
          <w:rFonts w:hint="eastAsia" w:ascii="宋体" w:hAnsi="宋体" w:eastAsia="宋体" w:cs="宋体"/>
          <w:color w:val="auto"/>
          <w:sz w:val="21"/>
          <w:szCs w:val="21"/>
          <w:highlight w:val="none"/>
        </w:rPr>
        <w:t>15.3 质量保证金</w:t>
      </w:r>
      <w:bookmarkEnd w:id="122"/>
      <w:bookmarkEnd w:id="123"/>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124" w:name="_Toc5886"/>
      <w:bookmarkStart w:id="125" w:name="_Toc32379"/>
      <w:r>
        <w:rPr>
          <w:rFonts w:hint="eastAsia" w:ascii="宋体" w:hAnsi="宋体" w:eastAsia="宋体" w:cs="宋体"/>
          <w:color w:val="auto"/>
          <w:sz w:val="21"/>
          <w:szCs w:val="21"/>
          <w:highlight w:val="none"/>
        </w:rPr>
        <w:t>15.3.1 承包人提供质量保证金的方式</w:t>
      </w:r>
      <w:bookmarkEnd w:id="124"/>
      <w:bookmarkEnd w:id="125"/>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w:t>
      </w:r>
      <w:r>
        <w:rPr>
          <w:rFonts w:hint="eastAsia" w:ascii="宋体" w:hAnsi="宋体" w:eastAsia="宋体" w:cs="宋体"/>
          <w:color w:val="auto"/>
          <w:highlight w:val="none"/>
          <w:lang w:val="en-US" w:eastAsia="zh-CN"/>
        </w:rPr>
        <w:t>保函形式为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1"/>
          <w:szCs w:val="21"/>
          <w:highlight w:val="none"/>
        </w:rPr>
        <w:t>保证金额为：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%的工程款；</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工程价款结算总额的3%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126" w:name="_Toc26957"/>
      <w:bookmarkStart w:id="127" w:name="_Toc31404"/>
      <w:r>
        <w:rPr>
          <w:rFonts w:hint="eastAsia" w:ascii="宋体" w:hAnsi="宋体" w:eastAsia="宋体" w:cs="宋体"/>
          <w:color w:val="auto"/>
          <w:sz w:val="21"/>
          <w:szCs w:val="21"/>
          <w:highlight w:val="none"/>
        </w:rPr>
        <w:t>15.3.2 质量保证金的扣留</w:t>
      </w:r>
      <w:bookmarkEnd w:id="126"/>
      <w:bookmarkEnd w:id="127"/>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pacing w:line="240" w:lineRule="auto"/>
        <w:ind w:firstLine="420" w:firstLineChars="200"/>
        <w:jc w:val="left"/>
        <w:outlineLvl w:val="0"/>
        <w:rPr>
          <w:rFonts w:hint="eastAsia" w:ascii="宋体" w:hAnsi="宋体" w:eastAsia="宋体" w:cs="宋体"/>
          <w:color w:val="auto"/>
          <w:kern w:val="0"/>
          <w:sz w:val="21"/>
          <w:szCs w:val="21"/>
          <w:highlight w:val="none"/>
        </w:rPr>
      </w:pPr>
      <w:bookmarkStart w:id="128" w:name="_Toc30669"/>
      <w:bookmarkStart w:id="129" w:name="_Toc27486"/>
      <w:r>
        <w:rPr>
          <w:rFonts w:hint="eastAsia" w:ascii="宋体" w:hAnsi="宋体" w:eastAsia="宋体" w:cs="宋体"/>
          <w:color w:val="auto"/>
          <w:kern w:val="0"/>
          <w:sz w:val="21"/>
          <w:szCs w:val="21"/>
          <w:highlight w:val="none"/>
        </w:rPr>
        <w:t>（2）工程竣工结算时一次性扣留质量保证金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highlight w:val="none"/>
          <w:lang w:val="en-US" w:eastAsia="zh-CN"/>
        </w:rPr>
        <w:t>如为</w:t>
      </w:r>
      <w:r>
        <w:rPr>
          <w:rFonts w:hint="eastAsia" w:ascii="宋体" w:hAnsi="宋体" w:eastAsia="宋体" w:cs="宋体"/>
          <w:color w:val="auto"/>
          <w:kern w:val="0"/>
          <w:sz w:val="21"/>
          <w:szCs w:val="21"/>
          <w:highlight w:val="none"/>
        </w:rPr>
        <w:t>质量保证金</w:t>
      </w:r>
      <w:r>
        <w:rPr>
          <w:rFonts w:hint="eastAsia" w:ascii="宋体" w:hAnsi="宋体" w:eastAsia="宋体" w:cs="宋体"/>
          <w:color w:val="auto"/>
          <w:highlight w:val="none"/>
          <w:lang w:val="en-US" w:eastAsia="zh-CN"/>
        </w:rPr>
        <w:t>保函，承包人按</w:t>
      </w:r>
      <w:r>
        <w:rPr>
          <w:rFonts w:hint="eastAsia" w:ascii="宋体" w:hAnsi="宋体" w:eastAsia="宋体" w:cs="宋体"/>
          <w:color w:val="auto"/>
          <w:kern w:val="0"/>
          <w:sz w:val="21"/>
          <w:szCs w:val="21"/>
          <w:highlight w:val="none"/>
          <w:lang w:val="en-US" w:eastAsia="zh-CN"/>
        </w:rPr>
        <w:t>发包人要求提供</w:t>
      </w:r>
      <w:r>
        <w:rPr>
          <w:rFonts w:hint="eastAsia" w:ascii="宋体" w:hAnsi="宋体" w:eastAsia="宋体" w:cs="宋体"/>
          <w:color w:val="auto"/>
          <w:highlight w:val="none"/>
          <w:lang w:val="en-US" w:eastAsia="zh-CN"/>
        </w:rPr>
        <w:t>银行保函</w:t>
      </w:r>
      <w:r>
        <w:rPr>
          <w:rFonts w:hint="eastAsia" w:ascii="宋体" w:hAnsi="宋体" w:eastAsia="宋体" w:cs="宋体"/>
          <w:color w:val="auto"/>
          <w:kern w:val="0"/>
          <w:sz w:val="21"/>
          <w:szCs w:val="21"/>
          <w:highlight w:val="none"/>
        </w:rPr>
        <w:t>；</w:t>
      </w:r>
      <w:bookmarkEnd w:id="128"/>
      <w:bookmarkEnd w:id="129"/>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kern w:val="0"/>
          <w:sz w:val="21"/>
          <w:szCs w:val="21"/>
          <w:highlight w:val="none"/>
          <w:u w:val="single"/>
        </w:rPr>
        <w:t xml:space="preserve">        无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p>
      <w:pPr>
        <w:pageBreakBefore w:val="0"/>
        <w:kinsoku/>
        <w:wordWrap/>
        <w:overflowPunct/>
        <w:topLinePunct w:val="0"/>
        <w:bidi w:val="0"/>
        <w:spacing w:line="24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执行国家相关保修规定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小时内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 违约</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30" w:name="_Toc6376"/>
      <w:bookmarkStart w:id="131" w:name="_Toc10292"/>
      <w:r>
        <w:rPr>
          <w:rFonts w:hint="eastAsia" w:ascii="宋体" w:hAnsi="宋体" w:eastAsia="宋体" w:cs="宋体"/>
          <w:color w:val="auto"/>
          <w:sz w:val="21"/>
          <w:szCs w:val="21"/>
          <w:highlight w:val="none"/>
        </w:rPr>
        <w:t>16.1 发包人违约</w:t>
      </w:r>
      <w:bookmarkEnd w:id="130"/>
      <w:bookmarkEnd w:id="131"/>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pPr>
        <w:pageBreakBefore w:val="0"/>
        <w:kinsoku/>
        <w:wordWrap/>
        <w:overflowPunct/>
        <w:topLinePunct w:val="0"/>
        <w:bidi w:val="0"/>
        <w:spacing w:line="240" w:lineRule="auto"/>
        <w:ind w:left="1050" w:leftChars="200" w:hanging="630" w:hanging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left="1500" w:hanging="1050" w:hangingChars="5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32" w:name="_Toc32438"/>
      <w:bookmarkStart w:id="133" w:name="_Toc17176"/>
      <w:r>
        <w:rPr>
          <w:rFonts w:hint="eastAsia" w:ascii="宋体" w:hAnsi="宋体" w:eastAsia="宋体" w:cs="宋体"/>
          <w:color w:val="auto"/>
          <w:sz w:val="21"/>
          <w:szCs w:val="21"/>
          <w:highlight w:val="none"/>
        </w:rPr>
        <w:t>16.2 承包人违约</w:t>
      </w:r>
      <w:bookmarkEnd w:id="132"/>
      <w:bookmarkEnd w:id="133"/>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Cs w:val="21"/>
          <w:highlight w:val="none"/>
          <w:u w:val="single"/>
          <w:lang w:eastAsia="zh-CN"/>
        </w:rPr>
        <w:t>承包人</w:t>
      </w:r>
      <w:r>
        <w:rPr>
          <w:rFonts w:hint="eastAsia" w:ascii="宋体" w:hAnsi="宋体" w:eastAsia="宋体" w:cs="宋体"/>
          <w:color w:val="auto"/>
          <w:szCs w:val="21"/>
          <w:highlight w:val="none"/>
          <w:u w:val="single"/>
        </w:rPr>
        <w:t>未按投标文件所提交的项目组织机构管理人员和竞争性谈判文件约定到岗尽职尽责，或未经发包人同意私自更换项目管理人员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pPr>
        <w:pageBreakBefore w:val="0"/>
        <w:kinsoku/>
        <w:wordWrap/>
        <w:overflowPunct/>
        <w:topLinePunct w:val="0"/>
        <w:bidi w:val="0"/>
        <w:spacing w:line="240" w:lineRule="auto"/>
        <w:ind w:left="1050" w:leftChars="200" w:hanging="630" w:hangingChars="3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执行竞争性谈判文件及通用条款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pPr>
        <w:pageBreakBefore w:val="0"/>
        <w:kinsoku/>
        <w:wordWrap/>
        <w:overflowPunct/>
        <w:topLinePunct w:val="0"/>
        <w:bidi w:val="0"/>
        <w:spacing w:before="120" w:after="120"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执行竞争性谈判文件及通用合同条款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before="120" w:after="120"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17. 不可抗力 </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除通用合同条款约定的不可抗力事件之外，视为不可抗力的其他情形： </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（1）4级以上的地震；</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（2）8级以上的持续3天的大风；</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（3）连续4日日降雨量达到100mm以上的大雨；</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（4）30毫米以上的持续3天的大雪；</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（5）50年以上未发生过的，持续3天的高温天气；</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（6）50年以上未发生过的，持续3天的低温天气；</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Cs w:val="21"/>
          <w:highlight w:val="none"/>
          <w:u w:val="single"/>
        </w:rPr>
        <w:t>（7）50年以上未发生过的洪水</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34" w:name="_Toc22286"/>
      <w:bookmarkStart w:id="135" w:name="_Toc4538"/>
      <w:r>
        <w:rPr>
          <w:rFonts w:hint="eastAsia" w:ascii="宋体" w:hAnsi="宋体" w:eastAsia="宋体" w:cs="宋体"/>
          <w:color w:val="auto"/>
          <w:sz w:val="21"/>
          <w:szCs w:val="21"/>
          <w:highlight w:val="none"/>
        </w:rPr>
        <w:t>17.4 因不可抗力解除合同</w:t>
      </w:r>
      <w:bookmarkEnd w:id="134"/>
      <w:bookmarkEnd w:id="135"/>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天内完成款项的支付。</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 保险</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所有工程保险费用均由承包人承担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36" w:name="_Toc27652"/>
      <w:bookmarkStart w:id="137" w:name="_Toc8905"/>
      <w:r>
        <w:rPr>
          <w:rFonts w:hint="eastAsia" w:ascii="宋体" w:hAnsi="宋体" w:eastAsia="宋体" w:cs="宋体"/>
          <w:color w:val="auto"/>
          <w:sz w:val="21"/>
          <w:szCs w:val="21"/>
          <w:highlight w:val="none"/>
        </w:rPr>
        <w:t>18.3 其他保险</w:t>
      </w:r>
      <w:bookmarkEnd w:id="136"/>
      <w:bookmarkEnd w:id="137"/>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8"/>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20. 争议解决</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38" w:name="_Toc24152"/>
      <w:bookmarkStart w:id="139" w:name="_Toc11054"/>
      <w:r>
        <w:rPr>
          <w:rFonts w:hint="eastAsia" w:ascii="宋体" w:hAnsi="宋体" w:eastAsia="宋体" w:cs="宋体"/>
          <w:color w:val="auto"/>
          <w:sz w:val="21"/>
          <w:szCs w:val="21"/>
          <w:highlight w:val="none"/>
        </w:rPr>
        <w:t>20.3 争议评审</w:t>
      </w:r>
      <w:bookmarkEnd w:id="138"/>
      <w:bookmarkEnd w:id="139"/>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140" w:name="_Toc2029"/>
      <w:bookmarkStart w:id="141" w:name="_Toc4664"/>
      <w:r>
        <w:rPr>
          <w:rFonts w:hint="eastAsia" w:ascii="宋体" w:hAnsi="宋体" w:eastAsia="宋体" w:cs="宋体"/>
          <w:color w:val="auto"/>
          <w:sz w:val="21"/>
          <w:szCs w:val="21"/>
          <w:highlight w:val="none"/>
        </w:rPr>
        <w:t>20.3.1 争议评审小组的确定</w:t>
      </w:r>
      <w:bookmarkEnd w:id="140"/>
      <w:bookmarkEnd w:id="141"/>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outlineLvl w:val="0"/>
        <w:rPr>
          <w:rFonts w:hint="eastAsia" w:ascii="宋体" w:hAnsi="宋体" w:eastAsia="宋体" w:cs="宋体"/>
          <w:color w:val="auto"/>
          <w:kern w:val="0"/>
          <w:sz w:val="21"/>
          <w:szCs w:val="21"/>
          <w:highlight w:val="none"/>
        </w:rPr>
      </w:pPr>
      <w:bookmarkStart w:id="142" w:name="_Toc9691"/>
      <w:bookmarkStart w:id="143" w:name="_Toc27311"/>
      <w:r>
        <w:rPr>
          <w:rFonts w:hint="eastAsia" w:ascii="宋体" w:hAnsi="宋体" w:eastAsia="宋体" w:cs="宋体"/>
          <w:color w:val="auto"/>
          <w:kern w:val="0"/>
          <w:sz w:val="21"/>
          <w:szCs w:val="21"/>
          <w:highlight w:val="none"/>
        </w:rPr>
        <w:t>20.3.2 争议评审小组的决定</w:t>
      </w:r>
      <w:bookmarkEnd w:id="142"/>
      <w:bookmarkEnd w:id="143"/>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44" w:name="_Toc11715"/>
      <w:bookmarkStart w:id="145" w:name="_Toc1779"/>
      <w:r>
        <w:rPr>
          <w:rFonts w:hint="eastAsia" w:ascii="宋体" w:hAnsi="宋体" w:eastAsia="宋体" w:cs="宋体"/>
          <w:color w:val="auto"/>
          <w:sz w:val="21"/>
          <w:szCs w:val="21"/>
          <w:highlight w:val="none"/>
        </w:rPr>
        <w:t>20.4仲裁或诉讼</w:t>
      </w:r>
      <w:bookmarkEnd w:id="144"/>
      <w:bookmarkEnd w:id="145"/>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lang w:val="en-US" w:eastAsia="zh-CN"/>
        </w:rPr>
        <w:t xml:space="preserve"> （2） </w:t>
      </w:r>
      <w:r>
        <w:rPr>
          <w:rFonts w:hint="eastAsia" w:ascii="宋体" w:hAnsi="宋体" w:eastAsia="宋体" w:cs="宋体"/>
          <w:color w:val="auto"/>
          <w:sz w:val="21"/>
          <w:szCs w:val="21"/>
          <w:highlight w:val="none"/>
        </w:rPr>
        <w:t>种方式解决：</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安庆</w:t>
      </w:r>
      <w:r>
        <w:rPr>
          <w:rFonts w:hint="eastAsia" w:ascii="宋体" w:hAnsi="宋体" w:eastAsia="宋体" w:cs="宋体"/>
          <w:color w:val="auto"/>
          <w:sz w:val="21"/>
          <w:szCs w:val="21"/>
          <w:highlight w:val="none"/>
        </w:rPr>
        <w:t>仲裁委员会申请仲裁；</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lang w:val="en-US" w:eastAsia="zh-CN"/>
        </w:rPr>
        <w:t xml:space="preserve"> 工程所在地有管辖权的 </w:t>
      </w:r>
      <w:r>
        <w:rPr>
          <w:rFonts w:hint="eastAsia" w:ascii="宋体" w:hAnsi="宋体" w:eastAsia="宋体" w:cs="宋体"/>
          <w:color w:val="auto"/>
          <w:sz w:val="21"/>
          <w:szCs w:val="21"/>
          <w:highlight w:val="none"/>
        </w:rPr>
        <w:t>人民法院起诉。</w:t>
      </w:r>
    </w:p>
    <w:p>
      <w:pPr>
        <w:pStyle w:val="8"/>
        <w:pageBreakBefore w:val="0"/>
        <w:kinsoku/>
        <w:wordWrap/>
        <w:overflowPunct/>
        <w:topLinePunct w:val="0"/>
        <w:bidi w:val="0"/>
        <w:spacing w:before="0" w:beforeLines="0" w:beforeAutospacing="0" w:after="0" w:afterLines="0" w:afterAutospacing="0"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21.补充条款</w:t>
      </w:r>
    </w:p>
    <w:p>
      <w:pPr>
        <w:pageBreakBefore w:val="0"/>
        <w:kinsoku/>
        <w:wordWrap/>
        <w:overflowPunct/>
        <w:topLinePunct w:val="0"/>
        <w:autoSpaceDE w:val="0"/>
        <w:autoSpaceDN w:val="0"/>
        <w:bidi w:val="0"/>
        <w:adjustRightInd w:val="0"/>
        <w:spacing w:beforeAutospacing="0" w:afterAutospacing="0" w:line="240" w:lineRule="auto"/>
        <w:ind w:firstLine="442" w:firstLineChars="200"/>
        <w:jc w:val="left"/>
        <w:rPr>
          <w:rFonts w:hint="eastAsia" w:ascii="宋体" w:hAnsi="宋体" w:eastAsia="宋体" w:cs="宋体"/>
          <w:b/>
          <w:color w:val="auto"/>
          <w:kern w:val="0"/>
          <w:sz w:val="22"/>
          <w:szCs w:val="21"/>
          <w:highlight w:val="none"/>
        </w:rPr>
      </w:pPr>
      <w:r>
        <w:rPr>
          <w:rFonts w:hint="eastAsia" w:ascii="宋体" w:hAnsi="宋体" w:eastAsia="宋体" w:cs="宋体"/>
          <w:b/>
          <w:color w:val="auto"/>
          <w:kern w:val="0"/>
          <w:sz w:val="22"/>
          <w:szCs w:val="21"/>
          <w:highlight w:val="none"/>
        </w:rPr>
        <w:t>1</w:t>
      </w:r>
      <w:r>
        <w:rPr>
          <w:rFonts w:hint="eastAsia" w:ascii="宋体" w:hAnsi="宋体" w:eastAsia="宋体" w:cs="宋体"/>
          <w:b/>
          <w:color w:val="auto"/>
          <w:kern w:val="0"/>
          <w:sz w:val="22"/>
          <w:szCs w:val="21"/>
          <w:highlight w:val="none"/>
          <w:lang w:eastAsia="zh-CN"/>
        </w:rPr>
        <w:t>.</w:t>
      </w:r>
      <w:r>
        <w:rPr>
          <w:rFonts w:hint="eastAsia" w:ascii="宋体" w:hAnsi="宋体" w:eastAsia="宋体" w:cs="宋体"/>
          <w:b/>
          <w:color w:val="auto"/>
          <w:kern w:val="0"/>
          <w:sz w:val="22"/>
          <w:szCs w:val="21"/>
          <w:highlight w:val="none"/>
        </w:rPr>
        <w:t>承包人必须严格按《安庆市人民政府办公室关于印发安庆市工程建设领域农民工工资专用账户和工程款分账管理办法的通知》（宜政办秘〔2021〕17号）的规定执行。</w:t>
      </w:r>
    </w:p>
    <w:p>
      <w:pPr>
        <w:pageBreakBefore w:val="0"/>
        <w:kinsoku/>
        <w:wordWrap/>
        <w:overflowPunct/>
        <w:topLinePunct w:val="0"/>
        <w:autoSpaceDE w:val="0"/>
        <w:autoSpaceDN w:val="0"/>
        <w:bidi w:val="0"/>
        <w:adjustRightInd w:val="0"/>
        <w:spacing w:beforeAutospacing="0" w:afterAutospacing="0" w:line="240" w:lineRule="auto"/>
        <w:ind w:firstLine="442" w:firstLineChars="200"/>
        <w:jc w:val="left"/>
        <w:rPr>
          <w:rFonts w:hint="eastAsia" w:ascii="宋体" w:hAnsi="宋体" w:eastAsia="宋体" w:cs="宋体"/>
          <w:b/>
          <w:color w:val="auto"/>
          <w:kern w:val="0"/>
          <w:sz w:val="22"/>
          <w:szCs w:val="21"/>
          <w:highlight w:val="none"/>
        </w:rPr>
      </w:pPr>
      <w:r>
        <w:rPr>
          <w:rFonts w:hint="eastAsia" w:ascii="宋体" w:hAnsi="宋体" w:eastAsia="宋体" w:cs="宋体"/>
          <w:b/>
          <w:color w:val="auto"/>
          <w:kern w:val="0"/>
          <w:sz w:val="22"/>
          <w:szCs w:val="21"/>
          <w:highlight w:val="none"/>
        </w:rPr>
        <w:t>2</w:t>
      </w:r>
      <w:r>
        <w:rPr>
          <w:rFonts w:hint="eastAsia" w:ascii="宋体" w:hAnsi="宋体" w:eastAsia="宋体" w:cs="宋体"/>
          <w:b/>
          <w:color w:val="auto"/>
          <w:kern w:val="0"/>
          <w:sz w:val="22"/>
          <w:szCs w:val="21"/>
          <w:highlight w:val="none"/>
          <w:lang w:eastAsia="zh-CN"/>
        </w:rPr>
        <w:t>.</w:t>
      </w:r>
      <w:r>
        <w:rPr>
          <w:rFonts w:hint="eastAsia" w:ascii="宋体" w:hAnsi="宋体" w:eastAsia="宋体" w:cs="宋体"/>
          <w:b/>
          <w:color w:val="auto"/>
          <w:kern w:val="0"/>
          <w:sz w:val="22"/>
          <w:szCs w:val="21"/>
          <w:highlight w:val="none"/>
        </w:rPr>
        <w:t>承包人应严格按照国家有关法律、法规和竞争性谈判文件、建设工程施工合同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pageBreakBefore w:val="0"/>
        <w:kinsoku/>
        <w:wordWrap/>
        <w:overflowPunct/>
        <w:topLinePunct w:val="0"/>
        <w:autoSpaceDE w:val="0"/>
        <w:autoSpaceDN w:val="0"/>
        <w:bidi w:val="0"/>
        <w:adjustRightInd w:val="0"/>
        <w:spacing w:beforeAutospacing="0" w:afterAutospacing="0" w:line="240" w:lineRule="auto"/>
        <w:ind w:firstLine="442" w:firstLineChars="200"/>
        <w:jc w:val="left"/>
        <w:rPr>
          <w:rFonts w:hint="eastAsia" w:ascii="宋体" w:hAnsi="宋体" w:eastAsia="宋体" w:cs="宋体"/>
          <w:b/>
          <w:color w:val="auto"/>
          <w:kern w:val="0"/>
          <w:sz w:val="22"/>
          <w:szCs w:val="21"/>
          <w:highlight w:val="none"/>
        </w:rPr>
      </w:pPr>
      <w:r>
        <w:rPr>
          <w:rFonts w:hint="eastAsia" w:ascii="宋体" w:hAnsi="宋体" w:eastAsia="宋体" w:cs="宋体"/>
          <w:b/>
          <w:color w:val="auto"/>
          <w:kern w:val="0"/>
          <w:sz w:val="22"/>
          <w:szCs w:val="21"/>
          <w:highlight w:val="none"/>
        </w:rPr>
        <w:t>3</w:t>
      </w:r>
      <w:r>
        <w:rPr>
          <w:rFonts w:hint="eastAsia" w:ascii="宋体" w:hAnsi="宋体" w:eastAsia="宋体" w:cs="宋体"/>
          <w:b/>
          <w:color w:val="auto"/>
          <w:kern w:val="0"/>
          <w:sz w:val="22"/>
          <w:szCs w:val="21"/>
          <w:highlight w:val="none"/>
          <w:lang w:eastAsia="zh-CN"/>
        </w:rPr>
        <w:t>.</w:t>
      </w:r>
      <w:r>
        <w:rPr>
          <w:rFonts w:hint="eastAsia" w:ascii="宋体" w:hAnsi="宋体" w:eastAsia="宋体" w:cs="宋体"/>
          <w:b/>
          <w:color w:val="auto"/>
          <w:kern w:val="0"/>
          <w:sz w:val="22"/>
          <w:szCs w:val="21"/>
          <w:highlight w:val="none"/>
        </w:rPr>
        <w:t>承包人应仔细勘查现场，充分考虑现场装卸条件、材料堆放、实际状况等施工环境和市场风险，由此造成的造价增加或工期延误等一切责任均由承包人自负。</w:t>
      </w:r>
    </w:p>
    <w:p>
      <w:pPr>
        <w:pageBreakBefore w:val="0"/>
        <w:kinsoku/>
        <w:wordWrap/>
        <w:overflowPunct/>
        <w:topLinePunct w:val="0"/>
        <w:autoSpaceDE w:val="0"/>
        <w:autoSpaceDN w:val="0"/>
        <w:bidi w:val="0"/>
        <w:adjustRightInd w:val="0"/>
        <w:spacing w:beforeAutospacing="0" w:afterAutospacing="0" w:line="240" w:lineRule="auto"/>
        <w:ind w:firstLine="442" w:firstLineChars="200"/>
        <w:jc w:val="left"/>
        <w:rPr>
          <w:rFonts w:hint="eastAsia" w:ascii="宋体" w:hAnsi="宋体" w:eastAsia="宋体" w:cs="宋体"/>
          <w:b/>
          <w:color w:val="auto"/>
          <w:kern w:val="0"/>
          <w:sz w:val="22"/>
          <w:szCs w:val="21"/>
          <w:highlight w:val="none"/>
        </w:rPr>
      </w:pPr>
      <w:r>
        <w:rPr>
          <w:rFonts w:hint="eastAsia" w:ascii="宋体" w:hAnsi="宋体" w:eastAsia="宋体" w:cs="宋体"/>
          <w:b/>
          <w:color w:val="auto"/>
          <w:kern w:val="0"/>
          <w:sz w:val="22"/>
          <w:szCs w:val="21"/>
          <w:highlight w:val="none"/>
        </w:rPr>
        <w:t>4</w:t>
      </w:r>
      <w:r>
        <w:rPr>
          <w:rFonts w:hint="eastAsia" w:ascii="宋体" w:hAnsi="宋体" w:eastAsia="宋体" w:cs="宋体"/>
          <w:b/>
          <w:color w:val="auto"/>
          <w:kern w:val="0"/>
          <w:sz w:val="22"/>
          <w:szCs w:val="21"/>
          <w:highlight w:val="none"/>
          <w:lang w:eastAsia="zh-CN"/>
        </w:rPr>
        <w:t>.</w:t>
      </w:r>
      <w:r>
        <w:rPr>
          <w:rFonts w:hint="eastAsia" w:ascii="宋体" w:hAnsi="宋体" w:eastAsia="宋体" w:cs="宋体"/>
          <w:b/>
          <w:color w:val="auto"/>
          <w:kern w:val="0"/>
          <w:sz w:val="22"/>
          <w:szCs w:val="21"/>
          <w:highlight w:val="none"/>
        </w:rPr>
        <w:t>承包人必须根据发包人的要求采取切实可行的措施并确保交通畅通和安全，施工中采取保护措施，确保各类管线安全运营，确保沿线居民出行通畅，将施工给群众带来的干扰降至最低。</w:t>
      </w:r>
    </w:p>
    <w:p>
      <w:pPr>
        <w:pageBreakBefore w:val="0"/>
        <w:kinsoku/>
        <w:wordWrap/>
        <w:overflowPunct/>
        <w:topLinePunct w:val="0"/>
        <w:bidi w:val="0"/>
        <w:spacing w:beforeAutospacing="0" w:afterAutospacing="0" w:line="240" w:lineRule="auto"/>
        <w:ind w:firstLine="442" w:firstLineChars="200"/>
        <w:jc w:val="left"/>
        <w:rPr>
          <w:rFonts w:hint="eastAsia" w:ascii="宋体" w:hAnsi="宋体" w:eastAsia="宋体" w:cs="宋体"/>
          <w:b/>
          <w:color w:val="auto"/>
          <w:kern w:val="0"/>
          <w:sz w:val="22"/>
          <w:szCs w:val="21"/>
          <w:highlight w:val="none"/>
        </w:rPr>
      </w:pPr>
      <w:r>
        <w:rPr>
          <w:rFonts w:hint="eastAsia" w:ascii="宋体" w:hAnsi="宋体" w:eastAsia="宋体" w:cs="宋体"/>
          <w:b/>
          <w:color w:val="auto"/>
          <w:kern w:val="0"/>
          <w:sz w:val="22"/>
          <w:szCs w:val="21"/>
          <w:highlight w:val="none"/>
        </w:rPr>
        <w:t>5</w:t>
      </w:r>
      <w:r>
        <w:rPr>
          <w:rFonts w:hint="eastAsia" w:ascii="宋体" w:hAnsi="宋体" w:eastAsia="宋体" w:cs="宋体"/>
          <w:b/>
          <w:color w:val="auto"/>
          <w:kern w:val="0"/>
          <w:sz w:val="22"/>
          <w:szCs w:val="21"/>
          <w:highlight w:val="none"/>
          <w:lang w:eastAsia="zh-CN"/>
        </w:rPr>
        <w:t>.</w:t>
      </w:r>
      <w:r>
        <w:rPr>
          <w:rFonts w:hint="eastAsia" w:ascii="宋体" w:hAnsi="宋体" w:eastAsia="宋体" w:cs="宋体"/>
          <w:b/>
          <w:color w:val="auto"/>
          <w:kern w:val="0"/>
          <w:sz w:val="22"/>
          <w:szCs w:val="21"/>
          <w:highlight w:val="none"/>
        </w:rPr>
        <w:t>工程施工期间，承包人必须按照竞争性谈判文件要求和</w:t>
      </w:r>
      <w:r>
        <w:rPr>
          <w:rFonts w:hint="eastAsia" w:ascii="宋体" w:hAnsi="宋体" w:cs="宋体"/>
          <w:b/>
          <w:color w:val="auto"/>
          <w:kern w:val="0"/>
          <w:sz w:val="22"/>
          <w:szCs w:val="21"/>
          <w:highlight w:val="none"/>
          <w:lang w:val="en-US" w:eastAsia="zh-CN"/>
        </w:rPr>
        <w:t>响应</w:t>
      </w:r>
      <w:r>
        <w:rPr>
          <w:rFonts w:hint="eastAsia" w:ascii="宋体" w:hAnsi="宋体" w:eastAsia="宋体" w:cs="宋体"/>
          <w:b/>
          <w:color w:val="auto"/>
          <w:kern w:val="0"/>
          <w:sz w:val="22"/>
          <w:szCs w:val="21"/>
          <w:highlight w:val="none"/>
        </w:rPr>
        <w:t>文件承诺，以及经批准的施工组织设计、总进度计划、关键节点的进度计划，向</w:t>
      </w:r>
      <w:r>
        <w:rPr>
          <w:rFonts w:hint="eastAsia" w:ascii="宋体" w:hAnsi="宋体" w:eastAsia="宋体" w:cs="宋体"/>
          <w:b/>
          <w:color w:val="auto"/>
          <w:kern w:val="0"/>
          <w:sz w:val="22"/>
          <w:szCs w:val="21"/>
          <w:highlight w:val="none"/>
          <w:lang w:val="en-US" w:eastAsia="zh-CN"/>
        </w:rPr>
        <w:t>发</w:t>
      </w:r>
      <w:r>
        <w:rPr>
          <w:rFonts w:hint="eastAsia" w:ascii="宋体" w:hAnsi="宋体" w:eastAsia="宋体" w:cs="宋体"/>
          <w:b/>
          <w:color w:val="auto"/>
          <w:kern w:val="0"/>
          <w:sz w:val="22"/>
          <w:szCs w:val="21"/>
          <w:highlight w:val="none"/>
        </w:rPr>
        <w:t>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开展党建工作要求</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根据《中国共产党支部工作条例（试行）》第二章组织设置第五条：为期6个月以上的工程、工作项目等，符合条件的，应当成立党支部。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ageBreakBefore w:val="0"/>
        <w:kinsoku/>
        <w:wordWrap/>
        <w:overflowPunct/>
        <w:topLinePunct w:val="0"/>
        <w:bidi w:val="0"/>
        <w:spacing w:beforeAutospacing="0" w:afterAutospacing="0" w:line="240" w:lineRule="auto"/>
        <w:jc w:val="left"/>
        <w:rPr>
          <w:rFonts w:hint="eastAsia" w:ascii="宋体" w:hAnsi="宋体" w:eastAsia="宋体" w:cs="宋体"/>
          <w:b/>
          <w:color w:val="auto"/>
          <w:kern w:val="0"/>
          <w:sz w:val="22"/>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专用合同条款附件：</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：工程质量保修书</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：承包人用于本工程施工的机械设备表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：承包人主要施工管理人员表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：分包人主要施工管理人员表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：暂估价一览表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Style w:val="34"/>
        <w:rPr>
          <w:rFonts w:hint="eastAsia"/>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146" w:name="_Toc296346727"/>
      <w:bookmarkStart w:id="147" w:name="_Toc267261693"/>
      <w:bookmarkStart w:id="148" w:name="_Toc296944565"/>
      <w:bookmarkStart w:id="149" w:name="_Toc296347225"/>
      <w:bookmarkStart w:id="150" w:name="_Toc296891054"/>
      <w:bookmarkStart w:id="151" w:name="_Toc296503226"/>
      <w:bookmarkStart w:id="152" w:name="_Toc296891266"/>
      <w:r>
        <w:rPr>
          <w:rFonts w:hint="eastAsia" w:ascii="宋体" w:hAnsi="宋体" w:eastAsia="宋体" w:cs="宋体"/>
          <w:color w:val="auto"/>
          <w:szCs w:val="21"/>
          <w:highlight w:val="none"/>
        </w:rPr>
        <w:t>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bookmarkEnd w:id="146"/>
      <w:bookmarkEnd w:id="147"/>
      <w:bookmarkEnd w:id="148"/>
      <w:bookmarkEnd w:id="149"/>
      <w:bookmarkEnd w:id="150"/>
      <w:bookmarkEnd w:id="151"/>
      <w:bookmarkEnd w:id="152"/>
    </w:p>
    <w:p>
      <w:pPr>
        <w:pageBreakBefore w:val="0"/>
        <w:kinsoku/>
        <w:wordWrap/>
        <w:overflowPunct/>
        <w:topLinePunct w:val="0"/>
        <w:bidi w:val="0"/>
        <w:spacing w:before="156" w:beforeLines="50" w:after="156"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bookmarkStart w:id="153" w:name="_Toc13923"/>
      <w:bookmarkStart w:id="154" w:name="_Toc31580"/>
      <w:r>
        <w:rPr>
          <w:rFonts w:hint="eastAsia" w:ascii="宋体" w:hAnsi="宋体" w:eastAsia="宋体" w:cs="宋体"/>
          <w:color w:val="auto"/>
          <w:sz w:val="21"/>
          <w:szCs w:val="21"/>
          <w:highlight w:val="none"/>
        </w:rPr>
        <w:t>一、工程质量保修范围和内容</w:t>
      </w:r>
      <w:bookmarkEnd w:id="153"/>
      <w:bookmarkEnd w:id="154"/>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w:t>
      </w:r>
      <w:bookmarkStart w:id="155" w:name="_Toc11050"/>
      <w:bookmarkStart w:id="156" w:name="_Toc21489"/>
      <w:r>
        <w:rPr>
          <w:rFonts w:hint="eastAsia" w:ascii="宋体" w:hAnsi="宋体" w:eastAsia="宋体" w:cs="宋体"/>
          <w:color w:val="auto"/>
          <w:sz w:val="21"/>
          <w:szCs w:val="21"/>
          <w:highlight w:val="none"/>
        </w:rPr>
        <w:t>二、质量保修期</w:t>
      </w:r>
      <w:bookmarkEnd w:id="155"/>
      <w:bookmarkEnd w:id="156"/>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pageBreakBefore w:val="0"/>
        <w:kinsoku/>
        <w:wordWrap/>
        <w:overflowPunct/>
        <w:topLinePunct w:val="0"/>
        <w:bidi w:val="0"/>
        <w:spacing w:line="240" w:lineRule="auto"/>
        <w:ind w:firstLine="420" w:firstLineChars="200"/>
        <w:outlineLvl w:val="0"/>
        <w:rPr>
          <w:rFonts w:hint="eastAsia" w:ascii="宋体" w:hAnsi="宋体" w:eastAsia="宋体" w:cs="宋体"/>
          <w:color w:val="auto"/>
          <w:sz w:val="21"/>
          <w:szCs w:val="21"/>
          <w:highlight w:val="none"/>
        </w:rPr>
      </w:pPr>
      <w:bookmarkStart w:id="157" w:name="_Toc13430"/>
      <w:bookmarkStart w:id="158" w:name="_Toc4559"/>
      <w:r>
        <w:rPr>
          <w:rFonts w:hint="eastAsia" w:ascii="宋体" w:hAnsi="宋体" w:eastAsia="宋体" w:cs="宋体"/>
          <w:color w:val="auto"/>
          <w:sz w:val="21"/>
          <w:szCs w:val="21"/>
          <w:highlight w:val="none"/>
        </w:rPr>
        <w:t>三、缺陷责任期</w:t>
      </w:r>
      <w:bookmarkEnd w:id="157"/>
      <w:bookmarkEnd w:id="158"/>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个月，缺陷责任期自工程通过竣工验收之日起计算。单位工程先于全部工程进行验收，单位工程缺陷责任期自单位工程验收合格之日起算。</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59" w:name="_Toc31780"/>
      <w:bookmarkStart w:id="160" w:name="_Toc28942"/>
      <w:r>
        <w:rPr>
          <w:rFonts w:hint="eastAsia" w:ascii="宋体" w:hAnsi="宋体" w:eastAsia="宋体" w:cs="宋体"/>
          <w:color w:val="auto"/>
          <w:sz w:val="21"/>
          <w:szCs w:val="21"/>
          <w:highlight w:val="none"/>
        </w:rPr>
        <w:t>四、质量保修责任</w:t>
      </w:r>
      <w:bookmarkEnd w:id="159"/>
      <w:bookmarkEnd w:id="160"/>
    </w:p>
    <w:p>
      <w:pPr>
        <w:pageBreakBefore w:val="0"/>
        <w:kinsoku/>
        <w:wordWrap/>
        <w:overflowPunct/>
        <w:topLinePunct w:val="0"/>
        <w:bidi w:val="0"/>
        <w:spacing w:line="24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pageBreakBefore w:val="0"/>
        <w:kinsoku/>
        <w:wordWrap/>
        <w:overflowPunct/>
        <w:topLinePunct w:val="0"/>
        <w:bidi w:val="0"/>
        <w:spacing w:line="24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pageBreakBefore w:val="0"/>
        <w:kinsoku/>
        <w:wordWrap/>
        <w:overflowPunct/>
        <w:topLinePunct w:val="0"/>
        <w:bidi w:val="0"/>
        <w:spacing w:line="24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bookmarkStart w:id="161" w:name="_Toc2556"/>
      <w:bookmarkStart w:id="162" w:name="_Toc23242"/>
      <w:r>
        <w:rPr>
          <w:rFonts w:hint="eastAsia" w:ascii="宋体" w:hAnsi="宋体" w:eastAsia="宋体" w:cs="宋体"/>
          <w:color w:val="auto"/>
          <w:sz w:val="21"/>
          <w:szCs w:val="21"/>
          <w:highlight w:val="none"/>
        </w:rPr>
        <w:t>五、保修费用</w:t>
      </w:r>
      <w:bookmarkEnd w:id="161"/>
      <w:bookmarkEnd w:id="162"/>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保修费用由造成质量缺陷的责任方承担。</w:t>
      </w:r>
    </w:p>
    <w:p>
      <w:pPr>
        <w:pageBreakBefore w:val="0"/>
        <w:kinsoku/>
        <w:wordWrap/>
        <w:overflowPunct/>
        <w:topLinePunct w:val="0"/>
        <w:bidi w:val="0"/>
        <w:spacing w:line="240" w:lineRule="auto"/>
        <w:ind w:firstLine="422" w:firstLineChars="200"/>
        <w:jc w:val="left"/>
        <w:outlineLvl w:val="0"/>
        <w:rPr>
          <w:rFonts w:hint="eastAsia" w:ascii="宋体" w:hAnsi="宋体" w:eastAsia="宋体" w:cs="宋体"/>
          <w:color w:val="auto"/>
          <w:sz w:val="21"/>
          <w:szCs w:val="21"/>
          <w:highlight w:val="none"/>
          <w:u w:val="single"/>
        </w:rPr>
      </w:pPr>
      <w:bookmarkStart w:id="163" w:name="_Toc15511"/>
      <w:bookmarkStart w:id="164" w:name="_Toc22399"/>
      <w:r>
        <w:rPr>
          <w:rFonts w:hint="eastAsia" w:ascii="宋体" w:hAnsi="宋体" w:eastAsia="宋体" w:cs="宋体"/>
          <w:b/>
          <w:color w:val="auto"/>
          <w:sz w:val="21"/>
          <w:szCs w:val="21"/>
          <w:highlight w:val="none"/>
        </w:rPr>
        <w:t>六</w:t>
      </w:r>
      <w:r>
        <w:rPr>
          <w:rFonts w:hint="eastAsia" w:ascii="宋体" w:hAnsi="宋体" w:eastAsia="宋体" w:cs="宋体"/>
          <w:color w:val="auto"/>
          <w:sz w:val="21"/>
          <w:szCs w:val="21"/>
          <w:highlight w:val="none"/>
        </w:rPr>
        <w:t>、双方约定的其他工程质量保修事项：</w:t>
      </w:r>
      <w:bookmarkEnd w:id="163"/>
      <w:bookmarkEnd w:id="164"/>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pageBreakBefore w:val="0"/>
        <w:kinsoku/>
        <w:wordWrap/>
        <w:overflowPunct/>
        <w:topLinePunct w:val="0"/>
        <w:bidi w:val="0"/>
        <w:spacing w:line="240" w:lineRule="auto"/>
        <w:ind w:firstLine="420"/>
        <w:rPr>
          <w:rFonts w:hint="eastAsia" w:ascii="宋体" w:hAnsi="宋体" w:eastAsia="宋体" w:cs="宋体"/>
          <w:color w:val="auto"/>
          <w:sz w:val="21"/>
          <w:szCs w:val="21"/>
          <w:highlight w:val="none"/>
        </w:rPr>
      </w:pP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rPr>
        <w:t xml:space="preserve">          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165" w:name="_Toc267261698"/>
      <w:bookmarkStart w:id="166" w:name="_Toc296944566"/>
      <w:bookmarkStart w:id="167" w:name="_Toc296891055"/>
      <w:bookmarkStart w:id="168" w:name="_Toc296347226"/>
      <w:bookmarkStart w:id="169" w:name="_Toc296346728"/>
      <w:bookmarkStart w:id="170" w:name="_Toc296503227"/>
      <w:bookmarkStart w:id="171" w:name="_Toc296891267"/>
      <w:r>
        <w:rPr>
          <w:rFonts w:hint="eastAsia" w:ascii="宋体" w:hAnsi="宋体" w:eastAsia="宋体" w:cs="宋体"/>
          <w:color w:val="auto"/>
          <w:szCs w:val="21"/>
          <w:highlight w:val="none"/>
        </w:rPr>
        <w:t>件</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bookmarkEnd w:id="165"/>
    <w:bookmarkEnd w:id="166"/>
    <w:bookmarkEnd w:id="167"/>
    <w:bookmarkEnd w:id="168"/>
    <w:bookmarkEnd w:id="169"/>
    <w:bookmarkEnd w:id="170"/>
    <w:bookmarkEnd w:id="171"/>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承包人用于本工程施工的机械设备表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18"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机械或设备名称</w:t>
            </w:r>
          </w:p>
        </w:tc>
        <w:tc>
          <w:tcPr>
            <w:tcW w:w="850"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058"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80"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020"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480"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额定功率(kW)</w:t>
            </w:r>
          </w:p>
        </w:tc>
        <w:tc>
          <w:tcPr>
            <w:tcW w:w="1020"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921"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doub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tcBorders>
              <w:top w:val="doub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tcBorders>
              <w:top w:val="doub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tcBorders>
              <w:top w:val="doub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doub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tcBorders>
              <w:top w:val="doub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doub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tcBorders>
              <w:top w:val="doub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1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5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5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921"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1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5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5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921"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1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5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5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921"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1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5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5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921"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1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5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5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921"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1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5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58"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8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48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1020"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c>
          <w:tcPr>
            <w:tcW w:w="921" w:type="dxa"/>
            <w:noWrap w:val="0"/>
            <w:vAlign w:val="top"/>
          </w:tcPr>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172" w:name="_Toc296347227"/>
      <w:bookmarkStart w:id="173" w:name="_Toc296346729"/>
      <w:bookmarkStart w:id="174" w:name="_Toc296944567"/>
      <w:bookmarkStart w:id="175" w:name="_Toc296503228"/>
      <w:bookmarkStart w:id="176" w:name="_Toc296891268"/>
      <w:bookmarkStart w:id="177" w:name="_Toc267261699"/>
      <w:bookmarkStart w:id="178" w:name="_Toc296891056"/>
      <w:r>
        <w:rPr>
          <w:rFonts w:hint="eastAsia" w:ascii="宋体" w:hAnsi="宋体" w:eastAsia="宋体" w:cs="宋体"/>
          <w:color w:val="auto"/>
          <w:szCs w:val="21"/>
          <w:highlight w:val="none"/>
        </w:rPr>
        <w:t>件</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bookmarkEnd w:id="172"/>
    <w:bookmarkEnd w:id="173"/>
    <w:bookmarkEnd w:id="174"/>
    <w:bookmarkEnd w:id="175"/>
    <w:bookmarkEnd w:id="176"/>
    <w:bookmarkEnd w:id="177"/>
    <w:bookmarkEnd w:id="178"/>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承包人主要施工管理人员表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18"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4252"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项目主管</w:t>
            </w:r>
          </w:p>
        </w:tc>
        <w:tc>
          <w:tcPr>
            <w:tcW w:w="1418"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left w:val="single" w:color="auto" w:sz="4"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tcBorders>
              <w:left w:val="single" w:color="auto" w:sz="4"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restart"/>
            <w:tcBorders>
              <w:top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continue"/>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bottom w:val="single" w:color="auto" w:sz="12"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12"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12"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bottom w:val="single" w:color="auto" w:sz="12"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179" w:name="_Toc296891269"/>
      <w:bookmarkStart w:id="180" w:name="_Toc296346730"/>
      <w:bookmarkStart w:id="181" w:name="_Toc296503229"/>
      <w:bookmarkStart w:id="182" w:name="_Toc296944568"/>
      <w:bookmarkStart w:id="183" w:name="_Toc296891057"/>
      <w:bookmarkStart w:id="184" w:name="_Toc296347228"/>
      <w:r>
        <w:rPr>
          <w:rFonts w:hint="eastAsia" w:ascii="宋体" w:hAnsi="宋体" w:eastAsia="宋体" w:cs="宋体"/>
          <w:color w:val="auto"/>
          <w:szCs w:val="21"/>
          <w:highlight w:val="none"/>
        </w:rPr>
        <w:t>件</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bookmarkEnd w:id="179"/>
    <w:bookmarkEnd w:id="180"/>
    <w:bookmarkEnd w:id="181"/>
    <w:bookmarkEnd w:id="182"/>
    <w:bookmarkEnd w:id="183"/>
    <w:bookmarkEnd w:id="184"/>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分包人主要施工管理人员表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18"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4252" w:type="dxa"/>
            <w:tcBorders>
              <w:top w:val="single" w:color="auto" w:sz="12" w:space="0"/>
              <w:bottom w:val="doub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项目主管</w:t>
            </w:r>
          </w:p>
        </w:tc>
        <w:tc>
          <w:tcPr>
            <w:tcW w:w="1418"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top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restart"/>
            <w:tcBorders>
              <w:top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continue"/>
            <w:tcBorders>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bottom w:val="single" w:color="auto" w:sz="6" w:space="0"/>
            </w:tcBorders>
            <w:noWrap w:val="0"/>
            <w:vAlign w:val="center"/>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bookmarkStart w:id="185" w:name="_Toc267261701"/>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bookmarkEnd w:id="185"/>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-1：材料暂估价表</w:t>
      </w:r>
    </w:p>
    <w:tbl>
      <w:tblPr>
        <w:tblStyle w:val="2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851"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74"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52"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418"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1701"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-2：工程设备暂估价表</w:t>
      </w:r>
    </w:p>
    <w:tbl>
      <w:tblPr>
        <w:tblStyle w:val="2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851"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74"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52"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418"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1701"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double" w:color="auto" w:sz="6" w:space="0"/>
              <w:bottom w:val="sing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nil"/>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-3：专业工程暂估价表</w:t>
      </w:r>
    </w:p>
    <w:tbl>
      <w:tblPr>
        <w:tblStyle w:val="2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851"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74"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52"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418"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1701" w:type="dxa"/>
            <w:tcBorders>
              <w:top w:val="single" w:color="auto" w:sz="12" w:space="0"/>
              <w:bottom w:val="double" w:color="auto" w:sz="6" w:space="0"/>
            </w:tcBorders>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2"/>
              <w:keepNext/>
              <w:pageBreakBefore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widowControl/>
        <w:jc w:val="left"/>
        <w:rPr>
          <w:rFonts w:ascii="宋体" w:hAnsi="宋体" w:cs="宋体"/>
          <w:color w:val="auto"/>
          <w:szCs w:val="21"/>
          <w:highlight w:val="none"/>
        </w:rPr>
      </w:pPr>
      <w:bookmarkStart w:id="186" w:name="_Toc26873"/>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pStyle w:val="5"/>
        <w:rPr>
          <w:rFonts w:ascii="宋体" w:hAnsi="宋体" w:cs="宋体"/>
          <w:color w:val="auto"/>
          <w:highlight w:val="none"/>
        </w:rPr>
      </w:pPr>
      <w:bookmarkStart w:id="187" w:name="_Toc55202320"/>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章   谈判响应文件格式</w:t>
      </w:r>
      <w:bookmarkEnd w:id="186"/>
      <w:bookmarkEnd w:id="187"/>
    </w:p>
    <w:p>
      <w:pPr>
        <w:spacing w:line="360" w:lineRule="auto"/>
        <w:jc w:val="center"/>
        <w:rPr>
          <w:rFonts w:ascii="宋体" w:hAnsi="宋体" w:cs="宋体"/>
          <w:b/>
          <w:color w:val="auto"/>
          <w:spacing w:val="20"/>
          <w:sz w:val="36"/>
          <w:szCs w:val="36"/>
          <w:highlight w:val="none"/>
          <w:u w:val="single"/>
        </w:rPr>
      </w:pPr>
    </w:p>
    <w:p>
      <w:pPr>
        <w:spacing w:line="360" w:lineRule="auto"/>
        <w:jc w:val="center"/>
        <w:rPr>
          <w:rFonts w:ascii="宋体" w:hAnsi="宋体" w:cs="宋体"/>
          <w:b/>
          <w:color w:val="auto"/>
          <w:spacing w:val="20"/>
          <w:sz w:val="36"/>
          <w:szCs w:val="36"/>
          <w:highlight w:val="none"/>
        </w:rPr>
      </w:pPr>
      <w:r>
        <w:rPr>
          <w:rFonts w:hint="eastAsia" w:ascii="宋体" w:hAnsi="宋体" w:cs="宋体"/>
          <w:b/>
          <w:color w:val="auto"/>
          <w:spacing w:val="20"/>
          <w:sz w:val="36"/>
          <w:szCs w:val="36"/>
          <w:highlight w:val="none"/>
          <w:u w:val="single"/>
        </w:rPr>
        <w:t xml:space="preserve">                              </w:t>
      </w:r>
      <w:r>
        <w:rPr>
          <w:rFonts w:hint="eastAsia" w:ascii="宋体" w:hAnsi="宋体" w:cs="宋体"/>
          <w:b/>
          <w:color w:val="auto"/>
          <w:spacing w:val="20"/>
          <w:sz w:val="36"/>
          <w:szCs w:val="36"/>
          <w:highlight w:val="none"/>
        </w:rPr>
        <w:t>采购</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800" w:lineRule="exact"/>
        <w:jc w:val="center"/>
        <w:rPr>
          <w:rFonts w:ascii="宋体" w:hAnsi="宋体" w:cs="宋体"/>
          <w:b/>
          <w:color w:val="auto"/>
          <w:sz w:val="72"/>
          <w:szCs w:val="72"/>
          <w:highlight w:val="none"/>
        </w:rPr>
      </w:pPr>
      <w:r>
        <w:rPr>
          <w:rFonts w:hint="eastAsia" w:ascii="宋体" w:hAnsi="宋体" w:cs="宋体"/>
          <w:b/>
          <w:color w:val="auto"/>
          <w:sz w:val="72"/>
          <w:szCs w:val="72"/>
          <w:highlight w:val="none"/>
        </w:rPr>
        <w:t>谈</w:t>
      </w:r>
    </w:p>
    <w:p>
      <w:pPr>
        <w:spacing w:line="800" w:lineRule="exact"/>
        <w:jc w:val="center"/>
        <w:rPr>
          <w:rFonts w:ascii="宋体" w:hAnsi="宋体" w:cs="宋体"/>
          <w:b/>
          <w:color w:val="auto"/>
          <w:sz w:val="72"/>
          <w:szCs w:val="72"/>
          <w:highlight w:val="none"/>
        </w:rPr>
      </w:pPr>
      <w:r>
        <w:rPr>
          <w:rFonts w:hint="eastAsia" w:ascii="宋体" w:hAnsi="宋体" w:cs="宋体"/>
          <w:b/>
          <w:color w:val="auto"/>
          <w:sz w:val="72"/>
          <w:szCs w:val="72"/>
          <w:highlight w:val="none"/>
        </w:rPr>
        <w:t>判</w:t>
      </w:r>
    </w:p>
    <w:p>
      <w:pPr>
        <w:spacing w:line="800" w:lineRule="exact"/>
        <w:jc w:val="center"/>
        <w:rPr>
          <w:rFonts w:ascii="宋体" w:hAnsi="宋体" w:cs="宋体"/>
          <w:b/>
          <w:color w:val="auto"/>
          <w:sz w:val="72"/>
          <w:szCs w:val="72"/>
          <w:highlight w:val="none"/>
        </w:rPr>
      </w:pPr>
      <w:r>
        <w:rPr>
          <w:rFonts w:hint="eastAsia" w:ascii="宋体" w:hAnsi="宋体" w:cs="宋体"/>
          <w:b/>
          <w:color w:val="auto"/>
          <w:sz w:val="72"/>
          <w:szCs w:val="72"/>
          <w:highlight w:val="none"/>
        </w:rPr>
        <w:t>响</w:t>
      </w:r>
    </w:p>
    <w:p>
      <w:pPr>
        <w:spacing w:line="800" w:lineRule="exact"/>
        <w:jc w:val="center"/>
        <w:rPr>
          <w:rFonts w:ascii="宋体" w:hAnsi="宋体" w:cs="宋体"/>
          <w:b/>
          <w:color w:val="auto"/>
          <w:sz w:val="72"/>
          <w:szCs w:val="72"/>
          <w:highlight w:val="none"/>
        </w:rPr>
      </w:pPr>
      <w:r>
        <w:rPr>
          <w:rFonts w:hint="eastAsia" w:ascii="宋体" w:hAnsi="宋体" w:cs="宋体"/>
          <w:b/>
          <w:color w:val="auto"/>
          <w:sz w:val="72"/>
          <w:szCs w:val="72"/>
          <w:highlight w:val="none"/>
        </w:rPr>
        <w:t>应</w:t>
      </w:r>
    </w:p>
    <w:p>
      <w:pPr>
        <w:spacing w:line="800" w:lineRule="exact"/>
        <w:jc w:val="center"/>
        <w:rPr>
          <w:rFonts w:ascii="宋体" w:hAnsi="宋体" w:cs="宋体"/>
          <w:b/>
          <w:color w:val="auto"/>
          <w:sz w:val="72"/>
          <w:szCs w:val="72"/>
          <w:highlight w:val="none"/>
        </w:rPr>
      </w:pPr>
      <w:r>
        <w:rPr>
          <w:rFonts w:hint="eastAsia" w:ascii="宋体" w:hAnsi="宋体" w:cs="宋体"/>
          <w:b/>
          <w:color w:val="auto"/>
          <w:sz w:val="72"/>
          <w:szCs w:val="72"/>
          <w:highlight w:val="none"/>
        </w:rPr>
        <w:t>文</w:t>
      </w:r>
    </w:p>
    <w:p>
      <w:pPr>
        <w:spacing w:line="360" w:lineRule="auto"/>
        <w:jc w:val="center"/>
        <w:rPr>
          <w:rFonts w:ascii="宋体" w:hAnsi="宋体" w:cs="宋体"/>
          <w:color w:val="auto"/>
          <w:sz w:val="24"/>
          <w:highlight w:val="none"/>
        </w:rPr>
      </w:pPr>
      <w:r>
        <w:rPr>
          <w:rFonts w:hint="eastAsia" w:ascii="宋体" w:hAnsi="宋体" w:cs="宋体"/>
          <w:b/>
          <w:color w:val="auto"/>
          <w:sz w:val="72"/>
          <w:szCs w:val="72"/>
          <w:highlight w:val="none"/>
        </w:rPr>
        <w:t>件</w:t>
      </w:r>
    </w:p>
    <w:p>
      <w:pPr>
        <w:spacing w:line="360" w:lineRule="auto"/>
        <w:ind w:firstLine="148" w:firstLineChars="49"/>
        <w:rPr>
          <w:rFonts w:ascii="宋体" w:hAnsi="宋体" w:cs="宋体"/>
          <w:b/>
          <w:color w:val="auto"/>
          <w:sz w:val="30"/>
          <w:szCs w:val="30"/>
          <w:highlight w:val="none"/>
        </w:rPr>
      </w:pPr>
      <w:r>
        <w:rPr>
          <w:rFonts w:hint="eastAsia" w:ascii="宋体" w:hAnsi="宋体" w:cs="宋体"/>
          <w:b/>
          <w:color w:val="auto"/>
          <w:sz w:val="30"/>
          <w:szCs w:val="30"/>
          <w:highlight w:val="none"/>
        </w:rPr>
        <w:t xml:space="preserve">采购人名称：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30"/>
          <w:szCs w:val="30"/>
          <w:highlight w:val="none"/>
        </w:rPr>
      </w:pPr>
    </w:p>
    <w:p>
      <w:pPr>
        <w:spacing w:line="360" w:lineRule="auto"/>
        <w:ind w:firstLine="148" w:firstLineChars="49"/>
        <w:rPr>
          <w:rFonts w:ascii="宋体" w:hAnsi="宋体" w:cs="宋体"/>
          <w:b/>
          <w:color w:val="auto"/>
          <w:sz w:val="30"/>
          <w:szCs w:val="30"/>
          <w:highlight w:val="none"/>
        </w:rPr>
      </w:pPr>
      <w:r>
        <w:rPr>
          <w:rFonts w:hint="eastAsia" w:ascii="宋体" w:hAnsi="宋体" w:cs="宋体"/>
          <w:b/>
          <w:color w:val="auto"/>
          <w:sz w:val="30"/>
          <w:szCs w:val="30"/>
          <w:highlight w:val="none"/>
        </w:rPr>
        <w:t xml:space="preserve">谈判响应人名称： </w:t>
      </w:r>
      <w:r>
        <w:rPr>
          <w:rFonts w:hint="eastAsia" w:ascii="宋体" w:hAnsi="宋体" w:cs="宋体"/>
          <w:b/>
          <w:color w:val="auto"/>
          <w:sz w:val="30"/>
          <w:szCs w:val="30"/>
          <w:highlight w:val="none"/>
          <w:u w:val="single"/>
        </w:rPr>
        <w:t xml:space="preserve">                                   （盖 章）           </w:t>
      </w:r>
    </w:p>
    <w:p>
      <w:pPr>
        <w:spacing w:line="360" w:lineRule="auto"/>
        <w:rPr>
          <w:rFonts w:ascii="宋体" w:hAnsi="宋体" w:cs="宋体"/>
          <w:b/>
          <w:color w:val="auto"/>
          <w:sz w:val="30"/>
          <w:szCs w:val="30"/>
          <w:highlight w:val="none"/>
        </w:rPr>
      </w:pPr>
    </w:p>
    <w:p>
      <w:pPr>
        <w:spacing w:line="360" w:lineRule="auto"/>
        <w:ind w:firstLine="148" w:firstLineChars="49"/>
        <w:rPr>
          <w:rFonts w:ascii="宋体" w:hAnsi="宋体" w:cs="宋体"/>
          <w:b/>
          <w:color w:val="auto"/>
          <w:sz w:val="30"/>
          <w:szCs w:val="30"/>
          <w:highlight w:val="none"/>
        </w:rPr>
      </w:pPr>
      <w:r>
        <w:rPr>
          <w:rFonts w:hint="eastAsia" w:ascii="宋体" w:hAnsi="宋体" w:cs="宋体"/>
          <w:b/>
          <w:color w:val="auto"/>
          <w:sz w:val="30"/>
          <w:szCs w:val="30"/>
          <w:highlight w:val="none"/>
        </w:rPr>
        <w:t>法定代表人：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签字或</w:t>
      </w:r>
      <w:r>
        <w:rPr>
          <w:rFonts w:hint="eastAsia" w:ascii="宋体" w:hAnsi="宋体" w:cs="宋体"/>
          <w:b/>
          <w:color w:val="auto"/>
          <w:sz w:val="30"/>
          <w:szCs w:val="30"/>
          <w:highlight w:val="none"/>
          <w:u w:val="single"/>
        </w:rPr>
        <w:t xml:space="preserve">盖章) </w:t>
      </w:r>
    </w:p>
    <w:p>
      <w:pPr>
        <w:spacing w:line="360" w:lineRule="auto"/>
        <w:rPr>
          <w:rFonts w:ascii="宋体" w:hAnsi="宋体" w:cs="宋体"/>
          <w:color w:val="auto"/>
          <w:sz w:val="30"/>
          <w:szCs w:val="30"/>
          <w:highlight w:val="non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日期：</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日</w:t>
      </w:r>
    </w:p>
    <w:p>
      <w:pPr>
        <w:widowControl/>
        <w:jc w:val="left"/>
        <w:rPr>
          <w:rFonts w:ascii="宋体" w:hAnsi="宋体" w:cs="宋体"/>
          <w:b/>
          <w:color w:val="auto"/>
          <w:sz w:val="30"/>
          <w:szCs w:val="30"/>
          <w:highlight w:val="none"/>
        </w:rPr>
      </w:pPr>
      <w:r>
        <w:rPr>
          <w:rFonts w:ascii="宋体" w:hAnsi="宋体" w:cs="宋体"/>
          <w:b/>
          <w:color w:val="auto"/>
          <w:sz w:val="30"/>
          <w:szCs w:val="30"/>
          <w:highlight w:val="none"/>
        </w:rPr>
        <w:br w:type="page"/>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目 录</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一、谈判响应函</w:t>
      </w:r>
    </w:p>
    <w:p>
      <w:pPr>
        <w:spacing w:line="48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en-US" w:eastAsia="zh-CN"/>
        </w:rPr>
        <w:t>谈判报价表</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、诚信谈判响应承诺书</w:t>
      </w:r>
    </w:p>
    <w:p>
      <w:pPr>
        <w:spacing w:line="48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四、项目经理承诺</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、资格证明文件</w:t>
      </w:r>
    </w:p>
    <w:p>
      <w:pPr>
        <w:widowControl/>
        <w:jc w:val="left"/>
        <w:rPr>
          <w:rFonts w:ascii="宋体" w:hAnsi="宋体" w:cs="宋体"/>
          <w:color w:val="auto"/>
          <w:sz w:val="24"/>
          <w:highlight w:val="none"/>
        </w:rPr>
      </w:pPr>
      <w:r>
        <w:rPr>
          <w:rFonts w:ascii="宋体" w:hAnsi="宋体" w:cs="宋体"/>
          <w:color w:val="auto"/>
          <w:sz w:val="24"/>
          <w:highlight w:val="none"/>
        </w:rPr>
        <w:br w:type="page"/>
      </w:r>
    </w:p>
    <w:p>
      <w:pPr>
        <w:pStyle w:val="7"/>
        <w:jc w:val="center"/>
        <w:rPr>
          <w:rFonts w:hAnsi="宋体" w:cs="宋体"/>
          <w:color w:val="auto"/>
          <w:highlight w:val="none"/>
        </w:rPr>
      </w:pPr>
      <w:bookmarkStart w:id="188" w:name="_Toc55202321"/>
      <w:bookmarkStart w:id="189" w:name="_Toc13905"/>
      <w:r>
        <w:rPr>
          <w:rFonts w:hint="eastAsia" w:hAnsi="宋体" w:cs="宋体"/>
          <w:color w:val="auto"/>
          <w:highlight w:val="none"/>
        </w:rPr>
        <w:t>一、谈判响应函</w:t>
      </w:r>
      <w:bookmarkEnd w:id="188"/>
      <w:bookmarkEnd w:id="189"/>
    </w:p>
    <w:p>
      <w:pPr>
        <w:keepNext w:val="0"/>
        <w:keepLines w:val="0"/>
        <w:pageBreakBefore w:val="0"/>
        <w:widowControl w:val="0"/>
        <w:kinsoku/>
        <w:wordWrap/>
        <w:overflowPunct/>
        <w:topLinePunct w:val="0"/>
        <w:bidi w:val="0"/>
        <w:adjustRightInd w:val="0"/>
        <w:snapToGrid w:val="0"/>
        <w:spacing w:line="500" w:lineRule="exac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安庆职业技术学院  </w:t>
      </w:r>
    </w:p>
    <w:p>
      <w:pPr>
        <w:keepNext w:val="0"/>
        <w:keepLines w:val="0"/>
        <w:pageBreakBefore w:val="0"/>
        <w:widowControl w:val="0"/>
        <w:numPr>
          <w:ilvl w:val="0"/>
          <w:numId w:val="0"/>
        </w:numPr>
        <w:tabs>
          <w:tab w:val="left" w:pos="7560"/>
        </w:tabs>
        <w:kinsoku/>
        <w:wordWrap/>
        <w:overflowPunct/>
        <w:topLinePunct w:val="0"/>
        <w:bidi w:val="0"/>
        <w:adjustRightInd w:val="0"/>
        <w:snapToGrid w:val="0"/>
        <w:spacing w:line="50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根据你方招标工程</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GC-AQ-W2022-</w:t>
      </w:r>
      <w:r>
        <w:rPr>
          <w:rFonts w:hint="eastAsia" w:ascii="宋体" w:hAnsi="宋体" w:cs="宋体"/>
          <w:color w:val="auto"/>
          <w:sz w:val="24"/>
          <w:szCs w:val="24"/>
          <w:highlight w:val="none"/>
          <w:u w:val="single"/>
          <w:lang w:val="en-US" w:eastAsia="zh-CN"/>
        </w:rPr>
        <w:t xml:space="preserve">028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eastAsia="zh-CN"/>
        </w:rPr>
        <w:t>安庆职业技术学院纪委谈话室建设工程</w:t>
      </w:r>
      <w:r>
        <w:rPr>
          <w:rFonts w:hint="eastAsia" w:ascii="宋体" w:hAnsi="宋体" w:eastAsia="宋体" w:cs="宋体"/>
          <w:color w:val="auto"/>
          <w:sz w:val="24"/>
          <w:szCs w:val="24"/>
          <w:highlight w:val="none"/>
        </w:rPr>
        <w:t>竞争性谈判文件，经踏勘项目现场和研究上述</w:t>
      </w:r>
      <w:r>
        <w:rPr>
          <w:rFonts w:hint="eastAsia" w:ascii="宋体" w:hAnsi="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文件的投标须知、合同条款及其他有关文件后，我方接受上述文件要求，并对工程量清单及</w:t>
      </w:r>
      <w:r>
        <w:rPr>
          <w:rFonts w:hint="eastAsia" w:ascii="宋体" w:hAnsi="宋体" w:eastAsia="宋体" w:cs="宋体"/>
          <w:color w:val="auto"/>
          <w:sz w:val="24"/>
          <w:szCs w:val="24"/>
          <w:highlight w:val="none"/>
          <w:lang w:eastAsia="zh-CN"/>
        </w:rPr>
        <w:t>最高</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限价</w:t>
      </w:r>
      <w:r>
        <w:rPr>
          <w:rFonts w:hint="eastAsia" w:ascii="宋体" w:hAnsi="宋体" w:eastAsia="宋体" w:cs="宋体"/>
          <w:color w:val="auto"/>
          <w:sz w:val="24"/>
          <w:szCs w:val="24"/>
          <w:highlight w:val="none"/>
        </w:rPr>
        <w:t>无异议。</w:t>
      </w:r>
      <w:r>
        <w:rPr>
          <w:rFonts w:hint="eastAsia" w:ascii="宋体" w:hAnsi="宋体" w:eastAsia="宋体" w:cs="宋体"/>
          <w:b/>
          <w:bCs/>
          <w:color w:val="auto"/>
          <w:sz w:val="24"/>
          <w:szCs w:val="24"/>
          <w:highlight w:val="none"/>
        </w:rPr>
        <w:t>我方愿以</w:t>
      </w:r>
      <w:r>
        <w:rPr>
          <w:rFonts w:hint="eastAsia" w:ascii="宋体" w:hAnsi="宋体" w:eastAsia="宋体" w:cs="宋体"/>
          <w:b/>
          <w:bCs/>
          <w:color w:val="auto"/>
          <w:sz w:val="24"/>
          <w:szCs w:val="24"/>
          <w:highlight w:val="none"/>
          <w:u w:val="single"/>
        </w:rPr>
        <w:t>人民币（大写）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w:t>
      </w:r>
      <w:r>
        <w:rPr>
          <w:rFonts w:hint="eastAsia" w:ascii="宋体" w:hAnsi="宋体" w:eastAsia="宋体" w:cs="宋体"/>
          <w:b/>
          <w:bCs/>
          <w:color w:val="auto"/>
          <w:sz w:val="24"/>
          <w:szCs w:val="24"/>
          <w:highlight w:val="none"/>
        </w:rPr>
        <w:t>元（小写</w:t>
      </w:r>
      <w:r>
        <w:rPr>
          <w:rFonts w:hint="eastAsia" w:ascii="宋体" w:hAnsi="宋体" w:eastAsia="宋体" w:cs="宋体"/>
          <w:b/>
          <w:bCs/>
          <w:color w:val="auto"/>
          <w:sz w:val="24"/>
          <w:szCs w:val="24"/>
          <w:highlight w:val="none"/>
          <w:u w:val="single"/>
        </w:rPr>
        <w:t>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w:t>
      </w:r>
      <w:r>
        <w:rPr>
          <w:rFonts w:hint="eastAsia" w:ascii="宋体" w:hAnsi="宋体" w:eastAsia="宋体" w:cs="宋体"/>
          <w:b/>
          <w:bCs/>
          <w:color w:val="auto"/>
          <w:sz w:val="24"/>
          <w:szCs w:val="24"/>
          <w:highlight w:val="none"/>
        </w:rPr>
        <w:t>元）的</w:t>
      </w:r>
      <w:r>
        <w:rPr>
          <w:rFonts w:hint="eastAsia" w:ascii="宋体" w:hAnsi="宋体" w:cs="宋体"/>
          <w:b/>
          <w:bCs/>
          <w:color w:val="auto"/>
          <w:sz w:val="24"/>
          <w:szCs w:val="24"/>
          <w:highlight w:val="none"/>
          <w:lang w:val="en-US" w:eastAsia="zh-CN"/>
        </w:rPr>
        <w:t>首轮</w:t>
      </w:r>
      <w:r>
        <w:rPr>
          <w:rFonts w:hint="eastAsia" w:ascii="宋体" w:hAnsi="宋体" w:eastAsia="宋体" w:cs="宋体"/>
          <w:b/>
          <w:bCs/>
          <w:color w:val="auto"/>
          <w:sz w:val="24"/>
          <w:szCs w:val="24"/>
          <w:highlight w:val="none"/>
        </w:rPr>
        <w:t>投标报价，</w:t>
      </w:r>
      <w:r>
        <w:rPr>
          <w:rFonts w:hint="eastAsia" w:ascii="宋体" w:hAnsi="宋体" w:eastAsia="宋体" w:cs="宋体"/>
          <w:bCs/>
          <w:color w:val="auto"/>
          <w:sz w:val="24"/>
          <w:szCs w:val="24"/>
          <w:highlight w:val="none"/>
        </w:rPr>
        <w:t>并承诺</w:t>
      </w:r>
      <w:r>
        <w:rPr>
          <w:rFonts w:hint="eastAsia" w:ascii="宋体" w:hAnsi="宋体" w:cs="宋体"/>
          <w:bCs/>
          <w:color w:val="auto"/>
          <w:sz w:val="24"/>
          <w:szCs w:val="24"/>
          <w:highlight w:val="none"/>
          <w:lang w:val="en-US" w:eastAsia="zh-CN"/>
        </w:rPr>
        <w:t>按最终报价完成</w:t>
      </w:r>
      <w:r>
        <w:rPr>
          <w:rFonts w:hint="eastAsia" w:ascii="宋体" w:hAnsi="宋体" w:eastAsia="宋体" w:cs="宋体"/>
          <w:bCs/>
          <w:color w:val="auto"/>
          <w:sz w:val="24"/>
          <w:szCs w:val="24"/>
          <w:highlight w:val="none"/>
        </w:rPr>
        <w:t>本</w:t>
      </w:r>
      <w:r>
        <w:rPr>
          <w:rFonts w:hint="eastAsia" w:ascii="宋体" w:hAnsi="宋体" w:cs="宋体"/>
          <w:bCs/>
          <w:color w:val="auto"/>
          <w:sz w:val="24"/>
          <w:szCs w:val="24"/>
          <w:highlight w:val="none"/>
          <w:lang w:val="en-US" w:eastAsia="zh-CN"/>
        </w:rPr>
        <w:t>竞争性谈判</w:t>
      </w:r>
      <w:r>
        <w:rPr>
          <w:rFonts w:hint="eastAsia" w:ascii="宋体" w:hAnsi="宋体" w:eastAsia="宋体" w:cs="宋体"/>
          <w:bCs/>
          <w:color w:val="auto"/>
          <w:sz w:val="24"/>
          <w:szCs w:val="24"/>
          <w:highlight w:val="none"/>
        </w:rPr>
        <w:t>文件、合同条款和工程建设技术标准的条件、</w:t>
      </w:r>
      <w:r>
        <w:rPr>
          <w:rFonts w:hint="eastAsia" w:ascii="宋体" w:hAnsi="宋体" w:eastAsia="宋体" w:cs="宋体"/>
          <w:color w:val="auto"/>
          <w:sz w:val="24"/>
          <w:szCs w:val="24"/>
          <w:highlight w:val="none"/>
        </w:rPr>
        <w:t>承担</w:t>
      </w:r>
      <w:r>
        <w:rPr>
          <w:rFonts w:hint="eastAsia" w:ascii="宋体" w:hAnsi="宋体" w:eastAsia="宋体" w:cs="宋体"/>
          <w:bCs/>
          <w:color w:val="auto"/>
          <w:sz w:val="24"/>
          <w:szCs w:val="24"/>
          <w:highlight w:val="none"/>
        </w:rPr>
        <w:t>上述工程的施工、竣工，并承担任何质量缺陷保修责任。</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我方已详细审核并确认全部招标文件及有关附件，充分理解投标价格不得低于企业个别成本有关规定。我方经成本核算，所填报的投标报价不低于企业个别成本。</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我方拟派本工程</w:t>
      </w:r>
      <w:r>
        <w:rPr>
          <w:rFonts w:hint="eastAsia" w:ascii="宋体" w:hAnsi="宋体" w:cs="宋体"/>
          <w:color w:val="auto"/>
          <w:sz w:val="24"/>
          <w:szCs w:val="24"/>
          <w:highlight w:val="none"/>
          <w:lang w:val="en-US" w:eastAsia="zh-CN"/>
        </w:rPr>
        <w:t>项目经理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一旦我方中标，我方保证按</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日历天的工期和</w:t>
      </w:r>
      <w:r>
        <w:rPr>
          <w:rFonts w:hint="eastAsia" w:ascii="宋体" w:hAnsi="宋体" w:cs="宋体"/>
          <w:color w:val="auto"/>
          <w:sz w:val="24"/>
          <w:szCs w:val="24"/>
          <w:highlight w:val="none"/>
          <w:lang w:val="en-US" w:eastAsia="zh-CN"/>
        </w:rPr>
        <w:t>竞谈</w:t>
      </w:r>
      <w:r>
        <w:rPr>
          <w:rFonts w:hint="eastAsia" w:ascii="宋体" w:hAnsi="宋体" w:eastAsia="宋体" w:cs="宋体"/>
          <w:color w:val="auto"/>
          <w:sz w:val="24"/>
          <w:szCs w:val="24"/>
          <w:highlight w:val="none"/>
        </w:rPr>
        <w:t>文件或业主开工令的要求如期开工、竣工并移交整个工程。</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一旦我方中标，我方保证工程质量达到国家相关施工验收规范</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标准。</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一旦我方中标，我方保证投标文件中承诺的项目管理班子及施工机械设备到位，并按投标文件中的施工组织设计组织施工。</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一旦我方中标，我方保证用于本工程的主要材料、设备，不低于</w:t>
      </w:r>
      <w:r>
        <w:rPr>
          <w:rFonts w:hint="eastAsia" w:ascii="宋体" w:hAnsi="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文件规定和</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文件承诺的合格产品，并在使用之前经建设、监理、设计单位确认后使用。</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一旦我方中标，我方保证在规定的时间内由我方法定代表人亲自签订合同以及及时进场施工，并认真履行合同和其它各项承诺。</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一旦我方中标，我方保证在规定的时间内按招标文件规定的方式、金额向发包人提交履约担保。</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我方同意所提交的投标文件在招标文件的投标须知中规定的投标有效期内有效，在此期间内如果中标，我方将受此约束。</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除非另外达成协议并生效，你方的中标通知书和本投标文件以及招标文件、招标文件澄清、修改、补充将成为约束双方的合同文件的组成部分。  </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我方承诺：</w:t>
      </w:r>
    </w:p>
    <w:p>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（1）我单位中标后按招标文件规定时间与</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人签订合同，按规定缴纳（扣缴）增值税、城市维护建设税、教育费附加、地方教育费附加和地方水利建设基金等税费。</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（2）一旦我方中标，我方保证在规定的时间内按</w:t>
      </w:r>
      <w:r>
        <w:rPr>
          <w:rFonts w:hint="eastAsia" w:ascii="宋体" w:hAnsi="宋体" w:cs="宋体"/>
          <w:b/>
          <w:color w:val="auto"/>
          <w:sz w:val="24"/>
          <w:szCs w:val="24"/>
          <w:highlight w:val="none"/>
          <w:lang w:val="en-US" w:eastAsia="zh-CN"/>
        </w:rPr>
        <w:t>竞争性谈判</w:t>
      </w:r>
      <w:r>
        <w:rPr>
          <w:rFonts w:hint="eastAsia" w:ascii="宋体" w:hAnsi="宋体" w:eastAsia="宋体" w:cs="宋体"/>
          <w:b/>
          <w:color w:val="auto"/>
          <w:sz w:val="24"/>
          <w:szCs w:val="24"/>
          <w:highlight w:val="none"/>
        </w:rPr>
        <w:t>文件规定的时间、金额缴纳招标代理费</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清单最高限价编制费</w:t>
      </w:r>
      <w:r>
        <w:rPr>
          <w:rFonts w:hint="eastAsia" w:ascii="宋体" w:hAnsi="宋体" w:eastAsia="宋体" w:cs="宋体"/>
          <w:b/>
          <w:color w:val="auto"/>
          <w:sz w:val="24"/>
          <w:szCs w:val="24"/>
          <w:highlight w:val="none"/>
        </w:rPr>
        <w:t>。</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（3）我方已对</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人提供的工程量清单和</w:t>
      </w:r>
      <w:r>
        <w:rPr>
          <w:rFonts w:hint="eastAsia" w:ascii="宋体" w:hAnsi="宋体" w:eastAsia="宋体" w:cs="宋体"/>
          <w:b/>
          <w:color w:val="auto"/>
          <w:sz w:val="24"/>
          <w:szCs w:val="24"/>
          <w:highlight w:val="none"/>
          <w:lang w:eastAsia="zh-CN"/>
        </w:rPr>
        <w:t>最高投标限价</w:t>
      </w:r>
      <w:r>
        <w:rPr>
          <w:rFonts w:hint="eastAsia" w:ascii="宋体" w:hAnsi="宋体" w:eastAsia="宋体" w:cs="宋体"/>
          <w:b/>
          <w:color w:val="auto"/>
          <w:sz w:val="24"/>
          <w:szCs w:val="24"/>
          <w:highlight w:val="none"/>
        </w:rPr>
        <w:t>进行认真复核，确认无误，中标后不再另行调整。</w:t>
      </w: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2" w:firstLineChars="20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）我方在此声明，所递交的谈判响应文件及有关资料内容完整、真实和准确，符合资格审查条件，且不存在第二章“谈判响应人须知”第</w:t>
      </w:r>
      <w:r>
        <w:rPr>
          <w:rFonts w:hint="eastAsia" w:ascii="宋体" w:hAnsi="宋体" w:eastAsia="宋体" w:cs="宋体"/>
          <w:b/>
          <w:color w:val="auto"/>
          <w:sz w:val="24"/>
          <w:szCs w:val="24"/>
          <w:highlight w:val="none"/>
          <w:lang w:val="en-US" w:eastAsia="zh-CN"/>
        </w:rPr>
        <w:t>3.5</w:t>
      </w:r>
      <w:r>
        <w:rPr>
          <w:rFonts w:hint="eastAsia" w:ascii="宋体" w:hAnsi="宋体" w:eastAsia="宋体" w:cs="宋体"/>
          <w:b/>
          <w:color w:val="auto"/>
          <w:sz w:val="24"/>
          <w:szCs w:val="24"/>
          <w:highlight w:val="none"/>
          <w:lang w:eastAsia="zh-CN"/>
        </w:rPr>
        <w:t>项、第</w:t>
      </w:r>
      <w:r>
        <w:rPr>
          <w:rFonts w:hint="eastAsia" w:ascii="宋体" w:hAnsi="宋体" w:eastAsia="宋体" w:cs="宋体"/>
          <w:b/>
          <w:color w:val="auto"/>
          <w:sz w:val="24"/>
          <w:szCs w:val="24"/>
          <w:highlight w:val="none"/>
          <w:lang w:val="en-US" w:eastAsia="zh-CN"/>
        </w:rPr>
        <w:t>3.6</w:t>
      </w:r>
      <w:r>
        <w:rPr>
          <w:rFonts w:hint="eastAsia" w:ascii="宋体" w:hAnsi="宋体" w:eastAsia="宋体" w:cs="宋体"/>
          <w:b/>
          <w:color w:val="auto"/>
          <w:sz w:val="24"/>
          <w:szCs w:val="24"/>
          <w:highlight w:val="none"/>
          <w:lang w:eastAsia="zh-CN"/>
        </w:rPr>
        <w:t>项规定的任何一种情形。</w:t>
      </w:r>
    </w:p>
    <w:p>
      <w:pPr>
        <w:pStyle w:val="4"/>
        <w:rPr>
          <w:rFonts w:hint="eastAsia" w:eastAsia="宋体"/>
          <w:lang w:eastAsia="zh-CN"/>
        </w:rPr>
      </w:pPr>
    </w:p>
    <w:p>
      <w:pPr>
        <w:pStyle w:val="3"/>
        <w:keepNext w:val="0"/>
        <w:keepLines w:val="0"/>
        <w:pageBreakBefore w:val="0"/>
        <w:widowControl w:val="0"/>
        <w:kinsoku/>
        <w:wordWrap/>
        <w:overflowPunct/>
        <w:topLinePunct w:val="0"/>
        <w:bidi w:val="0"/>
        <w:adjustRightInd w:val="0"/>
        <w:snapToGrid w:val="0"/>
        <w:spacing w:after="0"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其他补充说明：</w:t>
      </w:r>
      <w:r>
        <w:rPr>
          <w:rFonts w:hint="eastAsia" w:ascii="宋体" w:hAnsi="宋体" w:eastAsia="宋体" w:cs="宋体"/>
          <w:color w:val="auto"/>
          <w:sz w:val="24"/>
          <w:szCs w:val="24"/>
          <w:highlight w:val="none"/>
          <w:u w:val="single"/>
        </w:rPr>
        <w:t xml:space="preserve">             {补充说明事项}         </w:t>
      </w:r>
    </w:p>
    <w:p>
      <w:pPr>
        <w:pStyle w:val="16"/>
        <w:keepNext w:val="0"/>
        <w:keepLines w:val="0"/>
        <w:pageBreakBefore w:val="0"/>
        <w:widowControl w:val="0"/>
        <w:tabs>
          <w:tab w:val="left" w:pos="5580"/>
        </w:tabs>
        <w:kinsoku/>
        <w:wordWrap/>
        <w:overflowPunct/>
        <w:topLinePunct w:val="0"/>
        <w:bidi w:val="0"/>
        <w:spacing w:line="500" w:lineRule="exact"/>
        <w:ind w:right="360"/>
        <w:textAlignment w:val="auto"/>
        <w:rPr>
          <w:rFonts w:hAnsi="宋体" w:cs="宋体"/>
          <w:color w:val="auto"/>
          <w:sz w:val="24"/>
          <w:szCs w:val="24"/>
          <w:highlight w:val="none"/>
        </w:rPr>
      </w:pPr>
    </w:p>
    <w:p>
      <w:pPr>
        <w:pStyle w:val="16"/>
        <w:keepNext w:val="0"/>
        <w:keepLines w:val="0"/>
        <w:pageBreakBefore w:val="0"/>
        <w:widowControl w:val="0"/>
        <w:tabs>
          <w:tab w:val="left" w:pos="5580"/>
        </w:tabs>
        <w:kinsoku/>
        <w:wordWrap/>
        <w:overflowPunct/>
        <w:topLinePunct w:val="0"/>
        <w:bidi w:val="0"/>
        <w:spacing w:line="500" w:lineRule="exact"/>
        <w:ind w:right="360" w:firstLine="4080" w:firstLineChars="1700"/>
        <w:textAlignment w:val="auto"/>
        <w:rPr>
          <w:rFonts w:hAnsi="宋体" w:cs="宋体"/>
          <w:color w:val="auto"/>
          <w:sz w:val="24"/>
          <w:szCs w:val="24"/>
          <w:highlight w:val="none"/>
        </w:rPr>
      </w:pPr>
    </w:p>
    <w:p>
      <w:pPr>
        <w:pStyle w:val="16"/>
        <w:keepNext w:val="0"/>
        <w:keepLines w:val="0"/>
        <w:pageBreakBefore w:val="0"/>
        <w:widowControl w:val="0"/>
        <w:tabs>
          <w:tab w:val="left" w:pos="5580"/>
        </w:tabs>
        <w:kinsoku/>
        <w:wordWrap/>
        <w:overflowPunct/>
        <w:topLinePunct w:val="0"/>
        <w:bidi w:val="0"/>
        <w:spacing w:line="500" w:lineRule="exact"/>
        <w:ind w:right="360" w:firstLine="3120" w:firstLineChars="1300"/>
        <w:textAlignment w:val="auto"/>
        <w:rPr>
          <w:rFonts w:hAnsi="宋体" w:cs="宋体"/>
          <w:color w:val="auto"/>
          <w:sz w:val="24"/>
          <w:szCs w:val="24"/>
          <w:highlight w:val="none"/>
          <w:u w:val="single"/>
        </w:rPr>
      </w:pPr>
      <w:r>
        <w:rPr>
          <w:rFonts w:hint="eastAsia" w:hAnsi="宋体" w:cs="宋体"/>
          <w:color w:val="auto"/>
          <w:sz w:val="24"/>
          <w:szCs w:val="24"/>
          <w:highlight w:val="none"/>
        </w:rPr>
        <w:t>谈判响应人：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（盖章） </w:t>
      </w:r>
    </w:p>
    <w:p>
      <w:pPr>
        <w:pStyle w:val="16"/>
        <w:keepNext w:val="0"/>
        <w:keepLines w:val="0"/>
        <w:pageBreakBefore w:val="0"/>
        <w:widowControl w:val="0"/>
        <w:tabs>
          <w:tab w:val="left" w:pos="5580"/>
        </w:tabs>
        <w:kinsoku/>
        <w:wordWrap/>
        <w:overflowPunct/>
        <w:topLinePunct w:val="0"/>
        <w:bidi w:val="0"/>
        <w:spacing w:line="500" w:lineRule="exact"/>
        <w:ind w:firstLine="480" w:firstLineChars="200"/>
        <w:textAlignment w:val="auto"/>
        <w:rPr>
          <w:rFonts w:hAnsi="宋体" w:cs="宋体"/>
          <w:color w:val="auto"/>
          <w:sz w:val="24"/>
          <w:szCs w:val="24"/>
          <w:highlight w:val="none"/>
          <w:u w:val="single"/>
        </w:rPr>
      </w:pPr>
      <w:r>
        <w:rPr>
          <w:rFonts w:hint="eastAsia" w:hAnsi="宋体" w:cs="宋体"/>
          <w:color w:val="auto"/>
          <w:sz w:val="24"/>
          <w:szCs w:val="24"/>
          <w:highlight w:val="none"/>
        </w:rPr>
        <w:t xml:space="preserve">                      单位地址：</w:t>
      </w:r>
      <w:r>
        <w:rPr>
          <w:rFonts w:hint="eastAsia" w:hAnsi="宋体" w:cs="宋体"/>
          <w:color w:val="auto"/>
          <w:sz w:val="24"/>
          <w:szCs w:val="24"/>
          <w:highlight w:val="none"/>
          <w:u w:val="single"/>
        </w:rPr>
        <w:tab/>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ab/>
      </w:r>
      <w:r>
        <w:rPr>
          <w:rFonts w:hint="eastAsia" w:hAnsi="宋体" w:cs="宋体"/>
          <w:color w:val="auto"/>
          <w:sz w:val="24"/>
          <w:szCs w:val="24"/>
          <w:highlight w:val="none"/>
          <w:u w:val="single"/>
        </w:rPr>
        <w:t xml:space="preserve">      </w:t>
      </w:r>
    </w:p>
    <w:p>
      <w:pPr>
        <w:pStyle w:val="16"/>
        <w:keepNext w:val="0"/>
        <w:keepLines w:val="0"/>
        <w:pageBreakBefore w:val="0"/>
        <w:widowControl w:val="0"/>
        <w:tabs>
          <w:tab w:val="left" w:pos="5580"/>
        </w:tabs>
        <w:kinsoku/>
        <w:wordWrap/>
        <w:overflowPunct/>
        <w:topLinePunct w:val="0"/>
        <w:bidi w:val="0"/>
        <w:spacing w:line="500" w:lineRule="exact"/>
        <w:ind w:firstLine="480" w:firstLineChars="200"/>
        <w:textAlignment w:val="auto"/>
        <w:rPr>
          <w:rFonts w:hAnsi="宋体" w:cs="宋体"/>
          <w:color w:val="auto"/>
          <w:szCs w:val="21"/>
          <w:highlight w:val="none"/>
          <w:u w:val="single"/>
        </w:rPr>
      </w:pPr>
      <w:r>
        <w:rPr>
          <w:rFonts w:hint="eastAsia" w:hAnsi="宋体" w:cs="宋体"/>
          <w:color w:val="auto"/>
          <w:sz w:val="24"/>
          <w:szCs w:val="24"/>
          <w:highlight w:val="none"/>
        </w:rPr>
        <w:t xml:space="preserve">                      法定代表人或其委托代理人：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签字或</w:t>
      </w:r>
      <w:r>
        <w:rPr>
          <w:rFonts w:hint="eastAsia" w:hAnsi="宋体" w:cs="宋体"/>
          <w:color w:val="auto"/>
          <w:sz w:val="24"/>
          <w:szCs w:val="24"/>
          <w:highlight w:val="none"/>
          <w:u w:val="single"/>
        </w:rPr>
        <w:t>盖章）</w:t>
      </w:r>
    </w:p>
    <w:p>
      <w:pPr>
        <w:pStyle w:val="16"/>
        <w:tabs>
          <w:tab w:val="left" w:pos="5580"/>
        </w:tabs>
        <w:spacing w:line="360" w:lineRule="auto"/>
        <w:ind w:firstLine="420" w:firstLineChars="200"/>
        <w:rPr>
          <w:rFonts w:hAnsi="宋体" w:cs="宋体"/>
          <w:color w:val="auto"/>
          <w:szCs w:val="21"/>
          <w:highlight w:val="none"/>
          <w:u w:val="single"/>
        </w:rPr>
      </w:pPr>
    </w:p>
    <w:p>
      <w:pPr>
        <w:pStyle w:val="16"/>
        <w:tabs>
          <w:tab w:val="left" w:pos="5580"/>
        </w:tabs>
        <w:spacing w:line="360" w:lineRule="auto"/>
        <w:ind w:firstLine="3570" w:firstLineChars="1700"/>
        <w:rPr>
          <w:rFonts w:hint="eastAsia" w:hAnsi="宋体" w:cs="宋体"/>
          <w:color w:val="auto"/>
          <w:szCs w:val="21"/>
          <w:highlight w:val="none"/>
        </w:rPr>
      </w:pPr>
      <w:r>
        <w:rPr>
          <w:rFonts w:hint="eastAsia" w:hAnsi="宋体" w:cs="宋体"/>
          <w:color w:val="auto"/>
          <w:szCs w:val="21"/>
          <w:highlight w:val="none"/>
        </w:rPr>
        <w:t>日期：          年      月      日</w:t>
      </w: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ind w:firstLine="3570" w:firstLineChars="1700"/>
        <w:rPr>
          <w:rFonts w:hint="eastAsia" w:hAnsi="宋体" w:cs="宋体"/>
          <w:color w:val="auto"/>
          <w:szCs w:val="21"/>
          <w:highlight w:val="none"/>
        </w:rPr>
      </w:pPr>
    </w:p>
    <w:p>
      <w:pPr>
        <w:pStyle w:val="16"/>
        <w:tabs>
          <w:tab w:val="left" w:pos="5580"/>
        </w:tabs>
        <w:spacing w:line="360" w:lineRule="auto"/>
        <w:rPr>
          <w:rFonts w:hint="eastAsia" w:hAnsi="宋体" w:cs="宋体"/>
          <w:color w:val="auto"/>
          <w:szCs w:val="21"/>
          <w:highlight w:val="none"/>
        </w:rPr>
      </w:pPr>
    </w:p>
    <w:p>
      <w:pPr>
        <w:pStyle w:val="16"/>
        <w:numPr>
          <w:ilvl w:val="0"/>
          <w:numId w:val="8"/>
        </w:numPr>
        <w:spacing w:line="360" w:lineRule="exact"/>
        <w:ind w:firstLine="562" w:firstLineChars="200"/>
        <w:jc w:val="center"/>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谈判报价表</w:t>
      </w:r>
    </w:p>
    <w:p>
      <w:pPr>
        <w:pStyle w:val="16"/>
        <w:numPr>
          <w:ilvl w:val="0"/>
          <w:numId w:val="0"/>
        </w:numPr>
        <w:spacing w:line="360" w:lineRule="exact"/>
        <w:jc w:val="both"/>
        <w:rPr>
          <w:rFonts w:hint="eastAsia" w:ascii="宋体" w:hAnsi="宋体" w:eastAsia="宋体" w:cs="宋体"/>
          <w:b/>
          <w:bCs/>
          <w:color w:val="auto"/>
          <w:kern w:val="44"/>
          <w:sz w:val="28"/>
          <w:szCs w:val="28"/>
          <w:highlight w:val="none"/>
          <w:lang w:val="en-US" w:eastAsia="zh-CN" w:bidi="ar-SA"/>
        </w:rPr>
      </w:pPr>
    </w:p>
    <w:p>
      <w:pPr>
        <w:pStyle w:val="16"/>
        <w:spacing w:line="360" w:lineRule="exact"/>
        <w:ind w:firstLine="3360" w:firstLineChars="1200"/>
        <w:rPr>
          <w:rFonts w:hint="eastAsia" w:ascii="宋体" w:hAnsi="宋体" w:eastAsia="宋体" w:cs="宋体"/>
          <w:color w:val="auto"/>
          <w:highlight w:val="none"/>
          <w:u w:val="singl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轮</w:t>
      </w:r>
      <w:r>
        <w:rPr>
          <w:rFonts w:hint="eastAsia" w:ascii="宋体" w:hAnsi="宋体" w:eastAsia="宋体" w:cs="宋体"/>
          <w:color w:val="auto"/>
          <w:sz w:val="28"/>
          <w:szCs w:val="28"/>
          <w:highlight w:val="none"/>
          <w:lang w:val="en-US" w:eastAsia="zh-CN"/>
        </w:rPr>
        <w:t>谈判</w:t>
      </w:r>
      <w:r>
        <w:rPr>
          <w:rFonts w:hint="eastAsia" w:ascii="宋体" w:hAnsi="宋体" w:eastAsia="宋体" w:cs="宋体"/>
          <w:color w:val="auto"/>
          <w:sz w:val="28"/>
          <w:szCs w:val="28"/>
          <w:highlight w:val="none"/>
        </w:rPr>
        <w:t>报价表</w:t>
      </w:r>
    </w:p>
    <w:p>
      <w:pPr>
        <w:spacing w:line="360" w:lineRule="auto"/>
        <w:rPr>
          <w:rFonts w:ascii="宋体" w:hAnsi="宋体" w:cs="宋体"/>
          <w:color w:val="auto"/>
          <w:sz w:val="24"/>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安庆职业技术学院纪委谈话室建设工程</w:t>
      </w:r>
      <w:r>
        <w:rPr>
          <w:rFonts w:hint="eastAsia" w:ascii="宋体" w:hAnsi="宋体" w:cs="宋体"/>
          <w:color w:val="auto"/>
          <w:szCs w:val="21"/>
          <w:highlight w:val="none"/>
        </w:rPr>
        <w:t xml:space="preserve">  </w:t>
      </w:r>
    </w:p>
    <w:p>
      <w:pPr>
        <w:spacing w:line="360" w:lineRule="auto"/>
        <w:rPr>
          <w:rFonts w:hint="default" w:ascii="宋体" w:hAnsi="宋体" w:cs="宋体"/>
          <w:color w:val="auto"/>
          <w:kern w:val="0"/>
          <w:sz w:val="24"/>
          <w:highlight w:val="none"/>
          <w:lang w:val="en-US"/>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GC-AQ-W2022-</w:t>
      </w:r>
      <w:r>
        <w:rPr>
          <w:rFonts w:hint="eastAsia" w:ascii="宋体" w:hAnsi="宋体" w:cs="宋体"/>
          <w:color w:val="auto"/>
          <w:szCs w:val="21"/>
          <w:highlight w:val="none"/>
          <w:lang w:val="en-US" w:eastAsia="zh-CN"/>
        </w:rPr>
        <w:t>028</w:t>
      </w:r>
    </w:p>
    <w:p>
      <w:pPr>
        <w:spacing w:line="360" w:lineRule="auto"/>
        <w:ind w:firstLine="6720" w:firstLineChars="3200"/>
        <w:rPr>
          <w:rFonts w:ascii="宋体" w:hAnsi="宋体" w:cs="宋体"/>
          <w:color w:val="auto"/>
          <w:highlight w:val="none"/>
        </w:rPr>
      </w:pPr>
      <w:r>
        <w:rPr>
          <w:rFonts w:hint="eastAsia" w:ascii="宋体" w:hAnsi="宋体" w:cs="宋体"/>
          <w:color w:val="auto"/>
          <w:highlight w:val="none"/>
        </w:rPr>
        <w:t>金额单位：人民币（元）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最终报价</w:t>
            </w:r>
          </w:p>
        </w:tc>
        <w:tc>
          <w:tcPr>
            <w:tcW w:w="7507" w:type="dxa"/>
            <w:vAlign w:val="center"/>
          </w:tcPr>
          <w:p>
            <w:pPr>
              <w:wordWrap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color w:val="auto"/>
                <w:sz w:val="24"/>
                <w:highlight w:val="none"/>
              </w:rPr>
            </w:pPr>
          </w:p>
        </w:tc>
        <w:tc>
          <w:tcPr>
            <w:tcW w:w="7507" w:type="dxa"/>
            <w:vAlign w:val="center"/>
          </w:tcPr>
          <w:p>
            <w:pPr>
              <w:wordWrap w:val="0"/>
              <w:rPr>
                <w:rFonts w:ascii="宋体" w:hAnsi="宋体" w:cs="宋体"/>
                <w:color w:val="auto"/>
                <w:sz w:val="24"/>
                <w:highlight w:val="none"/>
              </w:rPr>
            </w:pPr>
            <w:r>
              <w:rPr>
                <w:rFonts w:hint="eastAsia" w:ascii="宋体" w:hAnsi="宋体" w:cs="宋体"/>
                <w:color w:val="auto"/>
                <w:sz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exact"/>
          <w:jc w:val="center"/>
        </w:trPr>
        <w:tc>
          <w:tcPr>
            <w:tcW w:w="9286" w:type="dxa"/>
            <w:gridSpan w:val="2"/>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备注：</w:t>
            </w:r>
          </w:p>
          <w:p>
            <w:pPr>
              <w:spacing w:line="400" w:lineRule="exact"/>
              <w:rPr>
                <w:rFonts w:ascii="宋体" w:hAnsi="宋体" w:cs="宋体"/>
                <w:color w:val="auto"/>
                <w:sz w:val="24"/>
                <w:highlight w:val="none"/>
              </w:rPr>
            </w:pPr>
            <w:r>
              <w:rPr>
                <w:rFonts w:hint="eastAsia" w:ascii="宋体" w:hAnsi="宋体" w:cs="宋体"/>
                <w:color w:val="auto"/>
                <w:sz w:val="24"/>
                <w:highlight w:val="none"/>
              </w:rPr>
              <w:t>1、分项报价按总报价的同等比例下浮</w:t>
            </w:r>
            <w:r>
              <w:rPr>
                <w:rFonts w:hint="eastAsia" w:ascii="宋体" w:hAnsi="宋体" w:cs="宋体"/>
                <w:color w:val="auto"/>
                <w:sz w:val="24"/>
                <w:highlight w:val="none"/>
                <w:lang w:eastAsia="zh-CN"/>
              </w:rPr>
              <w:t>，</w:t>
            </w:r>
            <w:r>
              <w:rPr>
                <w:rFonts w:hint="eastAsia" w:ascii="宋体" w:hAnsi="宋体" w:cs="宋体"/>
                <w:color w:val="auto"/>
                <w:sz w:val="24"/>
                <w:highlight w:val="none"/>
              </w:rPr>
              <w:t>下浮率=[1-（</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人的</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价-暂列金额-暂估价）/（最高投标限价-暂列金额-暂估价）]×100%；</w:t>
            </w:r>
          </w:p>
          <w:p>
            <w:pPr>
              <w:spacing w:line="400" w:lineRule="exact"/>
              <w:rPr>
                <w:rFonts w:ascii="宋体" w:hAnsi="宋体" w:cs="宋体"/>
                <w:color w:val="auto"/>
                <w:sz w:val="24"/>
                <w:highlight w:val="none"/>
              </w:rPr>
            </w:pPr>
            <w:r>
              <w:rPr>
                <w:rFonts w:hint="eastAsia" w:ascii="宋体" w:hAnsi="宋体" w:cs="宋体"/>
                <w:color w:val="auto"/>
                <w:sz w:val="24"/>
                <w:highlight w:val="none"/>
              </w:rPr>
              <w:t>2、最终报价保留两位小数，小数点后第三位四舍五入。</w:t>
            </w:r>
          </w:p>
        </w:tc>
      </w:tr>
    </w:tbl>
    <w:p>
      <w:pPr>
        <w:spacing w:line="360" w:lineRule="auto"/>
        <w:rPr>
          <w:rFonts w:ascii="宋体" w:hAnsi="宋体" w:cs="宋体"/>
          <w:b/>
          <w:color w:val="auto"/>
          <w:sz w:val="24"/>
          <w:highlight w:val="none"/>
        </w:rPr>
      </w:pP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注：此表请各谈判响应人准备好，以便在谈判最终报价时使用。</w:t>
      </w:r>
      <w:r>
        <w:rPr>
          <w:rFonts w:hint="eastAsia" w:ascii="宋体" w:hAnsi="宋体" w:cs="宋体"/>
          <w:b/>
          <w:color w:val="000000"/>
          <w:sz w:val="24"/>
          <w:highlight w:val="none"/>
          <w:lang w:eastAsia="zh-CN"/>
        </w:rPr>
        <w:t>【</w:t>
      </w:r>
      <w:r>
        <w:rPr>
          <w:rFonts w:hint="eastAsia" w:ascii="宋体" w:hAnsi="宋体" w:cs="宋体"/>
          <w:b/>
          <w:color w:val="000000"/>
          <w:sz w:val="24"/>
          <w:highlight w:val="none"/>
        </w:rPr>
        <w:t>此表由谈判响应人谈判时，谈判响应人将最终报价表制作完成并加盖谈判响应人公章（PDF等不可编辑的电子文件）后应对最终报价表进行文档加密，谈判响应人将加密文件电子档发至</w:t>
      </w:r>
      <w:r>
        <w:rPr>
          <w:rFonts w:hint="eastAsia" w:ascii="宋体" w:hAnsi="宋体" w:cs="宋体"/>
          <w:b/>
          <w:color w:val="000000"/>
          <w:sz w:val="24"/>
          <w:highlight w:val="none"/>
          <w:lang w:val="en-US" w:eastAsia="zh-CN"/>
        </w:rPr>
        <w:t>1661851263</w:t>
      </w:r>
      <w:r>
        <w:rPr>
          <w:rFonts w:hint="eastAsia" w:ascii="宋体" w:hAnsi="宋体" w:cs="宋体"/>
          <w:b/>
          <w:color w:val="000000"/>
          <w:sz w:val="24"/>
          <w:highlight w:val="none"/>
        </w:rPr>
        <w:t>@qq.com邮箱。</w:t>
      </w:r>
      <w:r>
        <w:rPr>
          <w:rFonts w:hint="eastAsia" w:ascii="宋体" w:hAnsi="宋体" w:cs="宋体"/>
          <w:b/>
          <w:color w:val="000000"/>
          <w:sz w:val="24"/>
          <w:highlight w:val="none"/>
          <w:lang w:eastAsia="zh-CN"/>
        </w:rPr>
        <w:t>】</w:t>
      </w:r>
    </w:p>
    <w:p>
      <w:pPr>
        <w:spacing w:line="360" w:lineRule="auto"/>
        <w:ind w:firstLine="3465" w:firstLineChars="1650"/>
        <w:rPr>
          <w:rFonts w:ascii="宋体" w:hAnsi="宋体" w:cs="宋体"/>
          <w:color w:val="auto"/>
          <w:szCs w:val="21"/>
          <w:highlight w:val="none"/>
        </w:rPr>
      </w:pPr>
    </w:p>
    <w:p>
      <w:pPr>
        <w:spacing w:line="360" w:lineRule="auto"/>
        <w:ind w:firstLine="3465" w:firstLineChars="1650"/>
        <w:rPr>
          <w:rFonts w:ascii="宋体" w:hAnsi="宋体" w:cs="宋体"/>
          <w:color w:val="auto"/>
          <w:szCs w:val="21"/>
          <w:highlight w:val="none"/>
        </w:rPr>
      </w:pPr>
      <w:r>
        <w:rPr>
          <w:rFonts w:hint="eastAsia" w:ascii="宋体" w:hAnsi="宋体" w:cs="宋体"/>
          <w:color w:val="auto"/>
          <w:szCs w:val="21"/>
          <w:highlight w:val="none"/>
        </w:rPr>
        <w:t>谈判响应人：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3561" w:firstLineChars="1696"/>
        <w:rPr>
          <w:rFonts w:ascii="宋体" w:hAnsi="宋体" w:cs="宋体"/>
          <w:color w:val="auto"/>
          <w:szCs w:val="21"/>
          <w:highlight w:val="none"/>
        </w:rPr>
      </w:pPr>
    </w:p>
    <w:p>
      <w:pPr>
        <w:spacing w:line="360" w:lineRule="auto"/>
        <w:ind w:firstLine="3465" w:firstLineChars="1650"/>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ind w:firstLine="3570" w:firstLineChars="1700"/>
        <w:rPr>
          <w:rFonts w:ascii="宋体" w:hAnsi="宋体" w:cs="宋体"/>
          <w:color w:val="auto"/>
          <w:szCs w:val="21"/>
          <w:highlight w:val="none"/>
        </w:rPr>
      </w:pPr>
    </w:p>
    <w:p>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34"/>
      </w:pPr>
    </w:p>
    <w:p>
      <w:pPr>
        <w:widowControl/>
        <w:jc w:val="left"/>
        <w:rPr>
          <w:rFonts w:ascii="宋体" w:hAnsi="宋体" w:cs="宋体"/>
          <w:color w:val="auto"/>
          <w:szCs w:val="21"/>
          <w:highlight w:val="none"/>
        </w:rPr>
      </w:pPr>
    </w:p>
    <w:p>
      <w:pPr>
        <w:pStyle w:val="7"/>
        <w:jc w:val="center"/>
        <w:rPr>
          <w:rFonts w:hAnsi="宋体" w:cs="宋体"/>
          <w:color w:val="auto"/>
          <w:highlight w:val="none"/>
        </w:rPr>
      </w:pPr>
      <w:bookmarkStart w:id="190" w:name="_Toc25547"/>
      <w:bookmarkStart w:id="191" w:name="_Toc55202326"/>
      <w:r>
        <w:rPr>
          <w:rFonts w:hint="eastAsia" w:hAnsi="宋体" w:cs="宋体"/>
          <w:color w:val="auto"/>
          <w:highlight w:val="none"/>
          <w:lang w:val="en-US" w:eastAsia="zh-CN"/>
        </w:rPr>
        <w:t>三</w:t>
      </w:r>
      <w:r>
        <w:rPr>
          <w:rFonts w:hint="eastAsia" w:hAnsi="宋体" w:cs="宋体"/>
          <w:color w:val="auto"/>
          <w:highlight w:val="none"/>
        </w:rPr>
        <w:t>、诚信谈判响应承诺书</w:t>
      </w:r>
      <w:bookmarkEnd w:id="190"/>
      <w:bookmarkEnd w:id="191"/>
    </w:p>
    <w:p>
      <w:pPr>
        <w:rPr>
          <w:rFonts w:ascii="宋体" w:hAnsi="宋体" w:cs="宋体"/>
          <w:b/>
          <w:bCs/>
          <w:color w:val="auto"/>
          <w:sz w:val="24"/>
          <w:highlight w:val="none"/>
        </w:rPr>
      </w:pP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本人以企业法定代表人的身份郑重承诺：</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一、将遵循公开、公正和诚实信用的原则自愿参加</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项目的竞争性谈判活动；</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二、所提供的一切材料都是真实、有效、合法的；  </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六、严格遵守开标现场纪律，服从监管人员管理；  </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七、保证成交后不转包，若有合法分包征得采购人同意；</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八、保证成交之后，按照谈判响应文件承诺提供货物、服务及派驻人员；</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九、保证企业及所属相关人员在本次谈判响应中无行贿等犯罪行为；</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十、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auto"/>
          <w:szCs w:val="21"/>
          <w:highlight w:val="none"/>
        </w:rPr>
      </w:pPr>
      <w:r>
        <w:rPr>
          <w:rFonts w:hint="eastAsia" w:ascii="宋体" w:hAnsi="宋体" w:cs="宋体"/>
          <w:b/>
          <w:bCs/>
          <w:color w:val="auto"/>
          <w:szCs w:val="21"/>
          <w:highlight w:val="none"/>
        </w:rPr>
        <w:t xml:space="preserve">  </w:t>
      </w:r>
    </w:p>
    <w:p>
      <w:pPr>
        <w:rPr>
          <w:rFonts w:ascii="宋体" w:hAnsi="宋体" w:cs="宋体"/>
          <w:b/>
          <w:bCs/>
          <w:color w:val="auto"/>
          <w:szCs w:val="21"/>
          <w:highlight w:val="none"/>
        </w:rPr>
      </w:pPr>
    </w:p>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谈判响应单位（盖章）：</w:t>
      </w:r>
    </w:p>
    <w:p>
      <w:pPr>
        <w:jc w:val="right"/>
        <w:rPr>
          <w:rFonts w:ascii="宋体" w:hAnsi="宋体" w:cs="宋体"/>
          <w:b/>
          <w:bCs/>
          <w:color w:val="auto"/>
          <w:szCs w:val="21"/>
          <w:highlight w:val="none"/>
        </w:rPr>
      </w:pPr>
    </w:p>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法定代表人（</w:t>
      </w:r>
      <w:r>
        <w:rPr>
          <w:rFonts w:hint="eastAsia" w:ascii="宋体" w:hAnsi="宋体" w:cs="宋体"/>
          <w:b/>
          <w:bCs/>
          <w:color w:val="auto"/>
          <w:szCs w:val="21"/>
          <w:highlight w:val="none"/>
          <w:lang w:val="en-US" w:eastAsia="zh-CN"/>
        </w:rPr>
        <w:t>签字或</w:t>
      </w:r>
      <w:r>
        <w:rPr>
          <w:rFonts w:hint="eastAsia" w:ascii="宋体" w:hAnsi="宋体" w:cs="宋体"/>
          <w:b/>
          <w:bCs/>
          <w:color w:val="auto"/>
          <w:szCs w:val="21"/>
          <w:highlight w:val="none"/>
        </w:rPr>
        <w:t>盖章）：</w:t>
      </w:r>
    </w:p>
    <w:p>
      <w:pPr>
        <w:jc w:val="right"/>
        <w:rPr>
          <w:rFonts w:ascii="宋体" w:hAnsi="宋体" w:cs="宋体"/>
          <w:b/>
          <w:bCs/>
          <w:color w:val="auto"/>
          <w:szCs w:val="21"/>
          <w:highlight w:val="none"/>
        </w:rPr>
      </w:pPr>
    </w:p>
    <w:p>
      <w:pPr>
        <w:ind w:right="480"/>
        <w:jc w:val="center"/>
        <w:rPr>
          <w:rFonts w:hint="eastAsia" w:ascii="宋体" w:hAnsi="宋体" w:cs="宋体"/>
          <w:b/>
          <w:bCs/>
          <w:color w:val="auto"/>
          <w:szCs w:val="21"/>
          <w:highlight w:val="none"/>
        </w:rPr>
      </w:pPr>
      <w:r>
        <w:rPr>
          <w:rFonts w:hint="eastAsia" w:ascii="宋体" w:hAnsi="宋体" w:cs="宋体"/>
          <w:b/>
          <w:bCs/>
          <w:color w:val="auto"/>
          <w:szCs w:val="21"/>
          <w:highlight w:val="none"/>
        </w:rPr>
        <w:t xml:space="preserve">                                               日期：_____年____月____日</w:t>
      </w:r>
      <w:bookmarkStart w:id="192" w:name="_Toc22272"/>
    </w:p>
    <w:p>
      <w:pPr>
        <w:pStyle w:val="2"/>
        <w:rPr>
          <w:rFonts w:hint="eastAsia" w:ascii="宋体" w:hAnsi="宋体" w:cs="宋体"/>
          <w:b/>
          <w:bCs/>
          <w:color w:val="auto"/>
          <w:szCs w:val="21"/>
          <w:highlight w:val="none"/>
        </w:rPr>
      </w:pPr>
    </w:p>
    <w:p>
      <w:pPr>
        <w:pStyle w:val="2"/>
        <w:rPr>
          <w:rFonts w:hint="eastAsia" w:ascii="宋体" w:hAnsi="宋体" w:cs="宋体"/>
          <w:b/>
          <w:bCs/>
          <w:color w:val="auto"/>
          <w:szCs w:val="21"/>
          <w:highlight w:val="none"/>
        </w:rPr>
      </w:pPr>
    </w:p>
    <w:p>
      <w:pPr>
        <w:pStyle w:val="2"/>
        <w:rPr>
          <w:rFonts w:hint="eastAsia" w:ascii="宋体" w:hAnsi="宋体" w:cs="宋体"/>
          <w:b/>
          <w:bCs/>
          <w:color w:val="auto"/>
          <w:szCs w:val="21"/>
          <w:highlight w:val="none"/>
        </w:rPr>
      </w:pPr>
    </w:p>
    <w:p>
      <w:pPr>
        <w:pStyle w:val="2"/>
        <w:rPr>
          <w:rFonts w:hint="eastAsia" w:ascii="宋体" w:hAnsi="宋体" w:cs="宋体"/>
          <w:b/>
          <w:bCs/>
          <w:color w:val="auto"/>
          <w:szCs w:val="21"/>
          <w:highlight w:val="none"/>
        </w:rPr>
      </w:pPr>
    </w:p>
    <w:p>
      <w:pPr>
        <w:pStyle w:val="7"/>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四、项目经理承诺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致：______________(</w:t>
      </w:r>
      <w:r>
        <w:rPr>
          <w:rFonts w:hint="eastAsia" w:ascii="宋体" w:hAnsi="宋体" w:cs="宋体"/>
          <w:color w:val="auto"/>
          <w:kern w:val="0"/>
          <w:sz w:val="21"/>
          <w:szCs w:val="21"/>
          <w:highlight w:val="none"/>
          <w:lang w:val="en-US" w:eastAsia="zh-CN" w:bidi="ar"/>
        </w:rPr>
        <w:t>采购</w:t>
      </w:r>
      <w:r>
        <w:rPr>
          <w:rFonts w:hint="eastAsia" w:ascii="宋体" w:hAnsi="宋体" w:eastAsia="宋体" w:cs="宋体"/>
          <w:color w:val="auto"/>
          <w:kern w:val="0"/>
          <w:sz w:val="21"/>
          <w:szCs w:val="21"/>
          <w:highlight w:val="none"/>
          <w:lang w:val="en-US" w:eastAsia="zh-CN" w:bidi="ar"/>
        </w:rPr>
        <w:t xml:space="preserve">人名称)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本人作为拟委任的项目经理，现郑重承诺如下：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一、</w:t>
      </w:r>
      <w:r>
        <w:rPr>
          <w:rFonts w:hint="eastAsia" w:ascii="宋体" w:hAnsi="宋体" w:cs="宋体"/>
          <w:color w:val="auto"/>
          <w:kern w:val="0"/>
          <w:sz w:val="21"/>
          <w:szCs w:val="21"/>
          <w:highlight w:val="none"/>
          <w:lang w:val="en-US" w:eastAsia="zh-CN" w:bidi="ar"/>
        </w:rPr>
        <w:t>谈判响应</w:t>
      </w:r>
      <w:r>
        <w:rPr>
          <w:rFonts w:hint="eastAsia" w:ascii="宋体" w:hAnsi="宋体" w:eastAsia="宋体" w:cs="宋体"/>
          <w:color w:val="auto"/>
          <w:kern w:val="0"/>
          <w:sz w:val="21"/>
          <w:szCs w:val="21"/>
          <w:highlight w:val="none"/>
          <w:lang w:val="en-US" w:eastAsia="zh-CN" w:bidi="ar"/>
        </w:rPr>
        <w:t xml:space="preserve">文件中提供的项目经理业绩已经本人核实，工程实施过程中项目经理确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为本人，真实无误，不存在虚假和挂靠现象，也不存在为投标而造假的行为。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sz w:val="28"/>
          <w:szCs w:val="28"/>
          <w:lang w:val="en-US" w:eastAsia="zh-CN"/>
        </w:rPr>
      </w:pPr>
      <w:r>
        <w:rPr>
          <w:rFonts w:hint="eastAsia" w:ascii="宋体" w:hAnsi="宋体" w:eastAsia="宋体" w:cs="宋体"/>
          <w:color w:val="auto"/>
          <w:kern w:val="0"/>
          <w:sz w:val="21"/>
          <w:szCs w:val="21"/>
          <w:highlight w:val="none"/>
          <w:lang w:val="en-US" w:eastAsia="zh-CN" w:bidi="ar"/>
        </w:rPr>
        <w:t>二、谈判响应截止日未在其他项目担任项目经理，或虽在其他项目上担任项目经理岗位，但承诺在本项目成交后合同签订前能够从其他项目变更至本项目并全面履约</w:t>
      </w:r>
      <w:r>
        <w:rPr>
          <w:rFonts w:hint="eastAsia" w:ascii="仿宋" w:hAnsi="仿宋" w:eastAsia="仿宋"/>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三、以上承诺如果发现虚假现象，本人愿意承担相应法律责任，并随时无条件配合贵方调查取证。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050" w:firstLineChars="500"/>
        <w:jc w:val="left"/>
        <w:textAlignment w:val="auto"/>
        <w:rPr>
          <w:rFonts w:hint="eastAsia" w:ascii="宋体" w:hAnsi="宋体" w:eastAsia="宋体" w:cs="宋体"/>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1050" w:firstLineChars="500"/>
        <w:jc w:val="righ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项目经理：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（签字）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身份证号：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050" w:firstLineChars="500"/>
        <w:jc w:val="center"/>
        <w:textAlignment w:val="auto"/>
        <w:rPr>
          <w:rFonts w:hint="default" w:ascii="宋体" w:hAnsi="宋体" w:eastAsia="宋体" w:cs="宋体"/>
          <w:color w:val="auto"/>
          <w:kern w:val="0"/>
          <w:sz w:val="21"/>
          <w:szCs w:val="21"/>
          <w:highlight w:val="none"/>
          <w:u w:val="single"/>
          <w:lang w:val="en-US" w:eastAsia="zh-CN" w:bidi="ar"/>
        </w:rPr>
      </w:pPr>
      <w:r>
        <w:rPr>
          <w:rFonts w:hint="eastAsia" w:ascii="Times New Roman" w:hAnsi="Times New Roman" w:eastAsia="宋体" w:cs="Times New Roman"/>
          <w:b w:val="0"/>
          <w:bCs w:val="0"/>
          <w:color w:val="auto"/>
          <w:kern w:val="2"/>
          <w:sz w:val="21"/>
          <w:szCs w:val="21"/>
          <w:highlight w:val="none"/>
          <w:lang w:val="en-US" w:eastAsia="zh-CN" w:bidi="ar-SA"/>
        </w:rPr>
        <w:t xml:space="preserve">                           </w:t>
      </w:r>
      <w:r>
        <w:rPr>
          <w:rFonts w:hint="eastAsia" w:cs="Times New Roman"/>
          <w:b w:val="0"/>
          <w:bCs w:val="0"/>
          <w:color w:val="auto"/>
          <w:kern w:val="2"/>
          <w:sz w:val="21"/>
          <w:szCs w:val="21"/>
          <w:highlight w:val="none"/>
          <w:lang w:val="en-US" w:eastAsia="zh-CN" w:bidi="ar-SA"/>
        </w:rPr>
        <w:t xml:space="preserve">            响应</w:t>
      </w:r>
      <w:r>
        <w:rPr>
          <w:rFonts w:hint="eastAsia" w:ascii="Times New Roman" w:hAnsi="Times New Roman" w:eastAsia="宋体" w:cs="Times New Roman"/>
          <w:b w:val="0"/>
          <w:bCs w:val="0"/>
          <w:color w:val="auto"/>
          <w:kern w:val="2"/>
          <w:sz w:val="21"/>
          <w:szCs w:val="21"/>
          <w:highlight w:val="none"/>
          <w:lang w:val="en-US" w:eastAsia="zh-CN" w:bidi="ar-SA"/>
        </w:rPr>
        <w:t xml:space="preserve">人： </w:t>
      </w:r>
      <w:r>
        <w:rPr>
          <w:rFonts w:hint="eastAsia" w:ascii="宋体" w:hAnsi="宋体" w:eastAsia="宋体" w:cs="宋体"/>
          <w:color w:val="auto"/>
          <w:kern w:val="0"/>
          <w:sz w:val="21"/>
          <w:szCs w:val="21"/>
          <w:highlight w:val="none"/>
          <w:u w:val="single"/>
          <w:lang w:val="en-US" w:eastAsia="zh-CN" w:bidi="ar"/>
        </w:rPr>
        <w:t xml:space="preserve">                 </w:t>
      </w:r>
      <w:r>
        <w:rPr>
          <w:rFonts w:hint="eastAsia" w:ascii="Times New Roman" w:hAnsi="Times New Roman" w:eastAsia="宋体" w:cs="Times New Roman"/>
          <w:b w:val="0"/>
          <w:bCs w:val="0"/>
          <w:color w:val="auto"/>
          <w:kern w:val="2"/>
          <w:sz w:val="21"/>
          <w:szCs w:val="21"/>
          <w:highlight w:val="none"/>
          <w:lang w:val="en-US" w:eastAsia="zh-CN" w:bidi="ar-SA"/>
        </w:rPr>
        <w:t>（盖公章）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050" w:firstLineChars="500"/>
        <w:jc w:val="righ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日期：_____年____月____日 </w:t>
      </w:r>
    </w:p>
    <w:p>
      <w:pPr>
        <w:pStyle w:val="2"/>
        <w:numPr>
          <w:ilvl w:val="0"/>
          <w:numId w:val="0"/>
        </w:numPr>
        <w:ind w:leftChars="200"/>
        <w:rPr>
          <w:rFonts w:hint="default" w:ascii="宋体" w:hAnsi="宋体" w:cs="宋体"/>
          <w:b/>
          <w:bCs/>
          <w:color w:val="auto"/>
          <w:szCs w:val="21"/>
          <w:highlight w:val="none"/>
          <w:lang w:val="en-US" w:eastAsia="zh-CN"/>
        </w:rPr>
      </w:pPr>
    </w:p>
    <w:p>
      <w:pPr>
        <w:ind w:right="480"/>
        <w:jc w:val="center"/>
        <w:rPr>
          <w:rFonts w:ascii="宋体" w:hAnsi="宋体" w:cs="宋体"/>
          <w:b/>
          <w:bCs/>
          <w:color w:val="auto"/>
          <w:sz w:val="24"/>
          <w:highlight w:val="none"/>
        </w:rPr>
      </w:pPr>
    </w:p>
    <w:p>
      <w:pPr>
        <w:ind w:right="480"/>
        <w:jc w:val="center"/>
        <w:rPr>
          <w:rFonts w:ascii="宋体" w:hAnsi="宋体" w:cs="宋体"/>
          <w:b/>
          <w:bCs/>
          <w:color w:val="auto"/>
          <w:sz w:val="24"/>
          <w:highlight w:val="none"/>
        </w:rPr>
      </w:pPr>
    </w:p>
    <w:p>
      <w:pPr>
        <w:pStyle w:val="12"/>
        <w:rPr>
          <w:rFonts w:ascii="宋体" w:hAnsi="宋体" w:cs="宋体"/>
          <w:b/>
          <w:bCs/>
          <w:color w:val="auto"/>
          <w:sz w:val="24"/>
          <w:highlight w:val="none"/>
        </w:rPr>
      </w:pPr>
    </w:p>
    <w:p>
      <w:pPr>
        <w:pStyle w:val="13"/>
        <w:rPr>
          <w:rFonts w:ascii="宋体" w:hAnsi="宋体" w:cs="宋体"/>
          <w:b/>
          <w:bCs/>
          <w:color w:val="auto"/>
          <w:sz w:val="24"/>
          <w:highlight w:val="none"/>
        </w:rPr>
      </w:pPr>
    </w:p>
    <w:p>
      <w:pPr>
        <w:pStyle w:val="13"/>
        <w:rPr>
          <w:rFonts w:ascii="宋体" w:hAnsi="宋体" w:cs="宋体"/>
          <w:b/>
          <w:bCs/>
          <w:color w:val="auto"/>
          <w:sz w:val="24"/>
          <w:highlight w:val="none"/>
        </w:rPr>
      </w:pPr>
    </w:p>
    <w:p>
      <w:pPr>
        <w:pStyle w:val="13"/>
        <w:rPr>
          <w:rFonts w:ascii="宋体" w:hAnsi="宋体" w:cs="宋体"/>
          <w:b/>
          <w:bCs/>
          <w:color w:val="auto"/>
          <w:sz w:val="24"/>
          <w:highlight w:val="none"/>
        </w:rPr>
      </w:pPr>
    </w:p>
    <w:p>
      <w:pPr>
        <w:pStyle w:val="13"/>
        <w:rPr>
          <w:rFonts w:ascii="宋体" w:hAnsi="宋体" w:cs="宋体"/>
          <w:b/>
          <w:bCs/>
          <w:color w:val="auto"/>
          <w:sz w:val="24"/>
          <w:highlight w:val="none"/>
        </w:rPr>
      </w:pPr>
    </w:p>
    <w:p>
      <w:pPr>
        <w:pStyle w:val="13"/>
        <w:rPr>
          <w:rFonts w:ascii="宋体" w:hAnsi="宋体" w:cs="宋体"/>
          <w:b/>
          <w:bCs/>
          <w:color w:val="auto"/>
          <w:sz w:val="24"/>
          <w:highlight w:val="none"/>
        </w:rPr>
      </w:pPr>
    </w:p>
    <w:p>
      <w:pPr>
        <w:pStyle w:val="13"/>
        <w:rPr>
          <w:rFonts w:ascii="宋体" w:hAnsi="宋体" w:cs="宋体"/>
          <w:b/>
          <w:bCs/>
          <w:color w:val="auto"/>
          <w:sz w:val="24"/>
          <w:highlight w:val="none"/>
        </w:rPr>
      </w:pPr>
    </w:p>
    <w:p>
      <w:pPr>
        <w:pStyle w:val="13"/>
        <w:rPr>
          <w:rFonts w:ascii="宋体" w:hAnsi="宋体" w:cs="宋体"/>
          <w:b/>
          <w:bCs/>
          <w:color w:val="auto"/>
          <w:sz w:val="24"/>
          <w:highlight w:val="none"/>
        </w:rPr>
      </w:pPr>
    </w:p>
    <w:p>
      <w:pPr>
        <w:pStyle w:val="13"/>
        <w:rPr>
          <w:rFonts w:ascii="宋体" w:hAnsi="宋体" w:cs="宋体"/>
          <w:b/>
          <w:bCs/>
          <w:color w:val="auto"/>
          <w:sz w:val="24"/>
          <w:highlight w:val="none"/>
        </w:rPr>
      </w:pPr>
    </w:p>
    <w:p>
      <w:pPr>
        <w:pStyle w:val="13"/>
        <w:rPr>
          <w:rFonts w:ascii="宋体" w:hAnsi="宋体" w:cs="宋体"/>
          <w:b/>
          <w:bCs/>
          <w:color w:val="auto"/>
          <w:sz w:val="24"/>
          <w:highlight w:val="none"/>
        </w:rPr>
      </w:pPr>
    </w:p>
    <w:p>
      <w:pPr>
        <w:pStyle w:val="13"/>
        <w:rPr>
          <w:rFonts w:ascii="宋体" w:hAnsi="宋体" w:cs="宋体"/>
          <w:b/>
          <w:bCs/>
          <w:color w:val="auto"/>
          <w:sz w:val="24"/>
          <w:highlight w:val="none"/>
        </w:rPr>
      </w:pPr>
    </w:p>
    <w:p>
      <w:pPr>
        <w:pStyle w:val="13"/>
        <w:rPr>
          <w:rFonts w:ascii="宋体" w:hAnsi="宋体" w:cs="宋体"/>
          <w:b/>
          <w:bCs/>
          <w:color w:val="auto"/>
          <w:sz w:val="24"/>
          <w:highlight w:val="none"/>
        </w:rPr>
      </w:pPr>
    </w:p>
    <w:p>
      <w:pPr>
        <w:pStyle w:val="7"/>
        <w:jc w:val="both"/>
        <w:rPr>
          <w:rFonts w:hint="eastAsia" w:hAnsi="宋体" w:cs="宋体"/>
          <w:color w:val="auto"/>
          <w:highlight w:val="none"/>
        </w:rPr>
      </w:pPr>
      <w:bookmarkStart w:id="193" w:name="_Toc55202329"/>
    </w:p>
    <w:p>
      <w:pPr>
        <w:rPr>
          <w:rFonts w:hint="eastAsia"/>
          <w:color w:val="auto"/>
          <w:highlight w:val="none"/>
        </w:rPr>
      </w:pPr>
    </w:p>
    <w:p>
      <w:pPr>
        <w:pStyle w:val="7"/>
        <w:jc w:val="center"/>
        <w:rPr>
          <w:rFonts w:hAnsi="宋体" w:cs="宋体"/>
          <w:color w:val="auto"/>
          <w:highlight w:val="none"/>
          <w:bdr w:val="single" w:color="auto" w:sz="4" w:space="0"/>
        </w:rPr>
      </w:pPr>
      <w:r>
        <w:rPr>
          <w:rFonts w:hint="eastAsia" w:hAnsi="宋体" w:cs="宋体"/>
          <w:color w:val="auto"/>
          <w:highlight w:val="none"/>
          <w:lang w:val="en-US" w:eastAsia="zh-CN"/>
        </w:rPr>
        <w:t>五</w:t>
      </w:r>
      <w:r>
        <w:rPr>
          <w:rFonts w:hint="eastAsia" w:hAnsi="宋体" w:cs="宋体"/>
          <w:color w:val="auto"/>
          <w:highlight w:val="none"/>
        </w:rPr>
        <w:t>、资格证明文件</w:t>
      </w:r>
      <w:bookmarkEnd w:id="192"/>
      <w:bookmarkEnd w:id="193"/>
    </w:p>
    <w:p>
      <w:pPr>
        <w:spacing w:line="360" w:lineRule="auto"/>
        <w:ind w:firstLine="420" w:firstLineChars="200"/>
        <w:rPr>
          <w:rFonts w:ascii="宋体"/>
          <w:szCs w:val="21"/>
          <w:highlight w:val="none"/>
        </w:rPr>
      </w:pPr>
      <w:r>
        <w:rPr>
          <w:rFonts w:ascii="宋体" w:hAnsi="宋体" w:cs="宋体"/>
          <w:szCs w:val="21"/>
          <w:highlight w:val="none"/>
        </w:rPr>
        <w:t>1</w:t>
      </w:r>
      <w:r>
        <w:rPr>
          <w:rFonts w:hint="eastAsia" w:ascii="宋体" w:hAnsi="宋体" w:cs="宋体"/>
          <w:szCs w:val="21"/>
          <w:highlight w:val="none"/>
        </w:rPr>
        <w:t>、</w:t>
      </w:r>
      <w:r>
        <w:rPr>
          <w:rFonts w:hint="eastAsia" w:ascii="宋体" w:hAnsi="宋体"/>
          <w:szCs w:val="21"/>
          <w:highlight w:val="none"/>
        </w:rPr>
        <w:t>营业执照副本复印件；</w:t>
      </w:r>
    </w:p>
    <w:p>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、税务登记证副本复印件；（如为三证合一的，只需提供三证合一的营业执照复印件）</w:t>
      </w:r>
    </w:p>
    <w:p>
      <w:pPr>
        <w:spacing w:line="360" w:lineRule="auto"/>
        <w:ind w:firstLine="420" w:firstLineChars="200"/>
        <w:rPr>
          <w:rFonts w:ascii="宋体" w:hAnsi="宋体" w:cs="宋体"/>
          <w:color w:val="000000"/>
          <w:szCs w:val="21"/>
          <w:highlight w:val="none"/>
        </w:rPr>
      </w:pPr>
      <w:r>
        <w:rPr>
          <w:rFonts w:hint="eastAsia" w:ascii="宋体" w:hAnsi="宋体"/>
          <w:szCs w:val="21"/>
          <w:highlight w:val="none"/>
        </w:rPr>
        <w:t xml:space="preserve">若供应商为事业单位性质或社会团体性质，则须提供事业单位法人证书或社会团体法人登记证书，无需提供税务登记证。  </w:t>
      </w:r>
    </w:p>
    <w:p>
      <w:pPr>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供应商声明函：</w:t>
      </w:r>
    </w:p>
    <w:p>
      <w:pPr>
        <w:spacing w:line="360" w:lineRule="auto"/>
        <w:ind w:left="422"/>
        <w:jc w:val="center"/>
        <w:rPr>
          <w:rFonts w:ascii="宋体" w:hAnsi="宋体"/>
          <w:b/>
          <w:bCs/>
          <w:szCs w:val="21"/>
          <w:highlight w:val="none"/>
        </w:rPr>
      </w:pPr>
      <w:r>
        <w:rPr>
          <w:rFonts w:hint="eastAsia" w:ascii="宋体" w:hAnsi="宋体"/>
          <w:b/>
          <w:bCs/>
          <w:szCs w:val="21"/>
          <w:highlight w:val="none"/>
        </w:rPr>
        <w:t>供应商声明函</w:t>
      </w:r>
    </w:p>
    <w:p>
      <w:pPr>
        <w:spacing w:line="360" w:lineRule="auto"/>
        <w:ind w:left="422" w:firstLine="420" w:firstLineChars="200"/>
        <w:rPr>
          <w:rFonts w:ascii="宋体" w:hAnsi="宋体"/>
          <w:szCs w:val="21"/>
          <w:highlight w:val="none"/>
        </w:rPr>
      </w:pPr>
      <w:r>
        <w:rPr>
          <w:rFonts w:hint="eastAsia" w:ascii="宋体" w:hAnsi="宋体"/>
          <w:szCs w:val="21"/>
          <w:highlight w:val="none"/>
        </w:rPr>
        <w:t>根据《中华人民共和国政府采购法》及《中华人民共和国政府采购法实施条例》 的规定，本</w:t>
      </w:r>
      <w:r>
        <w:rPr>
          <w:rFonts w:hint="eastAsia" w:ascii="宋体" w:hAnsi="宋体"/>
          <w:szCs w:val="21"/>
          <w:highlight w:val="none"/>
          <w:lang w:val="en-US" w:eastAsia="zh-CN"/>
        </w:rPr>
        <w:t>单位</w:t>
      </w:r>
      <w:r>
        <w:rPr>
          <w:rFonts w:hint="eastAsia" w:ascii="宋体" w:hAnsi="宋体"/>
          <w:szCs w:val="21"/>
          <w:highlight w:val="none"/>
        </w:rPr>
        <w:t xml:space="preserve">郑重声明：                                                   </w:t>
      </w:r>
    </w:p>
    <w:p>
      <w:pPr>
        <w:spacing w:line="360" w:lineRule="auto"/>
        <w:ind w:firstLine="840" w:firstLineChars="400"/>
        <w:rPr>
          <w:rFonts w:ascii="宋体" w:hAnsi="宋体"/>
          <w:szCs w:val="21"/>
          <w:highlight w:val="none"/>
        </w:rPr>
      </w:pPr>
      <w:r>
        <w:rPr>
          <w:rFonts w:hint="eastAsia" w:ascii="宋体" w:hAnsi="宋体"/>
          <w:szCs w:val="21"/>
          <w:highlight w:val="none"/>
        </w:rPr>
        <w:t>我</w:t>
      </w:r>
      <w:r>
        <w:rPr>
          <w:rFonts w:hint="eastAsia" w:ascii="宋体" w:hAnsi="宋体"/>
          <w:szCs w:val="21"/>
          <w:highlight w:val="none"/>
          <w:lang w:val="en-US" w:eastAsia="zh-CN"/>
        </w:rPr>
        <w:t>单位</w:t>
      </w:r>
      <w:r>
        <w:rPr>
          <w:rFonts w:hint="eastAsia" w:ascii="宋体" w:hAnsi="宋体"/>
          <w:szCs w:val="21"/>
          <w:highlight w:val="none"/>
        </w:rPr>
        <w:t>完全符合《中华人民共和国政府采购法》第二十二条规定</w:t>
      </w:r>
      <w:r>
        <w:rPr>
          <w:rFonts w:hint="eastAsia" w:ascii="宋体" w:hAnsi="宋体"/>
          <w:szCs w:val="21"/>
          <w:highlight w:val="none"/>
          <w:lang w:val="en-US" w:eastAsia="zh-CN"/>
        </w:rPr>
        <w:t>及本项目所要求的资格条件</w:t>
      </w:r>
      <w:r>
        <w:rPr>
          <w:rFonts w:hint="eastAsia" w:ascii="宋体" w:hAnsi="宋体"/>
          <w:szCs w:val="21"/>
          <w:highlight w:val="none"/>
        </w:rPr>
        <w:t xml:space="preserve">：              </w:t>
      </w:r>
    </w:p>
    <w:p>
      <w:pPr>
        <w:spacing w:line="360" w:lineRule="auto"/>
        <w:ind w:firstLine="840" w:firstLineChars="400"/>
        <w:rPr>
          <w:rFonts w:ascii="宋体" w:hAnsi="宋体"/>
          <w:szCs w:val="21"/>
          <w:highlight w:val="none"/>
        </w:rPr>
      </w:pPr>
      <w:r>
        <w:rPr>
          <w:rFonts w:hint="eastAsia" w:ascii="宋体" w:hAnsi="宋体"/>
          <w:szCs w:val="21"/>
          <w:highlight w:val="none"/>
        </w:rPr>
        <w:t xml:space="preserve">（1）具有独立承担民事责任的能力；                                          </w:t>
      </w:r>
    </w:p>
    <w:p>
      <w:pPr>
        <w:spacing w:line="360" w:lineRule="auto"/>
        <w:ind w:firstLine="840" w:firstLineChars="400"/>
        <w:rPr>
          <w:rFonts w:ascii="宋体" w:hAnsi="宋体"/>
          <w:szCs w:val="21"/>
          <w:highlight w:val="none"/>
        </w:rPr>
      </w:pPr>
      <w:r>
        <w:rPr>
          <w:rFonts w:hint="eastAsia" w:ascii="宋体" w:hAnsi="宋体"/>
          <w:szCs w:val="21"/>
          <w:highlight w:val="none"/>
        </w:rPr>
        <w:t xml:space="preserve">（2）具有良好的商业信誉和健全的财务会计制度；                              </w:t>
      </w:r>
    </w:p>
    <w:p>
      <w:pPr>
        <w:spacing w:line="360" w:lineRule="auto"/>
        <w:ind w:left="420" w:leftChars="200" w:firstLine="420" w:firstLineChars="200"/>
        <w:rPr>
          <w:rFonts w:ascii="宋体" w:hAnsi="宋体"/>
          <w:szCs w:val="21"/>
          <w:highlight w:val="none"/>
        </w:rPr>
      </w:pPr>
      <w:r>
        <w:rPr>
          <w:rFonts w:hint="eastAsia" w:ascii="宋体" w:hAnsi="宋体"/>
          <w:szCs w:val="21"/>
          <w:highlight w:val="none"/>
        </w:rPr>
        <w:t xml:space="preserve">（3）具有履行合同所必需的设备和专业技术能力；                              </w:t>
      </w:r>
    </w:p>
    <w:p>
      <w:pPr>
        <w:spacing w:line="360" w:lineRule="auto"/>
        <w:ind w:left="420" w:leftChars="200" w:firstLine="420" w:firstLineChars="200"/>
        <w:rPr>
          <w:rFonts w:ascii="宋体" w:hAnsi="宋体"/>
          <w:szCs w:val="21"/>
          <w:highlight w:val="none"/>
        </w:rPr>
      </w:pPr>
      <w:r>
        <w:rPr>
          <w:rFonts w:hint="eastAsia" w:ascii="宋体" w:hAnsi="宋体"/>
          <w:szCs w:val="21"/>
          <w:highlight w:val="none"/>
        </w:rPr>
        <w:t xml:space="preserve">（4）有依法缴纳税收和社会保障资金的良好记录；                              </w:t>
      </w:r>
    </w:p>
    <w:p>
      <w:pPr>
        <w:spacing w:line="360" w:lineRule="auto"/>
        <w:ind w:left="420" w:leftChars="200" w:firstLine="420" w:firstLineChars="200"/>
        <w:rPr>
          <w:rFonts w:hint="eastAsia" w:ascii="宋体" w:hAnsi="宋体"/>
          <w:szCs w:val="21"/>
          <w:highlight w:val="none"/>
        </w:rPr>
      </w:pPr>
      <w:r>
        <w:rPr>
          <w:rFonts w:hint="eastAsia" w:ascii="宋体" w:hAnsi="宋体"/>
          <w:szCs w:val="21"/>
          <w:highlight w:val="none"/>
        </w:rPr>
        <w:t>（5）参加政府采购活动前三年内，在经营活动中没有重大违法记录</w:t>
      </w:r>
      <w:r>
        <w:rPr>
          <w:rFonts w:hint="eastAsia" w:ascii="宋体" w:hAnsi="宋体"/>
          <w:szCs w:val="21"/>
          <w:highlight w:val="none"/>
          <w:lang w:eastAsia="zh-CN"/>
        </w:rPr>
        <w:t>，</w:t>
      </w:r>
      <w:r>
        <w:rPr>
          <w:rFonts w:hint="eastAsia" w:ascii="宋体" w:hAnsi="宋体"/>
          <w:szCs w:val="21"/>
          <w:highlight w:val="none"/>
        </w:rPr>
        <w:t xml:space="preserve">包括：我单位因违法经营受到刑事处罚或者责令停产停业、吊销许可证或者执照、较大数额罚款等行政处罚；   </w:t>
      </w:r>
    </w:p>
    <w:p>
      <w:pPr>
        <w:spacing w:line="360" w:lineRule="auto"/>
        <w:ind w:firstLine="840" w:firstLineChars="400"/>
        <w:rPr>
          <w:rFonts w:ascii="宋体" w:hAnsi="宋体"/>
          <w:szCs w:val="21"/>
          <w:highlight w:val="none"/>
        </w:rPr>
      </w:pPr>
      <w:r>
        <w:rPr>
          <w:rFonts w:hint="eastAsia" w:ascii="宋体" w:hAnsi="宋体"/>
          <w:strike w:val="0"/>
          <w:dstrike w:val="0"/>
          <w:szCs w:val="21"/>
          <w:highlight w:val="none"/>
        </w:rPr>
        <w:t>（6）我单位不在财政部门依法作出的禁止参加政府采购活动的行政处罚期限内</w:t>
      </w:r>
      <w:r>
        <w:rPr>
          <w:rFonts w:hint="eastAsia" w:ascii="宋体" w:hAnsi="宋体"/>
          <w:strike w:val="0"/>
          <w:dstrike w:val="0"/>
          <w:szCs w:val="21"/>
          <w:highlight w:val="none"/>
          <w:lang w:eastAsia="zh-CN"/>
        </w:rPr>
        <w:t>；</w:t>
      </w:r>
      <w:r>
        <w:rPr>
          <w:rFonts w:hint="eastAsia" w:ascii="宋体" w:hAnsi="宋体"/>
          <w:szCs w:val="21"/>
          <w:highlight w:val="none"/>
        </w:rPr>
        <w:t xml:space="preserve">                       </w:t>
      </w:r>
    </w:p>
    <w:p>
      <w:pPr>
        <w:spacing w:line="360" w:lineRule="auto"/>
        <w:ind w:left="420" w:leftChars="200"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 xml:space="preserve">）符合法律、行政法规规定的其他条件。                                    </w:t>
      </w:r>
    </w:p>
    <w:p>
      <w:pPr>
        <w:spacing w:line="360" w:lineRule="auto"/>
        <w:ind w:left="422" w:firstLine="420" w:firstLineChars="200"/>
        <w:rPr>
          <w:rFonts w:ascii="宋体" w:hAnsi="宋体"/>
          <w:szCs w:val="21"/>
          <w:highlight w:val="none"/>
        </w:rPr>
      </w:pPr>
      <w:r>
        <w:rPr>
          <w:rFonts w:hint="eastAsia" w:ascii="宋体" w:hAnsi="宋体"/>
          <w:szCs w:val="21"/>
          <w:highlight w:val="none"/>
        </w:rPr>
        <w:t>我</w:t>
      </w:r>
      <w:r>
        <w:rPr>
          <w:rFonts w:hint="eastAsia" w:ascii="宋体" w:hAnsi="宋体"/>
          <w:szCs w:val="21"/>
          <w:highlight w:val="none"/>
          <w:lang w:val="en-US" w:eastAsia="zh-CN"/>
        </w:rPr>
        <w:t>单位</w:t>
      </w:r>
      <w:r>
        <w:rPr>
          <w:rFonts w:hint="eastAsia" w:ascii="宋体" w:hAnsi="宋体"/>
          <w:szCs w:val="21"/>
          <w:highlight w:val="none"/>
        </w:rPr>
        <w:t>承诺：合同签订前，若我</w:t>
      </w:r>
      <w:r>
        <w:rPr>
          <w:rFonts w:hint="eastAsia" w:ascii="宋体" w:hAnsi="宋体"/>
          <w:szCs w:val="21"/>
          <w:highlight w:val="none"/>
          <w:lang w:val="en-US" w:eastAsia="zh-CN"/>
        </w:rPr>
        <w:t>单位</w:t>
      </w:r>
      <w:r>
        <w:rPr>
          <w:rFonts w:hint="eastAsia" w:ascii="宋体" w:hAnsi="宋体"/>
          <w:szCs w:val="21"/>
          <w:highlight w:val="none"/>
        </w:rPr>
        <w:t>不符合《中华人民共和国政府采购法》第二十二条规定</w:t>
      </w:r>
      <w:r>
        <w:rPr>
          <w:rFonts w:hint="eastAsia" w:ascii="宋体" w:hAnsi="宋体"/>
          <w:szCs w:val="21"/>
          <w:highlight w:val="none"/>
          <w:lang w:val="en-US" w:eastAsia="zh-CN"/>
        </w:rPr>
        <w:t>及本项目所要求的资格条件</w:t>
      </w:r>
      <w:r>
        <w:rPr>
          <w:rFonts w:hint="eastAsia" w:ascii="宋体" w:hAnsi="宋体"/>
          <w:szCs w:val="21"/>
          <w:highlight w:val="none"/>
        </w:rPr>
        <w:t>，贵方可取消我</w:t>
      </w:r>
      <w:r>
        <w:rPr>
          <w:rFonts w:hint="eastAsia" w:ascii="宋体" w:hAnsi="宋体"/>
          <w:szCs w:val="21"/>
          <w:highlight w:val="none"/>
          <w:lang w:val="en-US" w:eastAsia="zh-CN"/>
        </w:rPr>
        <w:t>单位</w:t>
      </w:r>
      <w:r>
        <w:rPr>
          <w:rFonts w:hint="eastAsia" w:ascii="宋体" w:hAnsi="宋体"/>
          <w:szCs w:val="21"/>
          <w:highlight w:val="none"/>
        </w:rPr>
        <w:t>成交资格或者不授予合同，所有责任由我</w:t>
      </w:r>
      <w:r>
        <w:rPr>
          <w:rFonts w:hint="eastAsia" w:ascii="宋体" w:hAnsi="宋体"/>
          <w:szCs w:val="21"/>
          <w:highlight w:val="none"/>
          <w:lang w:val="en-US" w:eastAsia="zh-CN"/>
        </w:rPr>
        <w:t>单位</w:t>
      </w:r>
      <w:r>
        <w:rPr>
          <w:rFonts w:hint="eastAsia" w:ascii="宋体" w:hAnsi="宋体"/>
          <w:szCs w:val="21"/>
          <w:highlight w:val="none"/>
        </w:rPr>
        <w:t>自行承担。同时， 我</w:t>
      </w:r>
      <w:r>
        <w:rPr>
          <w:rFonts w:hint="eastAsia" w:ascii="宋体" w:hAnsi="宋体"/>
          <w:szCs w:val="21"/>
          <w:highlight w:val="none"/>
          <w:lang w:val="en-US" w:eastAsia="zh-CN"/>
        </w:rPr>
        <w:t>单位</w:t>
      </w:r>
      <w:r>
        <w:rPr>
          <w:rFonts w:hint="eastAsia" w:ascii="宋体" w:hAnsi="宋体"/>
          <w:szCs w:val="21"/>
          <w:highlight w:val="none"/>
        </w:rPr>
        <w:t>愿意无条件接受监管部门的调查处理。</w:t>
      </w:r>
    </w:p>
    <w:p>
      <w:pPr>
        <w:spacing w:line="360" w:lineRule="auto"/>
        <w:ind w:left="422" w:firstLine="420" w:firstLineChars="200"/>
        <w:rPr>
          <w:rFonts w:ascii="宋体" w:hAnsi="宋体"/>
          <w:szCs w:val="21"/>
          <w:highlight w:val="none"/>
        </w:rPr>
      </w:pPr>
      <w:r>
        <w:rPr>
          <w:rFonts w:hint="eastAsia" w:ascii="宋体" w:hAnsi="宋体"/>
          <w:szCs w:val="21"/>
          <w:highlight w:val="none"/>
        </w:rPr>
        <w:t>本</w:t>
      </w:r>
      <w:r>
        <w:rPr>
          <w:rFonts w:hint="eastAsia" w:ascii="宋体" w:hAnsi="宋体"/>
          <w:szCs w:val="21"/>
          <w:highlight w:val="none"/>
          <w:lang w:val="en-US" w:eastAsia="zh-CN"/>
        </w:rPr>
        <w:t>单位</w:t>
      </w:r>
      <w:r>
        <w:rPr>
          <w:rFonts w:hint="eastAsia" w:ascii="宋体" w:hAnsi="宋体"/>
          <w:szCs w:val="21"/>
          <w:highlight w:val="none"/>
        </w:rPr>
        <w:t>对上述声明的真实性负责。如有虚假，将依法承担相应责任。</w:t>
      </w:r>
    </w:p>
    <w:p>
      <w:pPr>
        <w:spacing w:line="360" w:lineRule="auto"/>
        <w:rPr>
          <w:rFonts w:ascii="宋体" w:hAnsi="宋体"/>
          <w:szCs w:val="21"/>
          <w:highlight w:val="none"/>
        </w:rPr>
      </w:pPr>
    </w:p>
    <w:p>
      <w:pPr>
        <w:spacing w:line="360" w:lineRule="auto"/>
        <w:ind w:firstLine="420" w:firstLineChars="200"/>
        <w:jc w:val="right"/>
        <w:rPr>
          <w:rFonts w:hint="eastAsia" w:ascii="宋体" w:hAnsi="宋体"/>
          <w:szCs w:val="21"/>
          <w:highlight w:val="none"/>
        </w:rPr>
      </w:pPr>
      <w:r>
        <w:rPr>
          <w:rFonts w:hint="eastAsia" w:ascii="宋体" w:hAnsi="宋体"/>
          <w:szCs w:val="21"/>
          <w:highlight w:val="none"/>
        </w:rPr>
        <w:t>供应商公章：_______________________</w:t>
      </w:r>
      <w:r>
        <w:rPr>
          <w:rFonts w:hint="eastAsia" w:ascii="宋体" w:hAnsi="宋体"/>
          <w:szCs w:val="21"/>
          <w:highlight w:val="none"/>
          <w:lang w:val="en-US" w:eastAsia="zh-CN"/>
        </w:rPr>
        <w:t xml:space="preserve">                                           </w:t>
      </w:r>
    </w:p>
    <w:p>
      <w:pPr>
        <w:spacing w:line="360" w:lineRule="auto"/>
        <w:jc w:val="center"/>
        <w:outlineLvl w:val="2"/>
        <w:rPr>
          <w:rFonts w:asciiTheme="minorEastAsia" w:hAnsiTheme="minorEastAsia" w:eastAsiaTheme="minorEastAsia"/>
          <w:b/>
          <w:sz w:val="24"/>
          <w:highlight w:val="none"/>
        </w:rPr>
      </w:pPr>
      <w:r>
        <w:rPr>
          <w:rFonts w:hint="eastAsia" w:hAnsi="宋体"/>
          <w:szCs w:val="21"/>
          <w:highlight w:val="none"/>
        </w:rPr>
        <w:t xml:space="preserve">               </w:t>
      </w:r>
      <w:r>
        <w:rPr>
          <w:rFonts w:hint="default" w:hAnsi="宋体"/>
          <w:szCs w:val="21"/>
          <w:highlight w:val="none"/>
          <w:lang w:val="en-US"/>
        </w:rPr>
        <w:t xml:space="preserve">                                 </w:t>
      </w:r>
      <w:r>
        <w:rPr>
          <w:rFonts w:hint="eastAsia" w:hAnsi="宋体"/>
          <w:szCs w:val="21"/>
          <w:highlight w:val="none"/>
        </w:rPr>
        <w:t xml:space="preserve"> 日期：       年     月     日</w:t>
      </w:r>
    </w:p>
    <w:p>
      <w:pPr>
        <w:spacing w:line="360" w:lineRule="auto"/>
        <w:ind w:left="422"/>
        <w:rPr>
          <w:rFonts w:hint="eastAsia" w:ascii="宋体" w:hAnsi="宋体"/>
          <w:szCs w:val="21"/>
          <w:highlight w:val="none"/>
        </w:rPr>
      </w:pP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4、法定代表人身份证明书（格式见附件）及其有效二代居民身份证；</w:t>
      </w:r>
    </w:p>
    <w:p>
      <w:pPr>
        <w:spacing w:line="360" w:lineRule="auto"/>
        <w:ind w:firstLine="420" w:firstLineChars="200"/>
        <w:rPr>
          <w:highlight w:val="none"/>
        </w:rPr>
      </w:pPr>
      <w:r>
        <w:rPr>
          <w:rFonts w:ascii="宋体" w:hAnsi="宋体"/>
          <w:szCs w:val="21"/>
          <w:highlight w:val="none"/>
        </w:rPr>
        <w:t>5</w:t>
      </w:r>
      <w:r>
        <w:rPr>
          <w:rFonts w:hint="eastAsia" w:ascii="宋体" w:hAnsi="宋体"/>
          <w:szCs w:val="21"/>
          <w:highlight w:val="none"/>
        </w:rPr>
        <w:t>、法定代表人授权委托书（格式见附件）及委托代理人有效二代居民身份证，若法定代表人本人参与</w:t>
      </w:r>
      <w:r>
        <w:rPr>
          <w:rFonts w:hint="eastAsia" w:ascii="宋体" w:hAnsi="宋体"/>
          <w:szCs w:val="21"/>
          <w:highlight w:val="none"/>
          <w:lang w:val="en-US" w:eastAsia="zh-CN"/>
        </w:rPr>
        <w:t>谈判</w:t>
      </w:r>
      <w:r>
        <w:rPr>
          <w:rFonts w:hint="eastAsia" w:ascii="宋体" w:hAnsi="宋体"/>
          <w:szCs w:val="21"/>
          <w:highlight w:val="none"/>
        </w:rPr>
        <w:t>则不需此件；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6、履行合同所必需的设备专业技术能力证明文件 </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（1）服务于本项目的专业设备一览表</w:t>
      </w:r>
    </w:p>
    <w:tbl>
      <w:tblPr>
        <w:tblStyle w:val="27"/>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2292"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设备名称</w:t>
            </w:r>
          </w:p>
        </w:tc>
        <w:tc>
          <w:tcPr>
            <w:tcW w:w="1453"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购入时间</w:t>
            </w:r>
          </w:p>
        </w:tc>
        <w:tc>
          <w:tcPr>
            <w:tcW w:w="93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价值</w:t>
            </w:r>
          </w:p>
        </w:tc>
        <w:tc>
          <w:tcPr>
            <w:tcW w:w="878"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495"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w:t>
            </w:r>
          </w:p>
        </w:tc>
        <w:tc>
          <w:tcPr>
            <w:tcW w:w="150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highlight w:val="none"/>
              </w:rPr>
            </w:pPr>
          </w:p>
        </w:tc>
        <w:tc>
          <w:tcPr>
            <w:tcW w:w="2292" w:type="dxa"/>
            <w:vAlign w:val="center"/>
          </w:tcPr>
          <w:p>
            <w:pPr>
              <w:spacing w:line="360" w:lineRule="auto"/>
              <w:ind w:firstLine="420" w:firstLineChars="200"/>
              <w:rPr>
                <w:rFonts w:ascii="宋体" w:hAnsi="宋体" w:cs="宋体"/>
                <w:color w:val="000000"/>
                <w:szCs w:val="21"/>
                <w:highlight w:val="none"/>
              </w:rPr>
            </w:pPr>
          </w:p>
        </w:tc>
        <w:tc>
          <w:tcPr>
            <w:tcW w:w="1453" w:type="dxa"/>
            <w:vAlign w:val="center"/>
          </w:tcPr>
          <w:p>
            <w:pPr>
              <w:spacing w:line="360" w:lineRule="auto"/>
              <w:ind w:firstLine="420" w:firstLineChars="200"/>
              <w:rPr>
                <w:rFonts w:ascii="宋体" w:hAnsi="宋体" w:cs="宋体"/>
                <w:color w:val="000000"/>
                <w:szCs w:val="21"/>
                <w:highlight w:val="none"/>
              </w:rPr>
            </w:pPr>
          </w:p>
        </w:tc>
        <w:tc>
          <w:tcPr>
            <w:tcW w:w="934" w:type="dxa"/>
            <w:vAlign w:val="center"/>
          </w:tcPr>
          <w:p>
            <w:pPr>
              <w:spacing w:line="360" w:lineRule="auto"/>
              <w:ind w:firstLine="420" w:firstLineChars="200"/>
              <w:rPr>
                <w:rFonts w:ascii="宋体" w:hAnsi="宋体" w:cs="宋体"/>
                <w:color w:val="000000"/>
                <w:szCs w:val="21"/>
                <w:highlight w:val="none"/>
              </w:rPr>
            </w:pPr>
          </w:p>
        </w:tc>
        <w:tc>
          <w:tcPr>
            <w:tcW w:w="878" w:type="dxa"/>
            <w:vAlign w:val="center"/>
          </w:tcPr>
          <w:p>
            <w:pPr>
              <w:spacing w:line="360" w:lineRule="auto"/>
              <w:ind w:firstLine="420" w:firstLineChars="200"/>
              <w:rPr>
                <w:rFonts w:ascii="宋体" w:hAnsi="宋体" w:cs="宋体"/>
                <w:color w:val="000000"/>
                <w:szCs w:val="21"/>
                <w:highlight w:val="none"/>
              </w:rPr>
            </w:pPr>
          </w:p>
        </w:tc>
        <w:tc>
          <w:tcPr>
            <w:tcW w:w="1495" w:type="dxa"/>
            <w:vAlign w:val="center"/>
          </w:tcPr>
          <w:p>
            <w:pPr>
              <w:spacing w:line="360" w:lineRule="auto"/>
              <w:ind w:firstLine="420" w:firstLineChars="200"/>
              <w:rPr>
                <w:rFonts w:ascii="宋体" w:hAnsi="宋体" w:cs="宋体"/>
                <w:color w:val="000000"/>
                <w:szCs w:val="21"/>
                <w:highlight w:val="none"/>
              </w:rPr>
            </w:pPr>
          </w:p>
        </w:tc>
        <w:tc>
          <w:tcPr>
            <w:tcW w:w="1504" w:type="dxa"/>
            <w:vAlign w:val="center"/>
          </w:tcPr>
          <w:p>
            <w:pPr>
              <w:spacing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highlight w:val="none"/>
              </w:rPr>
            </w:pPr>
          </w:p>
        </w:tc>
        <w:tc>
          <w:tcPr>
            <w:tcW w:w="2292"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w:t>
            </w:r>
          </w:p>
        </w:tc>
        <w:tc>
          <w:tcPr>
            <w:tcW w:w="1453" w:type="dxa"/>
            <w:vAlign w:val="center"/>
          </w:tcPr>
          <w:p>
            <w:pPr>
              <w:spacing w:line="360" w:lineRule="auto"/>
              <w:ind w:firstLine="420" w:firstLineChars="200"/>
              <w:rPr>
                <w:rFonts w:ascii="宋体" w:hAnsi="宋体" w:cs="宋体"/>
                <w:color w:val="000000"/>
                <w:szCs w:val="21"/>
                <w:highlight w:val="none"/>
              </w:rPr>
            </w:pPr>
          </w:p>
        </w:tc>
        <w:tc>
          <w:tcPr>
            <w:tcW w:w="934" w:type="dxa"/>
            <w:vAlign w:val="center"/>
          </w:tcPr>
          <w:p>
            <w:pPr>
              <w:spacing w:line="360" w:lineRule="auto"/>
              <w:ind w:firstLine="420" w:firstLineChars="200"/>
              <w:rPr>
                <w:rFonts w:ascii="宋体" w:hAnsi="宋体" w:cs="宋体"/>
                <w:color w:val="000000"/>
                <w:szCs w:val="21"/>
                <w:highlight w:val="none"/>
              </w:rPr>
            </w:pPr>
          </w:p>
        </w:tc>
        <w:tc>
          <w:tcPr>
            <w:tcW w:w="878" w:type="dxa"/>
            <w:vAlign w:val="center"/>
          </w:tcPr>
          <w:p>
            <w:pPr>
              <w:spacing w:line="360" w:lineRule="auto"/>
              <w:ind w:firstLine="420" w:firstLineChars="200"/>
              <w:rPr>
                <w:rFonts w:ascii="宋体" w:hAnsi="宋体" w:cs="宋体"/>
                <w:color w:val="000000"/>
                <w:szCs w:val="21"/>
                <w:highlight w:val="none"/>
              </w:rPr>
            </w:pPr>
          </w:p>
        </w:tc>
        <w:tc>
          <w:tcPr>
            <w:tcW w:w="1495" w:type="dxa"/>
            <w:vAlign w:val="center"/>
          </w:tcPr>
          <w:p>
            <w:pPr>
              <w:spacing w:line="360" w:lineRule="auto"/>
              <w:ind w:firstLine="420" w:firstLineChars="200"/>
              <w:rPr>
                <w:rFonts w:ascii="宋体" w:hAnsi="宋体" w:cs="宋体"/>
                <w:color w:val="000000"/>
                <w:szCs w:val="21"/>
                <w:highlight w:val="none"/>
              </w:rPr>
            </w:pPr>
          </w:p>
        </w:tc>
        <w:tc>
          <w:tcPr>
            <w:tcW w:w="1504" w:type="dxa"/>
            <w:vAlign w:val="center"/>
          </w:tcPr>
          <w:p>
            <w:pPr>
              <w:spacing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highlight w:val="none"/>
              </w:rPr>
            </w:pPr>
          </w:p>
        </w:tc>
        <w:tc>
          <w:tcPr>
            <w:tcW w:w="2292" w:type="dxa"/>
            <w:vAlign w:val="center"/>
          </w:tcPr>
          <w:p>
            <w:pPr>
              <w:spacing w:line="360" w:lineRule="auto"/>
              <w:ind w:firstLine="420" w:firstLineChars="200"/>
              <w:rPr>
                <w:rFonts w:ascii="宋体" w:hAnsi="宋体" w:cs="宋体"/>
                <w:color w:val="000000"/>
                <w:szCs w:val="21"/>
                <w:highlight w:val="none"/>
              </w:rPr>
            </w:pPr>
          </w:p>
        </w:tc>
        <w:tc>
          <w:tcPr>
            <w:tcW w:w="1453" w:type="dxa"/>
            <w:vAlign w:val="center"/>
          </w:tcPr>
          <w:p>
            <w:pPr>
              <w:spacing w:line="360" w:lineRule="auto"/>
              <w:ind w:firstLine="420" w:firstLineChars="200"/>
              <w:rPr>
                <w:rFonts w:ascii="宋体" w:hAnsi="宋体" w:cs="宋体"/>
                <w:color w:val="000000"/>
                <w:szCs w:val="21"/>
                <w:highlight w:val="none"/>
              </w:rPr>
            </w:pPr>
          </w:p>
        </w:tc>
        <w:tc>
          <w:tcPr>
            <w:tcW w:w="934" w:type="dxa"/>
            <w:vAlign w:val="center"/>
          </w:tcPr>
          <w:p>
            <w:pPr>
              <w:spacing w:line="360" w:lineRule="auto"/>
              <w:ind w:firstLine="420" w:firstLineChars="200"/>
              <w:rPr>
                <w:rFonts w:ascii="宋体" w:hAnsi="宋体" w:cs="宋体"/>
                <w:color w:val="000000"/>
                <w:szCs w:val="21"/>
                <w:highlight w:val="none"/>
              </w:rPr>
            </w:pPr>
          </w:p>
        </w:tc>
        <w:tc>
          <w:tcPr>
            <w:tcW w:w="878" w:type="dxa"/>
            <w:vAlign w:val="center"/>
          </w:tcPr>
          <w:p>
            <w:pPr>
              <w:spacing w:line="360" w:lineRule="auto"/>
              <w:ind w:firstLine="420" w:firstLineChars="200"/>
              <w:rPr>
                <w:rFonts w:ascii="宋体" w:hAnsi="宋体" w:cs="宋体"/>
                <w:color w:val="000000"/>
                <w:szCs w:val="21"/>
                <w:highlight w:val="none"/>
              </w:rPr>
            </w:pPr>
          </w:p>
        </w:tc>
        <w:tc>
          <w:tcPr>
            <w:tcW w:w="1495" w:type="dxa"/>
            <w:vAlign w:val="center"/>
          </w:tcPr>
          <w:p>
            <w:pPr>
              <w:spacing w:line="360" w:lineRule="auto"/>
              <w:ind w:firstLine="420" w:firstLineChars="200"/>
              <w:rPr>
                <w:rFonts w:ascii="宋体" w:hAnsi="宋体" w:cs="宋体"/>
                <w:color w:val="000000"/>
                <w:szCs w:val="21"/>
                <w:highlight w:val="none"/>
              </w:rPr>
            </w:pPr>
          </w:p>
        </w:tc>
        <w:tc>
          <w:tcPr>
            <w:tcW w:w="1504" w:type="dxa"/>
            <w:vAlign w:val="center"/>
          </w:tcPr>
          <w:p>
            <w:pPr>
              <w:spacing w:line="360" w:lineRule="auto"/>
              <w:ind w:firstLine="420" w:firstLineChars="200"/>
              <w:rPr>
                <w:rFonts w:ascii="宋体" w:hAnsi="宋体" w:cs="宋体"/>
                <w:color w:val="000000"/>
                <w:szCs w:val="21"/>
                <w:highlight w:val="none"/>
              </w:rPr>
            </w:pPr>
          </w:p>
        </w:tc>
      </w:tr>
    </w:tbl>
    <w:p>
      <w:pPr>
        <w:spacing w:line="360" w:lineRule="auto"/>
        <w:rPr>
          <w:rFonts w:ascii="宋体" w:hAnsi="宋体" w:cs="宋体"/>
          <w:color w:val="000000"/>
          <w:szCs w:val="21"/>
          <w:highlight w:val="none"/>
        </w:rPr>
      </w:pPr>
      <w:r>
        <w:rPr>
          <w:rFonts w:hint="eastAsia" w:ascii="宋体" w:hAnsi="宋体" w:cs="宋体"/>
          <w:color w:val="000000"/>
          <w:szCs w:val="21"/>
          <w:highlight w:val="none"/>
        </w:rPr>
        <w:t>（2）服务本项目人员一览表</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类别</w:t>
            </w:r>
          </w:p>
        </w:tc>
        <w:tc>
          <w:tcPr>
            <w:tcW w:w="1187" w:type="dxa"/>
            <w:vMerge w:val="restart"/>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职务</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职称</w:t>
            </w:r>
          </w:p>
        </w:tc>
        <w:tc>
          <w:tcPr>
            <w:tcW w:w="1974" w:type="dxa"/>
            <w:vMerge w:val="restart"/>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手机号</w:t>
            </w:r>
          </w:p>
        </w:tc>
        <w:tc>
          <w:tcPr>
            <w:tcW w:w="2961" w:type="dxa"/>
            <w:gridSpan w:val="2"/>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highlight w:val="none"/>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highlight w:val="none"/>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highlight w:val="none"/>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highlight w:val="none"/>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highlight w:val="none"/>
              </w:rPr>
            </w:pPr>
          </w:p>
        </w:tc>
        <w:tc>
          <w:tcPr>
            <w:tcW w:w="987" w:type="dxa"/>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名称</w:t>
            </w:r>
          </w:p>
        </w:tc>
        <w:tc>
          <w:tcPr>
            <w:tcW w:w="1974" w:type="dxa"/>
            <w:vAlign w:val="center"/>
          </w:tcPr>
          <w:p>
            <w:pPr>
              <w:spacing w:before="100" w:beforeAutospacing="1" w:after="100" w:afterAutospacing="1" w:line="360" w:lineRule="auto"/>
              <w:jc w:val="center"/>
              <w:rPr>
                <w:rFonts w:ascii="宋体" w:hAnsi="宋体" w:cs="宋体"/>
                <w:color w:val="000000"/>
                <w:szCs w:val="21"/>
                <w:highlight w:val="none"/>
              </w:rPr>
            </w:pPr>
            <w:r>
              <w:rPr>
                <w:rFonts w:hint="eastAsia" w:ascii="宋体" w:hAnsi="宋体" w:cs="宋体"/>
                <w:color w:val="000000"/>
                <w:szCs w:val="21"/>
                <w:highlight w:val="none"/>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管理人员</w:t>
            </w: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技术人员</w:t>
            </w: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jc w:val="both"/>
              <w:rPr>
                <w:rFonts w:ascii="宋体" w:hAnsi="宋体" w:cs="宋体"/>
                <w:color w:val="000000"/>
                <w:szCs w:val="21"/>
                <w:highlight w:val="none"/>
              </w:rPr>
            </w:pPr>
            <w:r>
              <w:rPr>
                <w:rFonts w:hint="eastAsia" w:ascii="宋体" w:hAnsi="宋体" w:cs="宋体"/>
                <w:color w:val="000000"/>
                <w:szCs w:val="21"/>
                <w:highlight w:val="none"/>
              </w:rPr>
              <w:t>其他</w:t>
            </w: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185"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987" w:type="dxa"/>
          </w:tcPr>
          <w:p>
            <w:pPr>
              <w:spacing w:before="100" w:beforeAutospacing="1" w:after="100" w:afterAutospacing="1" w:line="360" w:lineRule="auto"/>
              <w:ind w:firstLine="420" w:firstLineChars="200"/>
              <w:rPr>
                <w:rFonts w:ascii="宋体" w:hAnsi="宋体" w:cs="宋体"/>
                <w:color w:val="000000"/>
                <w:szCs w:val="21"/>
                <w:highlight w:val="none"/>
              </w:rPr>
            </w:pPr>
          </w:p>
        </w:tc>
        <w:tc>
          <w:tcPr>
            <w:tcW w:w="1974" w:type="dxa"/>
          </w:tcPr>
          <w:p>
            <w:pPr>
              <w:spacing w:before="100" w:beforeAutospacing="1" w:after="100" w:afterAutospacing="1" w:line="360" w:lineRule="auto"/>
              <w:ind w:firstLine="420" w:firstLineChars="200"/>
              <w:rPr>
                <w:rFonts w:ascii="宋体" w:hAnsi="宋体" w:cs="宋体"/>
                <w:color w:val="000000"/>
                <w:szCs w:val="21"/>
                <w:highlight w:val="none"/>
              </w:rPr>
            </w:pPr>
          </w:p>
        </w:tc>
      </w:tr>
    </w:tbl>
    <w:p>
      <w:pPr>
        <w:spacing w:line="360" w:lineRule="auto"/>
        <w:rPr>
          <w:rFonts w:ascii="宋体" w:hAnsi="宋体" w:cs="宋体"/>
          <w:color w:val="000000"/>
          <w:szCs w:val="21"/>
          <w:highlight w:val="none"/>
        </w:rPr>
      </w:pPr>
    </w:p>
    <w:p>
      <w:pPr>
        <w:spacing w:line="360" w:lineRule="auto"/>
        <w:ind w:firstLine="420" w:firstLineChars="200"/>
        <w:rPr>
          <w:rFonts w:ascii="宋体" w:cs="宋体"/>
          <w:b/>
          <w:spacing w:val="-4"/>
          <w:kern w:val="0"/>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、本项目</w:t>
      </w:r>
      <w:r>
        <w:rPr>
          <w:rFonts w:hint="eastAsia" w:ascii="宋体" w:hAnsi="宋体" w:cs="宋体"/>
          <w:szCs w:val="21"/>
          <w:highlight w:val="none"/>
          <w:lang w:val="en-US" w:eastAsia="zh-CN"/>
        </w:rPr>
        <w:t>谈判</w:t>
      </w:r>
      <w:r>
        <w:rPr>
          <w:rFonts w:hint="eastAsia" w:ascii="宋体" w:hAnsi="宋体" w:cs="宋体"/>
          <w:szCs w:val="21"/>
          <w:highlight w:val="none"/>
        </w:rPr>
        <w:t>文件中要求供应商提供的其他证明材料。</w:t>
      </w:r>
    </w:p>
    <w:p>
      <w:pPr>
        <w:widowControl/>
        <w:spacing w:line="5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、须提供上述证明</w:t>
      </w:r>
      <w:r>
        <w:rPr>
          <w:rFonts w:hint="eastAsia" w:ascii="宋体" w:hAnsi="宋体" w:cs="宋体"/>
          <w:color w:val="000000"/>
          <w:szCs w:val="21"/>
          <w:highlight w:val="none"/>
          <w:lang w:val="en-US" w:eastAsia="zh-CN"/>
        </w:rPr>
        <w:t>材料</w:t>
      </w:r>
      <w:r>
        <w:rPr>
          <w:rFonts w:hint="eastAsia" w:ascii="宋体" w:hAnsi="宋体" w:cs="宋体"/>
          <w:color w:val="000000"/>
          <w:szCs w:val="21"/>
          <w:highlight w:val="none"/>
        </w:rPr>
        <w:t>复印件或扫描件或影印件。</w:t>
      </w:r>
    </w:p>
    <w:p>
      <w:pPr>
        <w:widowControl/>
        <w:spacing w:line="50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9、资质证书、安全生产许可证、项目经理证书等。</w:t>
      </w:r>
    </w:p>
    <w:p>
      <w:pPr>
        <w:spacing w:line="360" w:lineRule="auto"/>
        <w:jc w:val="left"/>
        <w:rPr>
          <w:rFonts w:hint="eastAsia" w:ascii="宋体" w:hAnsi="宋体" w:cs="宋体"/>
          <w:b/>
          <w:color w:val="auto"/>
          <w:sz w:val="24"/>
          <w:highlight w:val="none"/>
        </w:rPr>
      </w:pPr>
    </w:p>
    <w:p>
      <w:pPr>
        <w:spacing w:line="360" w:lineRule="auto"/>
        <w:jc w:val="left"/>
        <w:rPr>
          <w:rFonts w:hint="eastAsia" w:ascii="宋体" w:hAnsi="宋体" w:cs="宋体"/>
          <w:b/>
          <w:color w:val="auto"/>
          <w:sz w:val="24"/>
          <w:highlight w:val="none"/>
        </w:rPr>
      </w:pPr>
    </w:p>
    <w:p>
      <w:pPr>
        <w:pStyle w:val="26"/>
        <w:rPr>
          <w:rFonts w:hint="eastAsia" w:ascii="宋体" w:hAnsi="宋体" w:cs="宋体"/>
          <w:b/>
          <w:color w:val="auto"/>
          <w:sz w:val="24"/>
          <w:highlight w:val="none"/>
        </w:rPr>
      </w:pPr>
    </w:p>
    <w:p>
      <w:pPr>
        <w:pStyle w:val="26"/>
        <w:ind w:left="0" w:leftChars="0" w:firstLine="0" w:firstLineChars="0"/>
        <w:rPr>
          <w:rFonts w:hint="eastAsia" w:ascii="宋体" w:hAnsi="宋体" w:cs="宋体"/>
          <w:b/>
          <w:color w:val="auto"/>
          <w:sz w:val="24"/>
          <w:highlight w:val="none"/>
        </w:rPr>
      </w:pPr>
    </w:p>
    <w:p>
      <w:pPr>
        <w:rPr>
          <w:rFonts w:hint="eastAsia"/>
        </w:rPr>
      </w:pPr>
    </w:p>
    <w:p>
      <w:pPr>
        <w:rPr>
          <w:rFonts w:hint="eastAsia"/>
        </w:rPr>
      </w:pPr>
    </w:p>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附 件：</w:t>
      </w:r>
    </w:p>
    <w:p>
      <w:pPr>
        <w:spacing w:line="360" w:lineRule="auto"/>
        <w:jc w:val="center"/>
        <w:outlineLvl w:val="2"/>
        <w:rPr>
          <w:rFonts w:hint="eastAsia" w:asciiTheme="minorEastAsia" w:hAnsiTheme="minorEastAsia" w:eastAsiaTheme="minorEastAsia"/>
          <w:b/>
          <w:color w:val="auto"/>
          <w:sz w:val="24"/>
          <w:highlight w:val="none"/>
        </w:rPr>
      </w:pPr>
    </w:p>
    <w:p>
      <w:pPr>
        <w:pStyle w:val="6"/>
        <w:pageBreakBefore w:val="0"/>
        <w:kinsoku/>
        <w:wordWrap/>
        <w:overflowPunct/>
        <w:topLinePunct w:val="0"/>
        <w:bidi w:val="0"/>
        <w:spacing w:line="240" w:lineRule="auto"/>
        <w:rPr>
          <w:rFonts w:hint="eastAsia"/>
          <w:color w:val="auto"/>
          <w:highlight w:val="none"/>
        </w:rPr>
      </w:pPr>
      <w:r>
        <w:rPr>
          <w:rFonts w:hint="eastAsia"/>
          <w:color w:val="auto"/>
          <w:highlight w:val="none"/>
        </w:rPr>
        <w:t>法定代表人身份证明书</w:t>
      </w:r>
    </w:p>
    <w:p>
      <w:pPr>
        <w:pageBreakBefore w:val="0"/>
        <w:kinsoku/>
        <w:wordWrap/>
        <w:overflowPunct/>
        <w:topLinePunct w:val="0"/>
        <w:bidi w:val="0"/>
        <w:spacing w:before="54" w:beforeLines="20" w:after="54" w:afterLines="20" w:line="240" w:lineRule="auto"/>
        <w:jc w:val="center"/>
        <w:rPr>
          <w:rFonts w:hint="eastAsia" w:ascii="宋体" w:hAnsi="宋体" w:eastAsia="宋体" w:cs="宋体"/>
          <w:b/>
          <w:color w:val="auto"/>
          <w:sz w:val="36"/>
          <w:highlight w:val="none"/>
        </w:rPr>
      </w:pPr>
    </w:p>
    <w:p>
      <w:pPr>
        <w:pageBreakBefore w:val="0"/>
        <w:kinsoku/>
        <w:wordWrap/>
        <w:overflowPunct/>
        <w:topLinePunct w:val="0"/>
        <w:bidi w:val="0"/>
        <w:spacing w:before="54" w:beforeLines="20" w:after="54" w:afterLines="20" w:line="240" w:lineRule="auto"/>
        <w:rPr>
          <w:rFonts w:hint="eastAsia" w:ascii="宋体" w:hAnsi="宋体" w:eastAsia="宋体" w:cs="宋体"/>
          <w:b/>
          <w:color w:val="auto"/>
          <w:highlight w:val="none"/>
        </w:rPr>
      </w:pP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rPr>
        <w:tab/>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系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谈判响应人</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 xml:space="preserve"> 的法定代表人。</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highlight w:val="none"/>
        </w:rPr>
      </w:pPr>
    </w:p>
    <w:p>
      <w:pPr>
        <w:pStyle w:val="3"/>
        <w:pageBreakBefore w:val="0"/>
        <w:kinsoku/>
        <w:wordWrap/>
        <w:overflowPunct/>
        <w:topLinePunct w:val="0"/>
        <w:bidi w:val="0"/>
        <w:spacing w:before="54" w:beforeLines="20" w:after="54" w:afterLines="20" w:line="240" w:lineRule="auto"/>
        <w:ind w:left="0" w:leftChars="0" w:firstLine="240" w:firstLineChars="100"/>
        <w:rPr>
          <w:rFonts w:hint="eastAsia" w:ascii="宋体" w:hAnsi="宋体" w:eastAsia="宋体" w:cs="宋体"/>
          <w:color w:val="auto"/>
          <w:highlight w:val="none"/>
        </w:rPr>
      </w:pPr>
      <w:r>
        <w:rPr>
          <w:rFonts w:hint="eastAsia" w:ascii="宋体" w:hAnsi="宋体" w:eastAsia="宋体" w:cs="宋体"/>
          <w:color w:val="auto"/>
          <w:sz w:val="24"/>
          <w:highlight w:val="none"/>
        </w:rPr>
        <w:t>特此证明。</w:t>
      </w:r>
    </w:p>
    <w:p>
      <w:pPr>
        <w:pageBreakBefore w:val="0"/>
        <w:kinsoku/>
        <w:wordWrap/>
        <w:overflowPunct/>
        <w:topLinePunct w:val="0"/>
        <w:bidi w:val="0"/>
        <w:adjustRightInd w:val="0"/>
        <w:snapToGrid w:val="0"/>
        <w:spacing w:before="62" w:beforeLines="20" w:after="62" w:afterLines="20"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ageBreakBefore w:val="0"/>
        <w:kinsoku/>
        <w:wordWrap/>
        <w:overflowPunct/>
        <w:topLinePunct w:val="0"/>
        <w:bidi w:val="0"/>
        <w:adjustRightInd w:val="0"/>
        <w:snapToGrid w:val="0"/>
        <w:spacing w:before="62" w:beforeLines="20" w:after="62" w:afterLines="20" w:line="240" w:lineRule="auto"/>
        <w:rPr>
          <w:rFonts w:hint="eastAsia" w:ascii="宋体" w:hAnsi="宋体" w:eastAsia="宋体" w:cs="宋体"/>
          <w:color w:val="auto"/>
          <w:sz w:val="24"/>
          <w:highlight w:val="none"/>
          <w:lang w:val="en-US" w:eastAsia="zh-CN"/>
        </w:rPr>
      </w:pPr>
    </w:p>
    <w:p>
      <w:pPr>
        <w:pageBreakBefore w:val="0"/>
        <w:kinsoku/>
        <w:wordWrap/>
        <w:overflowPunct/>
        <w:topLinePunct w:val="0"/>
        <w:bidi w:val="0"/>
        <w:adjustRightInd w:val="0"/>
        <w:snapToGrid w:val="0"/>
        <w:spacing w:before="62" w:beforeLines="20" w:after="62" w:afterLines="2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附：</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二代居民身份证影印件或扫描件</w:t>
      </w:r>
    </w:p>
    <w:p>
      <w:pPr>
        <w:pageBreakBefore w:val="0"/>
        <w:tabs>
          <w:tab w:val="left" w:pos="720"/>
          <w:tab w:val="left" w:pos="900"/>
        </w:tabs>
        <w:kinsoku/>
        <w:wordWrap/>
        <w:overflowPunct/>
        <w:topLinePunct w:val="0"/>
        <w:bidi w:val="0"/>
        <w:spacing w:before="54" w:beforeLines="20" w:after="54" w:afterLines="20" w:line="240" w:lineRule="auto"/>
        <w:rPr>
          <w:rFonts w:hint="eastAsia" w:ascii="宋体" w:hAnsi="宋体" w:eastAsia="宋体" w:cs="宋体"/>
          <w:color w:val="auto"/>
          <w:sz w:val="24"/>
          <w:highlight w:val="none"/>
        </w:rPr>
      </w:pPr>
    </w:p>
    <w:p>
      <w:pPr>
        <w:pageBreakBefore w:val="0"/>
        <w:tabs>
          <w:tab w:val="left" w:pos="720"/>
          <w:tab w:val="left" w:pos="900"/>
        </w:tabs>
        <w:kinsoku/>
        <w:wordWrap/>
        <w:overflowPunct/>
        <w:topLinePunct w:val="0"/>
        <w:bidi w:val="0"/>
        <w:spacing w:before="54" w:beforeLines="20" w:after="54" w:afterLines="20" w:line="240" w:lineRule="auto"/>
        <w:ind w:firstLine="3840" w:firstLineChars="1600"/>
        <w:rPr>
          <w:rFonts w:hint="eastAsia" w:ascii="宋体" w:hAnsi="宋体" w:eastAsia="宋体" w:cs="宋体"/>
          <w:color w:val="auto"/>
          <w:sz w:val="24"/>
          <w:highlight w:val="none"/>
        </w:rPr>
      </w:pPr>
      <w:r>
        <w:rPr>
          <w:rFonts w:hint="eastAsia" w:ascii="宋体" w:hAnsi="宋体" w:cs="宋体"/>
          <w:color w:val="auto"/>
          <w:sz w:val="24"/>
          <w:highlight w:val="none"/>
          <w:lang w:eastAsia="zh-CN"/>
        </w:rPr>
        <w:t>谈判响应人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（盖公章）</w:t>
      </w:r>
    </w:p>
    <w:p>
      <w:pPr>
        <w:pageBreakBefore w:val="0"/>
        <w:kinsoku/>
        <w:wordWrap/>
        <w:overflowPunct/>
        <w:topLinePunct w:val="0"/>
        <w:bidi w:val="0"/>
        <w:spacing w:before="54" w:beforeLines="20" w:after="54" w:afterLines="20" w:line="240" w:lineRule="auto"/>
        <w:ind w:firstLine="3840" w:firstLineChars="1600"/>
        <w:rPr>
          <w:rFonts w:hint="eastAsia" w:ascii="宋体" w:hAnsi="宋体" w:eastAsia="宋体" w:cs="宋体"/>
          <w:b/>
          <w:color w:val="auto"/>
          <w:sz w:val="32"/>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16"/>
        <w:pageBreakBefore w:val="0"/>
        <w:kinsoku/>
        <w:wordWrap/>
        <w:overflowPunct/>
        <w:topLinePunct w:val="0"/>
        <w:bidi w:val="0"/>
        <w:spacing w:line="240" w:lineRule="auto"/>
        <w:jc w:val="center"/>
        <w:rPr>
          <w:rFonts w:hint="eastAsia" w:ascii="宋体" w:hAnsi="宋体" w:eastAsia="宋体" w:cs="宋体"/>
          <w:b/>
          <w:bCs/>
          <w:color w:val="auto"/>
          <w:sz w:val="32"/>
          <w:szCs w:val="32"/>
          <w:highlight w:val="none"/>
        </w:rPr>
      </w:pPr>
    </w:p>
    <w:p>
      <w:pPr>
        <w:spacing w:line="360" w:lineRule="auto"/>
        <w:jc w:val="center"/>
        <w:outlineLvl w:val="2"/>
        <w:rPr>
          <w:rFonts w:hint="eastAsia" w:asciiTheme="minorEastAsia" w:hAnsiTheme="minorEastAsia" w:eastAsiaTheme="minorEastAsia"/>
          <w:b/>
          <w:color w:val="auto"/>
          <w:sz w:val="24"/>
          <w:highlight w:val="none"/>
        </w:rPr>
      </w:pPr>
    </w:p>
    <w:p>
      <w:pPr>
        <w:spacing w:line="360" w:lineRule="auto"/>
        <w:jc w:val="center"/>
        <w:outlineLvl w:val="2"/>
        <w:rPr>
          <w:rFonts w:hint="eastAsia" w:asciiTheme="minorEastAsia" w:hAnsiTheme="minorEastAsia" w:eastAsiaTheme="minorEastAsia"/>
          <w:b/>
          <w:color w:val="auto"/>
          <w:sz w:val="24"/>
          <w:highlight w:val="none"/>
        </w:rPr>
      </w:pPr>
    </w:p>
    <w:p>
      <w:pPr>
        <w:spacing w:line="360" w:lineRule="auto"/>
        <w:jc w:val="center"/>
        <w:outlineLvl w:val="2"/>
        <w:rPr>
          <w:rFonts w:hint="eastAsia" w:asciiTheme="minorEastAsia" w:hAnsiTheme="minorEastAsia" w:eastAsiaTheme="minorEastAsia"/>
          <w:b/>
          <w:color w:val="auto"/>
          <w:sz w:val="24"/>
          <w:highlight w:val="none"/>
        </w:rPr>
      </w:pPr>
    </w:p>
    <w:p>
      <w:pPr>
        <w:pStyle w:val="26"/>
        <w:ind w:left="0" w:leftChars="0" w:firstLine="0" w:firstLineChars="0"/>
        <w:rPr>
          <w:rFonts w:hint="eastAsia"/>
        </w:rPr>
      </w:pPr>
    </w:p>
    <w:p>
      <w:pPr>
        <w:rPr>
          <w:rFonts w:hint="eastAsia"/>
        </w:rPr>
      </w:pPr>
    </w:p>
    <w:p>
      <w:pPr>
        <w:pStyle w:val="26"/>
        <w:rPr>
          <w:rFonts w:hint="eastAsia"/>
        </w:rPr>
      </w:pPr>
    </w:p>
    <w:p>
      <w:pPr>
        <w:rPr>
          <w:rFonts w:hint="eastAsia"/>
        </w:rPr>
      </w:pPr>
    </w:p>
    <w:p>
      <w:pPr>
        <w:pStyle w:val="34"/>
        <w:rPr>
          <w:rFonts w:hint="eastAsia"/>
        </w:rPr>
      </w:pPr>
    </w:p>
    <w:p>
      <w:pPr>
        <w:rPr>
          <w:rFonts w:hint="eastAsia"/>
        </w:rPr>
      </w:pPr>
    </w:p>
    <w:p>
      <w:pPr>
        <w:pStyle w:val="26"/>
        <w:rPr>
          <w:rFonts w:hint="eastAsia"/>
        </w:rPr>
      </w:pPr>
    </w:p>
    <w:p>
      <w:pPr>
        <w:spacing w:line="360" w:lineRule="auto"/>
        <w:jc w:val="center"/>
        <w:outlineLvl w:val="2"/>
        <w:rPr>
          <w:rFonts w:hint="eastAsia" w:asciiTheme="minorEastAsia" w:hAnsiTheme="minorEastAsia" w:eastAsiaTheme="minorEastAsia"/>
          <w:b/>
          <w:color w:val="auto"/>
          <w:sz w:val="24"/>
          <w:highlight w:val="none"/>
        </w:rPr>
      </w:pPr>
    </w:p>
    <w:p>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授权书</w:t>
      </w:r>
    </w:p>
    <w:p>
      <w:pPr>
        <w:pStyle w:val="16"/>
        <w:snapToGrid w:val="0"/>
        <w:spacing w:line="360" w:lineRule="auto"/>
        <w:ind w:firstLine="480" w:firstLineChars="200"/>
        <w:jc w:val="left"/>
        <w:rPr>
          <w:rFonts w:hAnsi="宋体" w:eastAsia="宋体"/>
          <w:color w:val="auto"/>
          <w:sz w:val="24"/>
          <w:szCs w:val="28"/>
          <w:highlight w:val="none"/>
        </w:rPr>
      </w:pPr>
    </w:p>
    <w:p>
      <w:pPr>
        <w:pStyle w:val="16"/>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（供应商授权代表姓名、职务）代表我方参加本项目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6"/>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pPr>
        <w:pStyle w:val="16"/>
        <w:snapToGrid w:val="0"/>
        <w:spacing w:line="360" w:lineRule="auto"/>
        <w:ind w:firstLine="482" w:firstLineChars="200"/>
        <w:jc w:val="left"/>
        <w:rPr>
          <w:rFonts w:hAnsi="宋体" w:eastAsia="宋体"/>
          <w:b/>
          <w:bCs/>
          <w:color w:val="auto"/>
          <w:sz w:val="24"/>
          <w:highlight w:val="none"/>
        </w:rPr>
      </w:pPr>
      <w:r>
        <w:rPr>
          <w:rFonts w:hint="eastAsia" w:hAnsi="宋体" w:eastAsia="宋体"/>
          <w:b/>
          <w:bCs/>
          <w:color w:val="auto"/>
          <w:sz w:val="24"/>
          <w:szCs w:val="28"/>
          <w:highlight w:val="none"/>
        </w:rPr>
        <w:t>授权代表</w:t>
      </w:r>
      <w:r>
        <w:rPr>
          <w:rFonts w:hint="eastAsia" w:hAnsi="宋体" w:eastAsia="宋体"/>
          <w:b/>
          <w:bCs/>
          <w:color w:val="auto"/>
          <w:sz w:val="24"/>
          <w:highlight w:val="none"/>
        </w:rPr>
        <w:t>身份证明扫描件：</w:t>
      </w:r>
    </w:p>
    <w:p>
      <w:pPr>
        <w:pStyle w:val="16"/>
        <w:snapToGrid w:val="0"/>
        <w:spacing w:line="360" w:lineRule="auto"/>
        <w:ind w:firstLine="480" w:firstLineChars="200"/>
        <w:jc w:val="left"/>
        <w:rPr>
          <w:rFonts w:hAnsi="宋体" w:eastAsia="宋体"/>
          <w:color w:val="auto"/>
          <w:sz w:val="24"/>
          <w:highlight w:val="none"/>
        </w:rPr>
      </w:pPr>
    </w:p>
    <w:p>
      <w:pPr>
        <w:pStyle w:val="16"/>
        <w:snapToGrid w:val="0"/>
        <w:spacing w:line="360" w:lineRule="auto"/>
        <w:ind w:firstLine="480" w:firstLineChars="200"/>
        <w:jc w:val="left"/>
        <w:rPr>
          <w:rFonts w:hAnsi="宋体" w:eastAsia="宋体"/>
          <w:color w:val="auto"/>
          <w:sz w:val="24"/>
          <w:highlight w:val="none"/>
        </w:rPr>
      </w:pPr>
    </w:p>
    <w:p>
      <w:pPr>
        <w:pStyle w:val="16"/>
        <w:snapToGrid w:val="0"/>
        <w:spacing w:line="360" w:lineRule="auto"/>
        <w:ind w:firstLine="480" w:firstLineChars="200"/>
        <w:jc w:val="left"/>
        <w:rPr>
          <w:rFonts w:hAnsi="宋体" w:eastAsia="宋体"/>
          <w:color w:val="auto"/>
          <w:sz w:val="24"/>
          <w:highlight w:val="none"/>
        </w:rPr>
      </w:pPr>
    </w:p>
    <w:p>
      <w:pPr>
        <w:pStyle w:val="16"/>
        <w:snapToGrid w:val="0"/>
        <w:spacing w:line="360" w:lineRule="auto"/>
        <w:ind w:firstLine="480" w:firstLineChars="200"/>
        <w:jc w:val="left"/>
        <w:rPr>
          <w:rFonts w:hAnsi="宋体" w:eastAsia="宋体"/>
          <w:color w:val="auto"/>
          <w:sz w:val="24"/>
          <w:highlight w:val="none"/>
        </w:rPr>
      </w:pPr>
    </w:p>
    <w:p>
      <w:pPr>
        <w:pStyle w:val="16"/>
        <w:snapToGrid w:val="0"/>
        <w:spacing w:line="360" w:lineRule="auto"/>
        <w:ind w:firstLine="480" w:firstLineChars="200"/>
        <w:jc w:val="left"/>
        <w:rPr>
          <w:rFonts w:hAnsi="宋体" w:eastAsia="宋体"/>
          <w:color w:val="auto"/>
          <w:sz w:val="24"/>
          <w:highlight w:val="none"/>
        </w:rPr>
      </w:pPr>
    </w:p>
    <w:p>
      <w:pPr>
        <w:pStyle w:val="16"/>
        <w:snapToGrid w:val="0"/>
        <w:spacing w:line="360" w:lineRule="auto"/>
        <w:ind w:firstLine="480" w:firstLineChars="200"/>
        <w:jc w:val="left"/>
        <w:rPr>
          <w:rFonts w:hAnsi="宋体" w:eastAsia="宋体"/>
          <w:color w:val="auto"/>
          <w:sz w:val="24"/>
          <w:highlight w:val="none"/>
        </w:rPr>
      </w:pPr>
    </w:p>
    <w:p>
      <w:pPr>
        <w:pStyle w:val="16"/>
        <w:snapToGrid w:val="0"/>
        <w:spacing w:line="360" w:lineRule="auto"/>
        <w:ind w:firstLine="480" w:firstLineChars="200"/>
        <w:jc w:val="left"/>
        <w:rPr>
          <w:rFonts w:hAnsi="宋体" w:eastAsia="宋体"/>
          <w:color w:val="auto"/>
          <w:sz w:val="24"/>
          <w:highlight w:val="none"/>
        </w:rPr>
      </w:pPr>
    </w:p>
    <w:p>
      <w:pPr>
        <w:pStyle w:val="16"/>
        <w:snapToGrid w:val="0"/>
        <w:spacing w:line="360" w:lineRule="auto"/>
        <w:ind w:firstLine="480" w:firstLineChars="200"/>
        <w:jc w:val="left"/>
        <w:rPr>
          <w:rFonts w:hAnsi="宋体" w:eastAsia="宋体"/>
          <w:color w:val="auto"/>
          <w:sz w:val="24"/>
          <w:highlight w:val="none"/>
        </w:rPr>
      </w:pPr>
    </w:p>
    <w:p>
      <w:pPr>
        <w:pStyle w:val="16"/>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（填写手机号码）</w:t>
      </w:r>
    </w:p>
    <w:p>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pPr>
        <w:spacing w:line="360" w:lineRule="auto"/>
        <w:ind w:firstLine="4800" w:firstLineChars="2000"/>
        <w:rPr>
          <w:rFonts w:ascii="宋体" w:hAnsi="宋体" w:eastAsia="宋体"/>
          <w:bCs/>
          <w:color w:val="auto"/>
          <w:sz w:val="24"/>
          <w:szCs w:val="28"/>
          <w:highlight w:val="none"/>
        </w:rPr>
      </w:pPr>
      <w:r>
        <w:rPr>
          <w:rFonts w:hint="eastAsia" w:ascii="宋体" w:hAnsi="宋体" w:eastAsia="宋体"/>
          <w:bCs/>
          <w:color w:val="auto"/>
          <w:sz w:val="24"/>
          <w:szCs w:val="28"/>
          <w:highlight w:val="none"/>
        </w:rPr>
        <w:t>供应商（盖章）：</w:t>
      </w:r>
      <w:r>
        <w:rPr>
          <w:rFonts w:hint="eastAsia" w:ascii="宋体" w:hAnsi="宋体" w:eastAsia="宋体"/>
          <w:bCs/>
          <w:color w:val="auto"/>
          <w:sz w:val="24"/>
          <w:szCs w:val="28"/>
          <w:highlight w:val="none"/>
          <w:u w:val="single"/>
        </w:rPr>
        <w:t xml:space="preserve">                    </w:t>
      </w:r>
    </w:p>
    <w:p>
      <w:pPr>
        <w:spacing w:line="360" w:lineRule="auto"/>
        <w:ind w:firstLine="5040" w:firstLineChars="2100"/>
        <w:rPr>
          <w:rFonts w:ascii="宋体" w:hAnsi="宋体" w:eastAsia="宋体"/>
          <w:color w:val="auto"/>
          <w:sz w:val="24"/>
          <w:szCs w:val="28"/>
          <w:highlight w:val="none"/>
        </w:rPr>
      </w:pPr>
      <w:r>
        <w:rPr>
          <w:rFonts w:hint="eastAsia" w:ascii="宋体" w:hAnsi="宋体" w:eastAsia="宋体"/>
          <w:color w:val="auto"/>
          <w:sz w:val="24"/>
          <w:szCs w:val="28"/>
          <w:highlight w:val="none"/>
        </w:rPr>
        <w:t xml:space="preserve">日  </w:t>
      </w: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 xml:space="preserve"> 期：</w:t>
      </w:r>
      <w:r>
        <w:rPr>
          <w:rFonts w:hint="eastAsia" w:ascii="宋体" w:hAnsi="宋体" w:eastAsia="宋体"/>
          <w:bCs/>
          <w:color w:val="auto"/>
          <w:sz w:val="24"/>
          <w:szCs w:val="28"/>
          <w:highlight w:val="none"/>
          <w:u w:val="single"/>
        </w:rPr>
        <w:t xml:space="preserve">                    </w:t>
      </w:r>
    </w:p>
    <w:p>
      <w:pPr>
        <w:pStyle w:val="16"/>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pPr>
        <w:pStyle w:val="16"/>
        <w:snapToGrid w:val="0"/>
        <w:spacing w:line="360" w:lineRule="auto"/>
        <w:ind w:firstLine="720" w:firstLineChars="300"/>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pPr>
        <w:wordWrap w:val="0"/>
        <w:spacing w:line="360" w:lineRule="auto"/>
        <w:ind w:right="480" w:firstLine="720" w:firstLineChars="300"/>
        <w:rPr>
          <w:rFonts w:ascii="宋体" w:hAnsi="宋体" w:cs="宋体"/>
          <w:color w:val="auto"/>
          <w:szCs w:val="21"/>
          <w:highlight w:val="none"/>
        </w:rPr>
      </w:pPr>
      <w:r>
        <w:rPr>
          <w:rFonts w:hint="eastAsia" w:hAnsi="宋体" w:eastAsia="宋体"/>
          <w:color w:val="auto"/>
          <w:sz w:val="24"/>
          <w:szCs w:val="28"/>
          <w:highlight w:val="none"/>
        </w:rPr>
        <w:t>2.法定代表人参加谈判的无需提供授权书，</w:t>
      </w:r>
      <w:r>
        <w:rPr>
          <w:rFonts w:hint="eastAsia" w:hAnsi="宋体" w:eastAsia="宋体"/>
          <w:color w:val="auto"/>
          <w:sz w:val="24"/>
          <w:szCs w:val="28"/>
          <w:highlight w:val="none"/>
          <w:lang w:val="en-US" w:eastAsia="zh-CN"/>
        </w:rPr>
        <w:t>仅</w:t>
      </w:r>
      <w:r>
        <w:rPr>
          <w:rFonts w:hint="eastAsia" w:hAnsi="宋体" w:eastAsia="宋体"/>
          <w:color w:val="auto"/>
          <w:sz w:val="24"/>
          <w:szCs w:val="28"/>
          <w:highlight w:val="none"/>
        </w:rPr>
        <w:t>提供身份证明扫描件</w:t>
      </w:r>
      <w:r>
        <w:rPr>
          <w:rFonts w:hint="eastAsia" w:hAnsi="宋体"/>
          <w:color w:val="auto"/>
          <w:sz w:val="24"/>
          <w:szCs w:val="28"/>
          <w:highlight w:val="none"/>
          <w:lang w:val="en-US" w:eastAsia="zh-CN"/>
        </w:rPr>
        <w:t>。</w:t>
      </w:r>
    </w:p>
    <w:p>
      <w:pPr>
        <w:wordWrap w:val="0"/>
        <w:spacing w:line="360" w:lineRule="auto"/>
        <w:ind w:right="480" w:firstLine="420" w:firstLineChars="200"/>
        <w:rPr>
          <w:rFonts w:ascii="宋体" w:hAnsi="宋体" w:cs="宋体"/>
          <w:color w:val="auto"/>
          <w:szCs w:val="21"/>
          <w:highlight w:val="none"/>
        </w:rPr>
      </w:pPr>
    </w:p>
    <w:p>
      <w:pPr>
        <w:wordWrap w:val="0"/>
        <w:spacing w:line="360" w:lineRule="auto"/>
        <w:ind w:right="480" w:firstLine="420" w:firstLineChars="200"/>
        <w:rPr>
          <w:rFonts w:ascii="宋体" w:hAnsi="宋体" w:cs="宋体"/>
          <w:color w:val="auto"/>
          <w:szCs w:val="21"/>
          <w:highlight w:val="none"/>
        </w:rPr>
      </w:pPr>
    </w:p>
    <w:p>
      <w:pPr>
        <w:wordWrap w:val="0"/>
        <w:spacing w:line="360" w:lineRule="auto"/>
        <w:ind w:right="480" w:firstLine="420" w:firstLineChars="200"/>
        <w:rPr>
          <w:rFonts w:ascii="宋体" w:hAnsi="宋体" w:cs="宋体"/>
          <w:color w:val="auto"/>
          <w:szCs w:val="21"/>
          <w:highlight w:val="none"/>
        </w:rPr>
      </w:pPr>
    </w:p>
    <w:p>
      <w:pPr>
        <w:pStyle w:val="2"/>
        <w:rPr>
          <w:rFonts w:ascii="宋体" w:hAnsi="宋体" w:cs="宋体"/>
          <w:color w:val="auto"/>
          <w:szCs w:val="21"/>
          <w:highlight w:val="none"/>
        </w:rPr>
      </w:pPr>
    </w:p>
    <w:p>
      <w:pPr>
        <w:wordWrap w:val="0"/>
        <w:spacing w:line="360" w:lineRule="auto"/>
        <w:ind w:right="480"/>
        <w:rPr>
          <w:rFonts w:ascii="宋体" w:hAnsi="宋体" w:cs="宋体"/>
          <w:color w:val="auto"/>
          <w:szCs w:val="21"/>
          <w:highlight w:val="none"/>
        </w:rPr>
      </w:pPr>
    </w:p>
    <w:p>
      <w:pPr>
        <w:pStyle w:val="5"/>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bookmarkStart w:id="194" w:name="_Toc4190"/>
      <w:bookmarkStart w:id="195" w:name="_Toc12857_WPSOffice_Level1"/>
      <w:bookmarkStart w:id="196" w:name="_Toc208106842"/>
      <w:bookmarkStart w:id="197" w:name="_Toc12851_WPSOffice_Level1"/>
      <w:bookmarkStart w:id="198" w:name="_Toc12770"/>
    </w:p>
    <w:p>
      <w:pPr>
        <w:pStyle w:val="5"/>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五</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施工图设计文件</w:t>
      </w:r>
      <w:bookmarkEnd w:id="194"/>
      <w:bookmarkEnd w:id="195"/>
      <w:bookmarkEnd w:id="196"/>
      <w:bookmarkEnd w:id="197"/>
      <w:bookmarkEnd w:id="198"/>
    </w:p>
    <w:p>
      <w:pPr>
        <w:pStyle w:val="61"/>
        <w:pageBreakBefore w:val="0"/>
        <w:kinsoku/>
        <w:wordWrap/>
        <w:overflowPunct/>
        <w:topLinePunct w:val="0"/>
        <w:bidi w:val="0"/>
        <w:spacing w:beforeAutospacing="0" w:afterAutospacing="0" w:line="24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图纸清单：详见</w:t>
      </w:r>
      <w:r>
        <w:rPr>
          <w:rFonts w:hint="eastAsia" w:hAnsi="宋体" w:cs="宋体"/>
          <w:color w:val="auto"/>
          <w:szCs w:val="24"/>
          <w:highlight w:val="none"/>
          <w:lang w:val="en-US" w:eastAsia="zh-CN"/>
        </w:rPr>
        <w:t>采购</w:t>
      </w:r>
      <w:r>
        <w:rPr>
          <w:rFonts w:hint="eastAsia" w:ascii="宋体" w:hAnsi="宋体" w:eastAsia="宋体" w:cs="宋体"/>
          <w:color w:val="auto"/>
          <w:szCs w:val="24"/>
          <w:highlight w:val="none"/>
        </w:rPr>
        <w:t>人提供的施工图。</w:t>
      </w: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61"/>
        <w:pageBreakBefore w:val="0"/>
        <w:kinsoku/>
        <w:wordWrap/>
        <w:overflowPunct/>
        <w:topLinePunct w:val="0"/>
        <w:bidi w:val="0"/>
        <w:spacing w:beforeAutospacing="0" w:afterAutospacing="0" w:line="240" w:lineRule="auto"/>
        <w:rPr>
          <w:rFonts w:hint="eastAsia" w:ascii="宋体" w:hAnsi="宋体" w:eastAsia="宋体" w:cs="宋体"/>
          <w:b/>
          <w:color w:val="auto"/>
          <w:sz w:val="36"/>
          <w:szCs w:val="36"/>
          <w:highlight w:val="none"/>
        </w:rPr>
      </w:pPr>
      <w:bookmarkStart w:id="199" w:name="_Toc4498"/>
      <w:bookmarkStart w:id="200" w:name="_Toc208106843"/>
    </w:p>
    <w:p>
      <w:pPr>
        <w:pStyle w:val="5"/>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bookmarkStart w:id="201" w:name="_Toc5878"/>
      <w:bookmarkStart w:id="202" w:name="_Toc12343_WPSOffice_Level1"/>
      <w:bookmarkStart w:id="203" w:name="_Toc11895_WPSOffice_Level1"/>
      <w:r>
        <w:rPr>
          <w:rFonts w:hint="eastAsia" w:ascii="宋体" w:hAnsi="宋体" w:eastAsia="宋体" w:cs="宋体"/>
          <w:b/>
          <w:color w:val="auto"/>
          <w:sz w:val="36"/>
          <w:szCs w:val="36"/>
          <w:highlight w:val="none"/>
        </w:rPr>
        <w:t>第</w:t>
      </w: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工程量清单</w:t>
      </w:r>
      <w:bookmarkEnd w:id="199"/>
      <w:bookmarkEnd w:id="201"/>
      <w:bookmarkEnd w:id="202"/>
      <w:bookmarkEnd w:id="203"/>
    </w:p>
    <w:p>
      <w:pPr>
        <w:pStyle w:val="62"/>
        <w:pageBreakBefore w:val="0"/>
        <w:kinsoku/>
        <w:wordWrap/>
        <w:overflowPunct/>
        <w:topLinePunct w:val="0"/>
        <w:bidi w:val="0"/>
        <w:spacing w:beforeAutospacing="0" w:afterAutospacing="0" w:line="240" w:lineRule="auto"/>
        <w:jc w:val="center"/>
        <w:rPr>
          <w:rFonts w:hint="eastAsia" w:ascii="宋体" w:hAnsi="宋体" w:eastAsia="宋体" w:cs="宋体"/>
          <w:color w:val="auto"/>
          <w:highlight w:val="none"/>
          <w:lang w:eastAsia="zh-CN"/>
        </w:rPr>
      </w:pPr>
      <w:bookmarkStart w:id="204" w:name="_Toc7742_WPSOffice_Level1"/>
      <w:bookmarkStart w:id="205" w:name="_Toc20737_WPSOffice_Level1"/>
      <w:r>
        <w:rPr>
          <w:rFonts w:hint="eastAsia" w:ascii="宋体" w:hAnsi="宋体" w:eastAsia="宋体" w:cs="宋体"/>
          <w:color w:val="auto"/>
          <w:highlight w:val="none"/>
          <w:lang w:eastAsia="zh-CN"/>
        </w:rPr>
        <w:t>（另附</w:t>
      </w:r>
      <w:bookmarkEnd w:id="200"/>
      <w:r>
        <w:rPr>
          <w:rFonts w:hint="eastAsia" w:ascii="宋体" w:hAnsi="宋体" w:eastAsia="宋体" w:cs="宋体"/>
          <w:color w:val="auto"/>
          <w:highlight w:val="none"/>
          <w:lang w:eastAsia="zh-CN"/>
        </w:rPr>
        <w:t>）</w:t>
      </w:r>
      <w:bookmarkEnd w:id="204"/>
      <w:bookmarkEnd w:id="205"/>
    </w:p>
    <w:p>
      <w:pPr>
        <w:wordWrap w:val="0"/>
        <w:spacing w:line="360" w:lineRule="auto"/>
        <w:ind w:right="480" w:firstLine="630" w:firstLineChars="300"/>
        <w:rPr>
          <w:rFonts w:hint="eastAsia" w:ascii="宋体" w:hAnsi="宋体" w:cs="宋体"/>
          <w:color w:val="auto"/>
          <w:szCs w:val="21"/>
          <w:highlight w:val="none"/>
        </w:rPr>
      </w:pP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w:t>
                          </w:r>
                          <w:r>
                            <w:rPr>
                              <w:rFonts w:hint="eastAsia"/>
                              <w:sz w:val="18"/>
                              <w:lang w:val="en-US" w:eastAsia="zh-CN"/>
                            </w:rPr>
                            <w:t>59</w:t>
                          </w:r>
                          <w:r>
                            <w:rPr>
                              <w:rFonts w:hint="eastAsia"/>
                              <w:sz w:val="18"/>
                            </w:rPr>
                            <w:t>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w:t>
                    </w:r>
                    <w:r>
                      <w:rPr>
                        <w:rFonts w:hint="eastAsia"/>
                        <w:sz w:val="18"/>
                        <w:lang w:val="en-US" w:eastAsia="zh-CN"/>
                      </w:rPr>
                      <w:t>59</w:t>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0"/>
      <w:rPr>
        <w:rFonts w:hint="default" w:eastAsia="宋体"/>
        <w:szCs w:val="21"/>
        <w:lang w:val="en-US" w:eastAsia="zh-CN"/>
      </w:rPr>
    </w:pPr>
    <w:r>
      <w:rPr>
        <w:rFonts w:hint="eastAsia"/>
        <w:szCs w:val="21"/>
      </w:rPr>
      <w:t xml:space="preserve">                                       </w:t>
    </w:r>
    <w:r>
      <w:rPr>
        <w:rFonts w:hint="eastAsia"/>
        <w:szCs w:val="21"/>
        <w:lang w:eastAsia="zh-CN"/>
      </w:rPr>
      <w:t>安庆职业技术学院纪委谈话室建设工程</w:t>
    </w:r>
    <w:r>
      <w:rPr>
        <w:rFonts w:hint="eastAsia"/>
        <w:szCs w:val="21"/>
        <w:lang w:val="en-US"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8E147"/>
    <w:multiLevelType w:val="singleLevel"/>
    <w:tmpl w:val="39D8E147"/>
    <w:lvl w:ilvl="0" w:tentative="0">
      <w:start w:val="2"/>
      <w:numFmt w:val="chineseCounting"/>
      <w:suff w:val="nothing"/>
      <w:lvlText w:val="%1、"/>
      <w:lvlJc w:val="left"/>
      <w:rPr>
        <w:rFonts w:hint="eastAsia"/>
      </w:rPr>
    </w:lvl>
  </w:abstractNum>
  <w:abstractNum w:abstractNumId="1">
    <w:nsid w:val="41CB7E75"/>
    <w:multiLevelType w:val="singleLevel"/>
    <w:tmpl w:val="41CB7E75"/>
    <w:lvl w:ilvl="0" w:tentative="0">
      <w:start w:val="1"/>
      <w:numFmt w:val="decimal"/>
      <w:lvlText w:val="%1."/>
      <w:lvlJc w:val="left"/>
      <w:pPr>
        <w:tabs>
          <w:tab w:val="left" w:pos="312"/>
        </w:tabs>
      </w:pPr>
    </w:lvl>
  </w:abstractNum>
  <w:abstractNum w:abstractNumId="2">
    <w:nsid w:val="58DE129E"/>
    <w:multiLevelType w:val="singleLevel"/>
    <w:tmpl w:val="58DE129E"/>
    <w:lvl w:ilvl="0" w:tentative="0">
      <w:start w:val="4"/>
      <w:numFmt w:val="chineseCounting"/>
      <w:suff w:val="nothing"/>
      <w:lvlText w:val="%1、"/>
      <w:lvlJc w:val="left"/>
    </w:lvl>
  </w:abstractNum>
  <w:abstractNum w:abstractNumId="3">
    <w:nsid w:val="58FC10EF"/>
    <w:multiLevelType w:val="singleLevel"/>
    <w:tmpl w:val="58FC10EF"/>
    <w:lvl w:ilvl="0" w:tentative="0">
      <w:start w:val="1"/>
      <w:numFmt w:val="decimalEnclosedCircleChinese"/>
      <w:suff w:val="nothing"/>
      <w:lvlText w:val="%1　"/>
      <w:lvlJc w:val="left"/>
      <w:pPr>
        <w:ind w:left="0" w:firstLine="400"/>
      </w:pPr>
      <w:rPr>
        <w:rFonts w:hint="eastAsia"/>
      </w:rPr>
    </w:lvl>
  </w:abstractNum>
  <w:abstractNum w:abstractNumId="4">
    <w:nsid w:val="58FC1119"/>
    <w:multiLevelType w:val="singleLevel"/>
    <w:tmpl w:val="58FC1119"/>
    <w:lvl w:ilvl="0" w:tentative="0">
      <w:start w:val="1"/>
      <w:numFmt w:val="decimalEnclosedCircleChinese"/>
      <w:suff w:val="nothing"/>
      <w:lvlText w:val="%1　"/>
      <w:lvlJc w:val="left"/>
      <w:pPr>
        <w:ind w:left="0" w:firstLine="400"/>
      </w:pPr>
      <w:rPr>
        <w:rFonts w:hint="eastAsia"/>
      </w:rPr>
    </w:lvl>
  </w:abstractNum>
  <w:abstractNum w:abstractNumId="5">
    <w:nsid w:val="590BEEFE"/>
    <w:multiLevelType w:val="singleLevel"/>
    <w:tmpl w:val="590BEEFE"/>
    <w:lvl w:ilvl="0" w:tentative="0">
      <w:start w:val="13"/>
      <w:numFmt w:val="decimal"/>
      <w:suff w:val="nothing"/>
      <w:lvlText w:val="%1、"/>
      <w:lvlJc w:val="left"/>
    </w:lvl>
  </w:abstractNum>
  <w:abstractNum w:abstractNumId="6">
    <w:nsid w:val="72062332"/>
    <w:multiLevelType w:val="singleLevel"/>
    <w:tmpl w:val="72062332"/>
    <w:lvl w:ilvl="0" w:tentative="0">
      <w:start w:val="1"/>
      <w:numFmt w:val="chineseCounting"/>
      <w:suff w:val="space"/>
      <w:lvlText w:val="第%1章"/>
      <w:lvlJc w:val="left"/>
      <w:rPr>
        <w:rFonts w:hint="eastAsia"/>
      </w:rPr>
    </w:lvl>
  </w:abstractNum>
  <w:abstractNum w:abstractNumId="7">
    <w:nsid w:val="72635863"/>
    <w:multiLevelType w:val="singleLevel"/>
    <w:tmpl w:val="72635863"/>
    <w:lvl w:ilvl="0" w:tentative="0">
      <w:start w:val="4"/>
      <w:numFmt w:val="decimal"/>
      <w:suff w:val="nothing"/>
      <w:lvlText w:val="%1、"/>
      <w:lvlJc w:val="left"/>
    </w:lvl>
  </w:abstractNum>
  <w:num w:numId="1">
    <w:abstractNumId w:val="6"/>
  </w:num>
  <w:num w:numId="2">
    <w:abstractNumId w:val="7"/>
  </w:num>
  <w:num w:numId="3">
    <w:abstractNumId w:val="3"/>
  </w:num>
  <w:num w:numId="4">
    <w:abstractNumId w:val="4"/>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OGFiYWIyNWQ1NWNkNzYzMDkwMWQ5OWMxMjM1YmEifQ=="/>
  </w:docVars>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603D"/>
    <w:rsid w:val="0002701D"/>
    <w:rsid w:val="0003013D"/>
    <w:rsid w:val="00031964"/>
    <w:rsid w:val="000319DA"/>
    <w:rsid w:val="000319EE"/>
    <w:rsid w:val="000333D6"/>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70CBB"/>
    <w:rsid w:val="000727F7"/>
    <w:rsid w:val="00073DC2"/>
    <w:rsid w:val="00073DFA"/>
    <w:rsid w:val="0007443D"/>
    <w:rsid w:val="00074E8A"/>
    <w:rsid w:val="00076BB9"/>
    <w:rsid w:val="000776CC"/>
    <w:rsid w:val="0008079C"/>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61D5"/>
    <w:rsid w:val="0009665A"/>
    <w:rsid w:val="000968A3"/>
    <w:rsid w:val="00096958"/>
    <w:rsid w:val="00097945"/>
    <w:rsid w:val="00097DCE"/>
    <w:rsid w:val="000A0289"/>
    <w:rsid w:val="000A03DA"/>
    <w:rsid w:val="000A0E57"/>
    <w:rsid w:val="000A0F30"/>
    <w:rsid w:val="000A3717"/>
    <w:rsid w:val="000A3A67"/>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479"/>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346C"/>
    <w:rsid w:val="000E4988"/>
    <w:rsid w:val="000E517E"/>
    <w:rsid w:val="000E657B"/>
    <w:rsid w:val="000E7179"/>
    <w:rsid w:val="000E7913"/>
    <w:rsid w:val="000F1962"/>
    <w:rsid w:val="000F1ADF"/>
    <w:rsid w:val="000F280E"/>
    <w:rsid w:val="000F2E4F"/>
    <w:rsid w:val="000F38FE"/>
    <w:rsid w:val="000F4F6F"/>
    <w:rsid w:val="000F51A9"/>
    <w:rsid w:val="000F55B6"/>
    <w:rsid w:val="000F5E01"/>
    <w:rsid w:val="000F6EB4"/>
    <w:rsid w:val="000F72A8"/>
    <w:rsid w:val="0010403A"/>
    <w:rsid w:val="001073FE"/>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61C8"/>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4F26"/>
    <w:rsid w:val="00155B7A"/>
    <w:rsid w:val="0015661A"/>
    <w:rsid w:val="00160DD3"/>
    <w:rsid w:val="001650C9"/>
    <w:rsid w:val="001722C1"/>
    <w:rsid w:val="00172A27"/>
    <w:rsid w:val="00172FCE"/>
    <w:rsid w:val="0017392F"/>
    <w:rsid w:val="00174DB7"/>
    <w:rsid w:val="0017554C"/>
    <w:rsid w:val="00176D3D"/>
    <w:rsid w:val="00177B22"/>
    <w:rsid w:val="00180BE2"/>
    <w:rsid w:val="00181AD1"/>
    <w:rsid w:val="00182186"/>
    <w:rsid w:val="00182637"/>
    <w:rsid w:val="0018463C"/>
    <w:rsid w:val="00184E4B"/>
    <w:rsid w:val="00190AA9"/>
    <w:rsid w:val="00190B4B"/>
    <w:rsid w:val="00190C28"/>
    <w:rsid w:val="001922E2"/>
    <w:rsid w:val="00193311"/>
    <w:rsid w:val="00194AA6"/>
    <w:rsid w:val="00194AE3"/>
    <w:rsid w:val="001951BE"/>
    <w:rsid w:val="0019606E"/>
    <w:rsid w:val="00197C1C"/>
    <w:rsid w:val="001A093D"/>
    <w:rsid w:val="001A0AF4"/>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C0361"/>
    <w:rsid w:val="001C1352"/>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675"/>
    <w:rsid w:val="00201B80"/>
    <w:rsid w:val="00201F27"/>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199"/>
    <w:rsid w:val="00230744"/>
    <w:rsid w:val="00231320"/>
    <w:rsid w:val="00231B07"/>
    <w:rsid w:val="002326D3"/>
    <w:rsid w:val="00233012"/>
    <w:rsid w:val="002338F6"/>
    <w:rsid w:val="0023410B"/>
    <w:rsid w:val="002345F1"/>
    <w:rsid w:val="00235BC7"/>
    <w:rsid w:val="00237380"/>
    <w:rsid w:val="00237F01"/>
    <w:rsid w:val="002408E0"/>
    <w:rsid w:val="002425BE"/>
    <w:rsid w:val="002440C0"/>
    <w:rsid w:val="00244DB8"/>
    <w:rsid w:val="002459A4"/>
    <w:rsid w:val="00247C71"/>
    <w:rsid w:val="00247CEA"/>
    <w:rsid w:val="0025135B"/>
    <w:rsid w:val="002539BB"/>
    <w:rsid w:val="00255576"/>
    <w:rsid w:val="00255C1E"/>
    <w:rsid w:val="0025625B"/>
    <w:rsid w:val="00256A21"/>
    <w:rsid w:val="00257A30"/>
    <w:rsid w:val="00260D0E"/>
    <w:rsid w:val="002613B1"/>
    <w:rsid w:val="00261E08"/>
    <w:rsid w:val="00265EB2"/>
    <w:rsid w:val="0026687E"/>
    <w:rsid w:val="00266DCC"/>
    <w:rsid w:val="00270AC3"/>
    <w:rsid w:val="00271174"/>
    <w:rsid w:val="00272358"/>
    <w:rsid w:val="0027263E"/>
    <w:rsid w:val="00272B6E"/>
    <w:rsid w:val="00275943"/>
    <w:rsid w:val="00276566"/>
    <w:rsid w:val="002766F3"/>
    <w:rsid w:val="00276D8D"/>
    <w:rsid w:val="00280759"/>
    <w:rsid w:val="00280852"/>
    <w:rsid w:val="00282F8A"/>
    <w:rsid w:val="00283554"/>
    <w:rsid w:val="002836DF"/>
    <w:rsid w:val="002845ED"/>
    <w:rsid w:val="00286683"/>
    <w:rsid w:val="00286742"/>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C72"/>
    <w:rsid w:val="00316951"/>
    <w:rsid w:val="00316F87"/>
    <w:rsid w:val="003175FC"/>
    <w:rsid w:val="003176F3"/>
    <w:rsid w:val="003178D4"/>
    <w:rsid w:val="00317E42"/>
    <w:rsid w:val="00320D6B"/>
    <w:rsid w:val="00321A54"/>
    <w:rsid w:val="00321F80"/>
    <w:rsid w:val="003229B4"/>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0F12"/>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886"/>
    <w:rsid w:val="003A2A7F"/>
    <w:rsid w:val="003A3ED5"/>
    <w:rsid w:val="003A3F01"/>
    <w:rsid w:val="003A5005"/>
    <w:rsid w:val="003A5C2F"/>
    <w:rsid w:val="003A6E78"/>
    <w:rsid w:val="003B099F"/>
    <w:rsid w:val="003B1083"/>
    <w:rsid w:val="003B1698"/>
    <w:rsid w:val="003B19DA"/>
    <w:rsid w:val="003B2A11"/>
    <w:rsid w:val="003B4548"/>
    <w:rsid w:val="003B47F2"/>
    <w:rsid w:val="003B561C"/>
    <w:rsid w:val="003B67A4"/>
    <w:rsid w:val="003C0512"/>
    <w:rsid w:val="003C0A80"/>
    <w:rsid w:val="003C0CC5"/>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BEF"/>
    <w:rsid w:val="003D3DB8"/>
    <w:rsid w:val="003D572F"/>
    <w:rsid w:val="003D6800"/>
    <w:rsid w:val="003D6CB6"/>
    <w:rsid w:val="003D6CCA"/>
    <w:rsid w:val="003D7269"/>
    <w:rsid w:val="003D758D"/>
    <w:rsid w:val="003D7A28"/>
    <w:rsid w:val="003D7DEF"/>
    <w:rsid w:val="003E0064"/>
    <w:rsid w:val="003E0718"/>
    <w:rsid w:val="003E2AA0"/>
    <w:rsid w:val="003E2FA7"/>
    <w:rsid w:val="003E3548"/>
    <w:rsid w:val="003E6179"/>
    <w:rsid w:val="003E62ED"/>
    <w:rsid w:val="003E71B7"/>
    <w:rsid w:val="003F006A"/>
    <w:rsid w:val="003F1A87"/>
    <w:rsid w:val="003F393F"/>
    <w:rsid w:val="003F3D8A"/>
    <w:rsid w:val="003F455E"/>
    <w:rsid w:val="003F5214"/>
    <w:rsid w:val="003F585F"/>
    <w:rsid w:val="003F7863"/>
    <w:rsid w:val="0040086F"/>
    <w:rsid w:val="00400CBB"/>
    <w:rsid w:val="00400DAB"/>
    <w:rsid w:val="00402A2D"/>
    <w:rsid w:val="00402E6A"/>
    <w:rsid w:val="00403EAD"/>
    <w:rsid w:val="00404D84"/>
    <w:rsid w:val="004059DF"/>
    <w:rsid w:val="00406708"/>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71E9"/>
    <w:rsid w:val="00457437"/>
    <w:rsid w:val="004612AE"/>
    <w:rsid w:val="00462405"/>
    <w:rsid w:val="00462666"/>
    <w:rsid w:val="00462838"/>
    <w:rsid w:val="00462B5A"/>
    <w:rsid w:val="00463218"/>
    <w:rsid w:val="004635A3"/>
    <w:rsid w:val="0046404A"/>
    <w:rsid w:val="00464AD4"/>
    <w:rsid w:val="00464BB2"/>
    <w:rsid w:val="004655A4"/>
    <w:rsid w:val="00466C75"/>
    <w:rsid w:val="00466F5F"/>
    <w:rsid w:val="00470829"/>
    <w:rsid w:val="004717B9"/>
    <w:rsid w:val="00471DFC"/>
    <w:rsid w:val="004724A3"/>
    <w:rsid w:val="0047330F"/>
    <w:rsid w:val="00473846"/>
    <w:rsid w:val="00473B85"/>
    <w:rsid w:val="004754F6"/>
    <w:rsid w:val="00475F53"/>
    <w:rsid w:val="00476FA8"/>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29B4"/>
    <w:rsid w:val="00493072"/>
    <w:rsid w:val="004947C9"/>
    <w:rsid w:val="00494BB8"/>
    <w:rsid w:val="004960B4"/>
    <w:rsid w:val="00496636"/>
    <w:rsid w:val="00496712"/>
    <w:rsid w:val="004A17F3"/>
    <w:rsid w:val="004A2388"/>
    <w:rsid w:val="004A3CD1"/>
    <w:rsid w:val="004A4519"/>
    <w:rsid w:val="004A468C"/>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D109E"/>
    <w:rsid w:val="004D1740"/>
    <w:rsid w:val="004D2935"/>
    <w:rsid w:val="004D2E16"/>
    <w:rsid w:val="004D38F9"/>
    <w:rsid w:val="004D51D6"/>
    <w:rsid w:val="004D5B27"/>
    <w:rsid w:val="004D6D03"/>
    <w:rsid w:val="004E0D4F"/>
    <w:rsid w:val="004E177E"/>
    <w:rsid w:val="004E3F70"/>
    <w:rsid w:val="004E48A9"/>
    <w:rsid w:val="004E67F0"/>
    <w:rsid w:val="004E6A1C"/>
    <w:rsid w:val="004E740F"/>
    <w:rsid w:val="004E7707"/>
    <w:rsid w:val="004F0AF1"/>
    <w:rsid w:val="004F0AF5"/>
    <w:rsid w:val="004F1C57"/>
    <w:rsid w:val="004F21AA"/>
    <w:rsid w:val="004F321C"/>
    <w:rsid w:val="004F357E"/>
    <w:rsid w:val="004F391B"/>
    <w:rsid w:val="004F4C6B"/>
    <w:rsid w:val="004F555F"/>
    <w:rsid w:val="004F5D55"/>
    <w:rsid w:val="004F5D6D"/>
    <w:rsid w:val="004F617B"/>
    <w:rsid w:val="004F62A0"/>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89F"/>
    <w:rsid w:val="00510DE4"/>
    <w:rsid w:val="005126F9"/>
    <w:rsid w:val="00514108"/>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67747"/>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86013"/>
    <w:rsid w:val="00586451"/>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BAC"/>
    <w:rsid w:val="005A6940"/>
    <w:rsid w:val="005A6CB5"/>
    <w:rsid w:val="005A6FB7"/>
    <w:rsid w:val="005A7CD8"/>
    <w:rsid w:val="005B0DDA"/>
    <w:rsid w:val="005B1193"/>
    <w:rsid w:val="005B1F74"/>
    <w:rsid w:val="005B217C"/>
    <w:rsid w:val="005B3E17"/>
    <w:rsid w:val="005B5EAD"/>
    <w:rsid w:val="005B70E6"/>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4C42"/>
    <w:rsid w:val="005D4CBE"/>
    <w:rsid w:val="005D6DB7"/>
    <w:rsid w:val="005D7CDC"/>
    <w:rsid w:val="005E17E9"/>
    <w:rsid w:val="005E3CFF"/>
    <w:rsid w:val="005E3FF1"/>
    <w:rsid w:val="005E4AF7"/>
    <w:rsid w:val="005E4C4D"/>
    <w:rsid w:val="005E4D62"/>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3CE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A78"/>
    <w:rsid w:val="00636EF9"/>
    <w:rsid w:val="00637858"/>
    <w:rsid w:val="00641B1F"/>
    <w:rsid w:val="00641B23"/>
    <w:rsid w:val="00641CA8"/>
    <w:rsid w:val="0064228F"/>
    <w:rsid w:val="00642F00"/>
    <w:rsid w:val="006437A6"/>
    <w:rsid w:val="00643B92"/>
    <w:rsid w:val="00645398"/>
    <w:rsid w:val="00650A19"/>
    <w:rsid w:val="00650CEE"/>
    <w:rsid w:val="00651002"/>
    <w:rsid w:val="00651696"/>
    <w:rsid w:val="00651956"/>
    <w:rsid w:val="006541A1"/>
    <w:rsid w:val="0065461A"/>
    <w:rsid w:val="0065477B"/>
    <w:rsid w:val="006614AF"/>
    <w:rsid w:val="006617FB"/>
    <w:rsid w:val="006633DB"/>
    <w:rsid w:val="006634B3"/>
    <w:rsid w:val="00664042"/>
    <w:rsid w:val="00664628"/>
    <w:rsid w:val="006673F1"/>
    <w:rsid w:val="006714D4"/>
    <w:rsid w:val="0067172F"/>
    <w:rsid w:val="00671FD6"/>
    <w:rsid w:val="0067489E"/>
    <w:rsid w:val="006778B6"/>
    <w:rsid w:val="006816DC"/>
    <w:rsid w:val="00681A1C"/>
    <w:rsid w:val="00682527"/>
    <w:rsid w:val="00682D4F"/>
    <w:rsid w:val="0068346E"/>
    <w:rsid w:val="00685456"/>
    <w:rsid w:val="00686A8C"/>
    <w:rsid w:val="00687B99"/>
    <w:rsid w:val="006930C0"/>
    <w:rsid w:val="0069318A"/>
    <w:rsid w:val="00693A66"/>
    <w:rsid w:val="006950AF"/>
    <w:rsid w:val="00695131"/>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5D3"/>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43"/>
    <w:rsid w:val="006D5BE5"/>
    <w:rsid w:val="006D6069"/>
    <w:rsid w:val="006E1CDE"/>
    <w:rsid w:val="006E392A"/>
    <w:rsid w:val="006E3C35"/>
    <w:rsid w:val="006E615D"/>
    <w:rsid w:val="006E6F15"/>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B92"/>
    <w:rsid w:val="00706002"/>
    <w:rsid w:val="00706A0B"/>
    <w:rsid w:val="007079E1"/>
    <w:rsid w:val="0071210F"/>
    <w:rsid w:val="00712A2E"/>
    <w:rsid w:val="00713338"/>
    <w:rsid w:val="007133A5"/>
    <w:rsid w:val="00714041"/>
    <w:rsid w:val="00715747"/>
    <w:rsid w:val="007167DA"/>
    <w:rsid w:val="00716B32"/>
    <w:rsid w:val="00717429"/>
    <w:rsid w:val="00717EE0"/>
    <w:rsid w:val="00720516"/>
    <w:rsid w:val="00722E6E"/>
    <w:rsid w:val="00723A1B"/>
    <w:rsid w:val="0072634A"/>
    <w:rsid w:val="00726847"/>
    <w:rsid w:val="00726BBF"/>
    <w:rsid w:val="00727B55"/>
    <w:rsid w:val="00727FC5"/>
    <w:rsid w:val="007315BC"/>
    <w:rsid w:val="00732C48"/>
    <w:rsid w:val="00733D41"/>
    <w:rsid w:val="00736D07"/>
    <w:rsid w:val="00737737"/>
    <w:rsid w:val="007378C7"/>
    <w:rsid w:val="007400AD"/>
    <w:rsid w:val="007409EC"/>
    <w:rsid w:val="00740DA4"/>
    <w:rsid w:val="007437E6"/>
    <w:rsid w:val="00743861"/>
    <w:rsid w:val="00743BA2"/>
    <w:rsid w:val="00745278"/>
    <w:rsid w:val="007460E0"/>
    <w:rsid w:val="00747EBF"/>
    <w:rsid w:val="00751178"/>
    <w:rsid w:val="00751D40"/>
    <w:rsid w:val="00753B04"/>
    <w:rsid w:val="00754C10"/>
    <w:rsid w:val="00754FE2"/>
    <w:rsid w:val="00756161"/>
    <w:rsid w:val="0075685F"/>
    <w:rsid w:val="00756AFF"/>
    <w:rsid w:val="0075733E"/>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4797"/>
    <w:rsid w:val="00775755"/>
    <w:rsid w:val="007760C9"/>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0DEE"/>
    <w:rsid w:val="007C11CC"/>
    <w:rsid w:val="007C18ED"/>
    <w:rsid w:val="007C1AF5"/>
    <w:rsid w:val="007C2DE7"/>
    <w:rsid w:val="007C34DB"/>
    <w:rsid w:val="007C4778"/>
    <w:rsid w:val="007C5256"/>
    <w:rsid w:val="007C7979"/>
    <w:rsid w:val="007C7B2B"/>
    <w:rsid w:val="007C7D2C"/>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5F26"/>
    <w:rsid w:val="007D687A"/>
    <w:rsid w:val="007E03DD"/>
    <w:rsid w:val="007E07AF"/>
    <w:rsid w:val="007E16C6"/>
    <w:rsid w:val="007E24DC"/>
    <w:rsid w:val="007E2D91"/>
    <w:rsid w:val="007E3510"/>
    <w:rsid w:val="007E43E9"/>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B5F"/>
    <w:rsid w:val="00803A19"/>
    <w:rsid w:val="00803B86"/>
    <w:rsid w:val="008050CA"/>
    <w:rsid w:val="00805492"/>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0F5B"/>
    <w:rsid w:val="008316CB"/>
    <w:rsid w:val="00834408"/>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3913"/>
    <w:rsid w:val="00895455"/>
    <w:rsid w:val="008A06AC"/>
    <w:rsid w:val="008A0F95"/>
    <w:rsid w:val="008A19D3"/>
    <w:rsid w:val="008A3F23"/>
    <w:rsid w:val="008A490B"/>
    <w:rsid w:val="008A7DE4"/>
    <w:rsid w:val="008B0F63"/>
    <w:rsid w:val="008B1E15"/>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0BE2"/>
    <w:rsid w:val="00922083"/>
    <w:rsid w:val="00922457"/>
    <w:rsid w:val="0092503F"/>
    <w:rsid w:val="00925855"/>
    <w:rsid w:val="00926A14"/>
    <w:rsid w:val="00926E95"/>
    <w:rsid w:val="009278B5"/>
    <w:rsid w:val="009308F4"/>
    <w:rsid w:val="00931E0E"/>
    <w:rsid w:val="00933881"/>
    <w:rsid w:val="00933EA0"/>
    <w:rsid w:val="009357C9"/>
    <w:rsid w:val="009370C2"/>
    <w:rsid w:val="009372FA"/>
    <w:rsid w:val="009413E6"/>
    <w:rsid w:val="00944A12"/>
    <w:rsid w:val="00945087"/>
    <w:rsid w:val="00945321"/>
    <w:rsid w:val="009456F0"/>
    <w:rsid w:val="00946D72"/>
    <w:rsid w:val="00950986"/>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67E38"/>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E27"/>
    <w:rsid w:val="0098533F"/>
    <w:rsid w:val="0098549D"/>
    <w:rsid w:val="00985DAD"/>
    <w:rsid w:val="00990304"/>
    <w:rsid w:val="009913CE"/>
    <w:rsid w:val="00992125"/>
    <w:rsid w:val="0099217C"/>
    <w:rsid w:val="009923E6"/>
    <w:rsid w:val="00992C8D"/>
    <w:rsid w:val="00993972"/>
    <w:rsid w:val="00993DBC"/>
    <w:rsid w:val="00994797"/>
    <w:rsid w:val="00994AD4"/>
    <w:rsid w:val="00996432"/>
    <w:rsid w:val="009968AC"/>
    <w:rsid w:val="00997BC9"/>
    <w:rsid w:val="009A03B1"/>
    <w:rsid w:val="009A03E2"/>
    <w:rsid w:val="009A1D0B"/>
    <w:rsid w:val="009A2022"/>
    <w:rsid w:val="009A363A"/>
    <w:rsid w:val="009A3E50"/>
    <w:rsid w:val="009A5653"/>
    <w:rsid w:val="009A62D5"/>
    <w:rsid w:val="009A6D8F"/>
    <w:rsid w:val="009A724D"/>
    <w:rsid w:val="009B0503"/>
    <w:rsid w:val="009B235F"/>
    <w:rsid w:val="009B374A"/>
    <w:rsid w:val="009B5A0D"/>
    <w:rsid w:val="009B5CC3"/>
    <w:rsid w:val="009C1DDF"/>
    <w:rsid w:val="009C321F"/>
    <w:rsid w:val="009C3C31"/>
    <w:rsid w:val="009C4510"/>
    <w:rsid w:val="009C5140"/>
    <w:rsid w:val="009C57DD"/>
    <w:rsid w:val="009C688A"/>
    <w:rsid w:val="009C6C18"/>
    <w:rsid w:val="009C76D0"/>
    <w:rsid w:val="009D069F"/>
    <w:rsid w:val="009D0F87"/>
    <w:rsid w:val="009D2EFB"/>
    <w:rsid w:val="009D33BC"/>
    <w:rsid w:val="009D4121"/>
    <w:rsid w:val="009D4C76"/>
    <w:rsid w:val="009D520C"/>
    <w:rsid w:val="009D6123"/>
    <w:rsid w:val="009D6ECC"/>
    <w:rsid w:val="009D720A"/>
    <w:rsid w:val="009D7BB7"/>
    <w:rsid w:val="009E1524"/>
    <w:rsid w:val="009E15EC"/>
    <w:rsid w:val="009E2017"/>
    <w:rsid w:val="009E20B6"/>
    <w:rsid w:val="009E2133"/>
    <w:rsid w:val="009E41DC"/>
    <w:rsid w:val="009E4A4E"/>
    <w:rsid w:val="009F161E"/>
    <w:rsid w:val="009F2CEE"/>
    <w:rsid w:val="009F303C"/>
    <w:rsid w:val="009F44B9"/>
    <w:rsid w:val="009F6C7D"/>
    <w:rsid w:val="009F6E60"/>
    <w:rsid w:val="00A02455"/>
    <w:rsid w:val="00A026DB"/>
    <w:rsid w:val="00A02DB2"/>
    <w:rsid w:val="00A04CC2"/>
    <w:rsid w:val="00A04E96"/>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EE6"/>
    <w:rsid w:val="00A222A2"/>
    <w:rsid w:val="00A23D63"/>
    <w:rsid w:val="00A240F4"/>
    <w:rsid w:val="00A2577A"/>
    <w:rsid w:val="00A26B44"/>
    <w:rsid w:val="00A26F4C"/>
    <w:rsid w:val="00A3095E"/>
    <w:rsid w:val="00A32865"/>
    <w:rsid w:val="00A33C62"/>
    <w:rsid w:val="00A362FF"/>
    <w:rsid w:val="00A363AA"/>
    <w:rsid w:val="00A366F0"/>
    <w:rsid w:val="00A36A4B"/>
    <w:rsid w:val="00A36E02"/>
    <w:rsid w:val="00A37148"/>
    <w:rsid w:val="00A372C0"/>
    <w:rsid w:val="00A374A3"/>
    <w:rsid w:val="00A4085C"/>
    <w:rsid w:val="00A423D0"/>
    <w:rsid w:val="00A43D1B"/>
    <w:rsid w:val="00A45963"/>
    <w:rsid w:val="00A51159"/>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81030"/>
    <w:rsid w:val="00A818D7"/>
    <w:rsid w:val="00A81BBC"/>
    <w:rsid w:val="00A83BF2"/>
    <w:rsid w:val="00A84CBE"/>
    <w:rsid w:val="00A854D4"/>
    <w:rsid w:val="00A85741"/>
    <w:rsid w:val="00A86F1B"/>
    <w:rsid w:val="00A87506"/>
    <w:rsid w:val="00A87D3F"/>
    <w:rsid w:val="00A91464"/>
    <w:rsid w:val="00A9249F"/>
    <w:rsid w:val="00A9263B"/>
    <w:rsid w:val="00A92D92"/>
    <w:rsid w:val="00A92EB5"/>
    <w:rsid w:val="00A931BC"/>
    <w:rsid w:val="00A94682"/>
    <w:rsid w:val="00A94988"/>
    <w:rsid w:val="00A95932"/>
    <w:rsid w:val="00AA121E"/>
    <w:rsid w:val="00AA1E9F"/>
    <w:rsid w:val="00AA28B1"/>
    <w:rsid w:val="00AA4361"/>
    <w:rsid w:val="00AA46CC"/>
    <w:rsid w:val="00AA4A4B"/>
    <w:rsid w:val="00AA5983"/>
    <w:rsid w:val="00AA5ED2"/>
    <w:rsid w:val="00AA6045"/>
    <w:rsid w:val="00AA698A"/>
    <w:rsid w:val="00AA7868"/>
    <w:rsid w:val="00AA7A83"/>
    <w:rsid w:val="00AB0265"/>
    <w:rsid w:val="00AB0F7D"/>
    <w:rsid w:val="00AB16FF"/>
    <w:rsid w:val="00AB24EB"/>
    <w:rsid w:val="00AB30C5"/>
    <w:rsid w:val="00AB4F18"/>
    <w:rsid w:val="00AB5469"/>
    <w:rsid w:val="00AB5CE2"/>
    <w:rsid w:val="00AB67A1"/>
    <w:rsid w:val="00AB6B22"/>
    <w:rsid w:val="00AB6E5A"/>
    <w:rsid w:val="00AC0188"/>
    <w:rsid w:val="00AC05D7"/>
    <w:rsid w:val="00AC22C8"/>
    <w:rsid w:val="00AC2FB6"/>
    <w:rsid w:val="00AC35CD"/>
    <w:rsid w:val="00AC3F23"/>
    <w:rsid w:val="00AD1CCE"/>
    <w:rsid w:val="00AD2C9A"/>
    <w:rsid w:val="00AD2ECF"/>
    <w:rsid w:val="00AD4396"/>
    <w:rsid w:val="00AD4FE5"/>
    <w:rsid w:val="00AD57BA"/>
    <w:rsid w:val="00AD7988"/>
    <w:rsid w:val="00AD7FE9"/>
    <w:rsid w:val="00AE217E"/>
    <w:rsid w:val="00AE3993"/>
    <w:rsid w:val="00AE5884"/>
    <w:rsid w:val="00AE7118"/>
    <w:rsid w:val="00AE770F"/>
    <w:rsid w:val="00AF0AF0"/>
    <w:rsid w:val="00AF4487"/>
    <w:rsid w:val="00AF46D2"/>
    <w:rsid w:val="00AF4BE9"/>
    <w:rsid w:val="00B022D4"/>
    <w:rsid w:val="00B038C2"/>
    <w:rsid w:val="00B05455"/>
    <w:rsid w:val="00B054B1"/>
    <w:rsid w:val="00B05692"/>
    <w:rsid w:val="00B0692A"/>
    <w:rsid w:val="00B107FF"/>
    <w:rsid w:val="00B1086A"/>
    <w:rsid w:val="00B10CE4"/>
    <w:rsid w:val="00B11579"/>
    <w:rsid w:val="00B12667"/>
    <w:rsid w:val="00B12954"/>
    <w:rsid w:val="00B13584"/>
    <w:rsid w:val="00B1422B"/>
    <w:rsid w:val="00B142DA"/>
    <w:rsid w:val="00B1578B"/>
    <w:rsid w:val="00B172D3"/>
    <w:rsid w:val="00B20DAF"/>
    <w:rsid w:val="00B21350"/>
    <w:rsid w:val="00B22311"/>
    <w:rsid w:val="00B22B91"/>
    <w:rsid w:val="00B25673"/>
    <w:rsid w:val="00B25BD7"/>
    <w:rsid w:val="00B26894"/>
    <w:rsid w:val="00B26B2F"/>
    <w:rsid w:val="00B26C14"/>
    <w:rsid w:val="00B27087"/>
    <w:rsid w:val="00B27F94"/>
    <w:rsid w:val="00B30D5C"/>
    <w:rsid w:val="00B31FB3"/>
    <w:rsid w:val="00B33F43"/>
    <w:rsid w:val="00B34AA8"/>
    <w:rsid w:val="00B34DB3"/>
    <w:rsid w:val="00B3522C"/>
    <w:rsid w:val="00B36404"/>
    <w:rsid w:val="00B36A7A"/>
    <w:rsid w:val="00B37114"/>
    <w:rsid w:val="00B37F3A"/>
    <w:rsid w:val="00B42124"/>
    <w:rsid w:val="00B43F1C"/>
    <w:rsid w:val="00B44239"/>
    <w:rsid w:val="00B4523B"/>
    <w:rsid w:val="00B45297"/>
    <w:rsid w:val="00B454CD"/>
    <w:rsid w:val="00B45F73"/>
    <w:rsid w:val="00B46A49"/>
    <w:rsid w:val="00B46BAD"/>
    <w:rsid w:val="00B47355"/>
    <w:rsid w:val="00B47606"/>
    <w:rsid w:val="00B47A28"/>
    <w:rsid w:val="00B50366"/>
    <w:rsid w:val="00B512E9"/>
    <w:rsid w:val="00B514E4"/>
    <w:rsid w:val="00B51561"/>
    <w:rsid w:val="00B51A8E"/>
    <w:rsid w:val="00B51B0F"/>
    <w:rsid w:val="00B52962"/>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71944"/>
    <w:rsid w:val="00B73C40"/>
    <w:rsid w:val="00B7409B"/>
    <w:rsid w:val="00B74285"/>
    <w:rsid w:val="00B74637"/>
    <w:rsid w:val="00B74650"/>
    <w:rsid w:val="00B75ADA"/>
    <w:rsid w:val="00B75CD5"/>
    <w:rsid w:val="00B75F44"/>
    <w:rsid w:val="00B76B83"/>
    <w:rsid w:val="00B8018B"/>
    <w:rsid w:val="00B80D77"/>
    <w:rsid w:val="00B80F9D"/>
    <w:rsid w:val="00B84B5E"/>
    <w:rsid w:val="00B84F95"/>
    <w:rsid w:val="00B8502C"/>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1D98"/>
    <w:rsid w:val="00BE2547"/>
    <w:rsid w:val="00BE351E"/>
    <w:rsid w:val="00BE4657"/>
    <w:rsid w:val="00BE4732"/>
    <w:rsid w:val="00BE4A89"/>
    <w:rsid w:val="00BE5879"/>
    <w:rsid w:val="00BE6542"/>
    <w:rsid w:val="00BE6A7E"/>
    <w:rsid w:val="00BE7176"/>
    <w:rsid w:val="00BF06E3"/>
    <w:rsid w:val="00BF0CA2"/>
    <w:rsid w:val="00BF264A"/>
    <w:rsid w:val="00C0056C"/>
    <w:rsid w:val="00C005BF"/>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21753"/>
    <w:rsid w:val="00C21BA3"/>
    <w:rsid w:val="00C2206D"/>
    <w:rsid w:val="00C22230"/>
    <w:rsid w:val="00C2224E"/>
    <w:rsid w:val="00C2310E"/>
    <w:rsid w:val="00C25455"/>
    <w:rsid w:val="00C2581C"/>
    <w:rsid w:val="00C2641B"/>
    <w:rsid w:val="00C265BF"/>
    <w:rsid w:val="00C341A5"/>
    <w:rsid w:val="00C361D7"/>
    <w:rsid w:val="00C36714"/>
    <w:rsid w:val="00C3761B"/>
    <w:rsid w:val="00C4123E"/>
    <w:rsid w:val="00C413BC"/>
    <w:rsid w:val="00C41536"/>
    <w:rsid w:val="00C42100"/>
    <w:rsid w:val="00C4245D"/>
    <w:rsid w:val="00C4413F"/>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0B99"/>
    <w:rsid w:val="00C91E01"/>
    <w:rsid w:val="00C91E77"/>
    <w:rsid w:val="00C92E96"/>
    <w:rsid w:val="00C93028"/>
    <w:rsid w:val="00C9375B"/>
    <w:rsid w:val="00C93A19"/>
    <w:rsid w:val="00C95C56"/>
    <w:rsid w:val="00CA1E64"/>
    <w:rsid w:val="00CA325A"/>
    <w:rsid w:val="00CA3453"/>
    <w:rsid w:val="00CA36B2"/>
    <w:rsid w:val="00CA430A"/>
    <w:rsid w:val="00CA4870"/>
    <w:rsid w:val="00CA4AB4"/>
    <w:rsid w:val="00CA4EA1"/>
    <w:rsid w:val="00CA6BE4"/>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EFF"/>
    <w:rsid w:val="00D1365C"/>
    <w:rsid w:val="00D13E8A"/>
    <w:rsid w:val="00D14F7D"/>
    <w:rsid w:val="00D17162"/>
    <w:rsid w:val="00D17535"/>
    <w:rsid w:val="00D17B30"/>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610F8"/>
    <w:rsid w:val="00D61319"/>
    <w:rsid w:val="00D6186B"/>
    <w:rsid w:val="00D63214"/>
    <w:rsid w:val="00D6344E"/>
    <w:rsid w:val="00D64C88"/>
    <w:rsid w:val="00D676F4"/>
    <w:rsid w:val="00D71EEB"/>
    <w:rsid w:val="00D733DF"/>
    <w:rsid w:val="00D73BCC"/>
    <w:rsid w:val="00D74F64"/>
    <w:rsid w:val="00D76D43"/>
    <w:rsid w:val="00D775E6"/>
    <w:rsid w:val="00D800DD"/>
    <w:rsid w:val="00D8109F"/>
    <w:rsid w:val="00D810B3"/>
    <w:rsid w:val="00D8119D"/>
    <w:rsid w:val="00D81A78"/>
    <w:rsid w:val="00D81B91"/>
    <w:rsid w:val="00D82D96"/>
    <w:rsid w:val="00D8531D"/>
    <w:rsid w:val="00D85595"/>
    <w:rsid w:val="00D86347"/>
    <w:rsid w:val="00D87EF5"/>
    <w:rsid w:val="00D905FB"/>
    <w:rsid w:val="00D90B97"/>
    <w:rsid w:val="00D91D6F"/>
    <w:rsid w:val="00D92BB1"/>
    <w:rsid w:val="00D93F02"/>
    <w:rsid w:val="00D94E84"/>
    <w:rsid w:val="00D955E6"/>
    <w:rsid w:val="00D9581A"/>
    <w:rsid w:val="00D96347"/>
    <w:rsid w:val="00D96B16"/>
    <w:rsid w:val="00D96DB6"/>
    <w:rsid w:val="00D972F7"/>
    <w:rsid w:val="00DA0FB9"/>
    <w:rsid w:val="00DA1AC1"/>
    <w:rsid w:val="00DA2205"/>
    <w:rsid w:val="00DA26A7"/>
    <w:rsid w:val="00DA2A11"/>
    <w:rsid w:val="00DA2E4C"/>
    <w:rsid w:val="00DA3290"/>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DCE"/>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87B"/>
    <w:rsid w:val="00E31A24"/>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84"/>
    <w:rsid w:val="00E413DF"/>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E14"/>
    <w:rsid w:val="00E65F8C"/>
    <w:rsid w:val="00E67F96"/>
    <w:rsid w:val="00E70017"/>
    <w:rsid w:val="00E70513"/>
    <w:rsid w:val="00E70922"/>
    <w:rsid w:val="00E70B42"/>
    <w:rsid w:val="00E70F47"/>
    <w:rsid w:val="00E71792"/>
    <w:rsid w:val="00E71D0C"/>
    <w:rsid w:val="00E7210A"/>
    <w:rsid w:val="00E7233C"/>
    <w:rsid w:val="00E72532"/>
    <w:rsid w:val="00E73D8A"/>
    <w:rsid w:val="00E74964"/>
    <w:rsid w:val="00E74FD7"/>
    <w:rsid w:val="00E75A99"/>
    <w:rsid w:val="00E76253"/>
    <w:rsid w:val="00E762DE"/>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87A29"/>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3E19"/>
    <w:rsid w:val="00EA4962"/>
    <w:rsid w:val="00EA5627"/>
    <w:rsid w:val="00EA599C"/>
    <w:rsid w:val="00EA61A7"/>
    <w:rsid w:val="00EA6426"/>
    <w:rsid w:val="00EA6659"/>
    <w:rsid w:val="00EA7364"/>
    <w:rsid w:val="00EB0A1D"/>
    <w:rsid w:val="00EB1587"/>
    <w:rsid w:val="00EB2862"/>
    <w:rsid w:val="00EB40F7"/>
    <w:rsid w:val="00EB4C07"/>
    <w:rsid w:val="00EB5548"/>
    <w:rsid w:val="00EB555A"/>
    <w:rsid w:val="00EB5EE5"/>
    <w:rsid w:val="00EB70CF"/>
    <w:rsid w:val="00EB7E2A"/>
    <w:rsid w:val="00EC043A"/>
    <w:rsid w:val="00EC0DC3"/>
    <w:rsid w:val="00EC0FC4"/>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638"/>
    <w:rsid w:val="00F10A18"/>
    <w:rsid w:val="00F1146F"/>
    <w:rsid w:val="00F12605"/>
    <w:rsid w:val="00F15231"/>
    <w:rsid w:val="00F16658"/>
    <w:rsid w:val="00F16F72"/>
    <w:rsid w:val="00F17B25"/>
    <w:rsid w:val="00F209B9"/>
    <w:rsid w:val="00F2172D"/>
    <w:rsid w:val="00F221AF"/>
    <w:rsid w:val="00F223FF"/>
    <w:rsid w:val="00F22585"/>
    <w:rsid w:val="00F2277B"/>
    <w:rsid w:val="00F22821"/>
    <w:rsid w:val="00F228A2"/>
    <w:rsid w:val="00F22932"/>
    <w:rsid w:val="00F22C00"/>
    <w:rsid w:val="00F22EF0"/>
    <w:rsid w:val="00F2593C"/>
    <w:rsid w:val="00F26CC8"/>
    <w:rsid w:val="00F271CF"/>
    <w:rsid w:val="00F27DAB"/>
    <w:rsid w:val="00F30F6A"/>
    <w:rsid w:val="00F31D48"/>
    <w:rsid w:val="00F31EE2"/>
    <w:rsid w:val="00F32191"/>
    <w:rsid w:val="00F321C4"/>
    <w:rsid w:val="00F323BA"/>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06F0"/>
    <w:rsid w:val="00F71599"/>
    <w:rsid w:val="00F71E84"/>
    <w:rsid w:val="00F72957"/>
    <w:rsid w:val="00F72CF4"/>
    <w:rsid w:val="00F74C30"/>
    <w:rsid w:val="00F77451"/>
    <w:rsid w:val="00F804AA"/>
    <w:rsid w:val="00F80D22"/>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6CC9"/>
    <w:rsid w:val="00F97950"/>
    <w:rsid w:val="00FA0332"/>
    <w:rsid w:val="00FA1727"/>
    <w:rsid w:val="00FA3259"/>
    <w:rsid w:val="00FA3715"/>
    <w:rsid w:val="00FA39CF"/>
    <w:rsid w:val="00FA4BA2"/>
    <w:rsid w:val="00FA5AB1"/>
    <w:rsid w:val="00FA6042"/>
    <w:rsid w:val="00FA636B"/>
    <w:rsid w:val="00FB31FE"/>
    <w:rsid w:val="00FB5E6C"/>
    <w:rsid w:val="00FB6374"/>
    <w:rsid w:val="00FB6CB4"/>
    <w:rsid w:val="00FB6D76"/>
    <w:rsid w:val="00FB6FD8"/>
    <w:rsid w:val="00FC1314"/>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2A65"/>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817104"/>
    <w:rsid w:val="018A44B4"/>
    <w:rsid w:val="01922DC9"/>
    <w:rsid w:val="019924DC"/>
    <w:rsid w:val="021A1EAD"/>
    <w:rsid w:val="02316790"/>
    <w:rsid w:val="023E4914"/>
    <w:rsid w:val="02606320"/>
    <w:rsid w:val="02734C55"/>
    <w:rsid w:val="02A5704E"/>
    <w:rsid w:val="02E9052A"/>
    <w:rsid w:val="02F10E60"/>
    <w:rsid w:val="031B7577"/>
    <w:rsid w:val="0325572B"/>
    <w:rsid w:val="033514A1"/>
    <w:rsid w:val="03387229"/>
    <w:rsid w:val="03443A6F"/>
    <w:rsid w:val="036D53FC"/>
    <w:rsid w:val="03724537"/>
    <w:rsid w:val="037843E2"/>
    <w:rsid w:val="03851ED2"/>
    <w:rsid w:val="03921105"/>
    <w:rsid w:val="03A96165"/>
    <w:rsid w:val="03F44933"/>
    <w:rsid w:val="03FD69E8"/>
    <w:rsid w:val="04043AA5"/>
    <w:rsid w:val="04147BD2"/>
    <w:rsid w:val="041E7ACD"/>
    <w:rsid w:val="04201B8B"/>
    <w:rsid w:val="04382BE0"/>
    <w:rsid w:val="043E7102"/>
    <w:rsid w:val="044E3D58"/>
    <w:rsid w:val="04525A65"/>
    <w:rsid w:val="045809F5"/>
    <w:rsid w:val="045E7194"/>
    <w:rsid w:val="0477350E"/>
    <w:rsid w:val="048D42C4"/>
    <w:rsid w:val="04A006E1"/>
    <w:rsid w:val="04DD7E80"/>
    <w:rsid w:val="051A65C3"/>
    <w:rsid w:val="051A7075"/>
    <w:rsid w:val="051E77AD"/>
    <w:rsid w:val="052E1C9F"/>
    <w:rsid w:val="0531200C"/>
    <w:rsid w:val="053E109C"/>
    <w:rsid w:val="054C6411"/>
    <w:rsid w:val="05C36CAF"/>
    <w:rsid w:val="05D424B8"/>
    <w:rsid w:val="05E002BE"/>
    <w:rsid w:val="05E35B59"/>
    <w:rsid w:val="06481AD4"/>
    <w:rsid w:val="06521913"/>
    <w:rsid w:val="06567772"/>
    <w:rsid w:val="06805122"/>
    <w:rsid w:val="069353D8"/>
    <w:rsid w:val="06952ADA"/>
    <w:rsid w:val="06D33254"/>
    <w:rsid w:val="06DF7532"/>
    <w:rsid w:val="06F36A08"/>
    <w:rsid w:val="070D2AC1"/>
    <w:rsid w:val="071B4038"/>
    <w:rsid w:val="07422C6F"/>
    <w:rsid w:val="07655DB3"/>
    <w:rsid w:val="07DA0583"/>
    <w:rsid w:val="082B4594"/>
    <w:rsid w:val="0838737A"/>
    <w:rsid w:val="083A1494"/>
    <w:rsid w:val="08444D9F"/>
    <w:rsid w:val="088A4392"/>
    <w:rsid w:val="089935B7"/>
    <w:rsid w:val="08AA4743"/>
    <w:rsid w:val="08D12404"/>
    <w:rsid w:val="08DA0D79"/>
    <w:rsid w:val="08FD5135"/>
    <w:rsid w:val="090B72F2"/>
    <w:rsid w:val="092176E3"/>
    <w:rsid w:val="0927319F"/>
    <w:rsid w:val="092B3141"/>
    <w:rsid w:val="097517AF"/>
    <w:rsid w:val="097A7948"/>
    <w:rsid w:val="098C68F8"/>
    <w:rsid w:val="09AC4724"/>
    <w:rsid w:val="09AD65FB"/>
    <w:rsid w:val="09B87F24"/>
    <w:rsid w:val="09D67C7C"/>
    <w:rsid w:val="09F95F96"/>
    <w:rsid w:val="0A0334B3"/>
    <w:rsid w:val="0A3C1CA7"/>
    <w:rsid w:val="0A461924"/>
    <w:rsid w:val="0A8622D2"/>
    <w:rsid w:val="0A901CC5"/>
    <w:rsid w:val="0A9D73A0"/>
    <w:rsid w:val="0B072024"/>
    <w:rsid w:val="0B0914F5"/>
    <w:rsid w:val="0B0B1A56"/>
    <w:rsid w:val="0B110D86"/>
    <w:rsid w:val="0B1F3FEE"/>
    <w:rsid w:val="0B2916C2"/>
    <w:rsid w:val="0B3C0AEF"/>
    <w:rsid w:val="0B91761E"/>
    <w:rsid w:val="0BCA33E7"/>
    <w:rsid w:val="0BE77B0B"/>
    <w:rsid w:val="0C247165"/>
    <w:rsid w:val="0C83295D"/>
    <w:rsid w:val="0C89471E"/>
    <w:rsid w:val="0C90779F"/>
    <w:rsid w:val="0CAE5CFF"/>
    <w:rsid w:val="0D010BD4"/>
    <w:rsid w:val="0D021218"/>
    <w:rsid w:val="0D367622"/>
    <w:rsid w:val="0D3E4270"/>
    <w:rsid w:val="0D494161"/>
    <w:rsid w:val="0D4F57E4"/>
    <w:rsid w:val="0D5161B1"/>
    <w:rsid w:val="0D6669BD"/>
    <w:rsid w:val="0D86087B"/>
    <w:rsid w:val="0DAF0B93"/>
    <w:rsid w:val="0DC64678"/>
    <w:rsid w:val="0DCB05AE"/>
    <w:rsid w:val="0DF70178"/>
    <w:rsid w:val="0DF94899"/>
    <w:rsid w:val="0DFA1324"/>
    <w:rsid w:val="0E32410D"/>
    <w:rsid w:val="0EA86D69"/>
    <w:rsid w:val="0EB14180"/>
    <w:rsid w:val="0EBC4E69"/>
    <w:rsid w:val="0EDD408A"/>
    <w:rsid w:val="0EF64818"/>
    <w:rsid w:val="0EFB37A0"/>
    <w:rsid w:val="0F19203C"/>
    <w:rsid w:val="0F3D389D"/>
    <w:rsid w:val="0F404032"/>
    <w:rsid w:val="0F434292"/>
    <w:rsid w:val="0F815580"/>
    <w:rsid w:val="0F8236D5"/>
    <w:rsid w:val="0FA65B55"/>
    <w:rsid w:val="0FC55235"/>
    <w:rsid w:val="1009280B"/>
    <w:rsid w:val="100E134E"/>
    <w:rsid w:val="10264018"/>
    <w:rsid w:val="102E38C6"/>
    <w:rsid w:val="1050087E"/>
    <w:rsid w:val="10B2256F"/>
    <w:rsid w:val="10BA1EE9"/>
    <w:rsid w:val="10C17787"/>
    <w:rsid w:val="10C35806"/>
    <w:rsid w:val="10C64A93"/>
    <w:rsid w:val="10DC68D5"/>
    <w:rsid w:val="10EA5A3E"/>
    <w:rsid w:val="10EE7555"/>
    <w:rsid w:val="11200593"/>
    <w:rsid w:val="11803EC2"/>
    <w:rsid w:val="11AC730F"/>
    <w:rsid w:val="11B87A1A"/>
    <w:rsid w:val="11BC1C1F"/>
    <w:rsid w:val="11CF1EF1"/>
    <w:rsid w:val="11D25FAB"/>
    <w:rsid w:val="11EA2CE5"/>
    <w:rsid w:val="12054231"/>
    <w:rsid w:val="12176E9F"/>
    <w:rsid w:val="121A40C0"/>
    <w:rsid w:val="126D2AE8"/>
    <w:rsid w:val="12994AF8"/>
    <w:rsid w:val="12AE6B32"/>
    <w:rsid w:val="12C43EF0"/>
    <w:rsid w:val="12C4475B"/>
    <w:rsid w:val="12D6647C"/>
    <w:rsid w:val="132B46CB"/>
    <w:rsid w:val="1347382D"/>
    <w:rsid w:val="135421F8"/>
    <w:rsid w:val="135B5611"/>
    <w:rsid w:val="13616BDF"/>
    <w:rsid w:val="13753967"/>
    <w:rsid w:val="13A1080A"/>
    <w:rsid w:val="13DF2D80"/>
    <w:rsid w:val="13EB17D3"/>
    <w:rsid w:val="14250128"/>
    <w:rsid w:val="142A4E08"/>
    <w:rsid w:val="146B3973"/>
    <w:rsid w:val="146E0F2A"/>
    <w:rsid w:val="14D8207C"/>
    <w:rsid w:val="14DA386A"/>
    <w:rsid w:val="14E42898"/>
    <w:rsid w:val="14F224D3"/>
    <w:rsid w:val="15073605"/>
    <w:rsid w:val="150A2CD8"/>
    <w:rsid w:val="152A4236"/>
    <w:rsid w:val="15415E8B"/>
    <w:rsid w:val="155807CF"/>
    <w:rsid w:val="15661BA9"/>
    <w:rsid w:val="15786FC5"/>
    <w:rsid w:val="159433EA"/>
    <w:rsid w:val="159C2345"/>
    <w:rsid w:val="15D02A72"/>
    <w:rsid w:val="15FA4347"/>
    <w:rsid w:val="162701DA"/>
    <w:rsid w:val="162B22EC"/>
    <w:rsid w:val="163A3D53"/>
    <w:rsid w:val="16471AB3"/>
    <w:rsid w:val="164C31F0"/>
    <w:rsid w:val="164D4538"/>
    <w:rsid w:val="16785B83"/>
    <w:rsid w:val="16AA643D"/>
    <w:rsid w:val="16C16894"/>
    <w:rsid w:val="16E62698"/>
    <w:rsid w:val="170B2AE0"/>
    <w:rsid w:val="170C2076"/>
    <w:rsid w:val="171347E8"/>
    <w:rsid w:val="171F0553"/>
    <w:rsid w:val="17656EC7"/>
    <w:rsid w:val="1779788B"/>
    <w:rsid w:val="17865E6F"/>
    <w:rsid w:val="178B2FCA"/>
    <w:rsid w:val="17D73777"/>
    <w:rsid w:val="18270E45"/>
    <w:rsid w:val="183A16EE"/>
    <w:rsid w:val="187E0E4E"/>
    <w:rsid w:val="188859CE"/>
    <w:rsid w:val="189F55F4"/>
    <w:rsid w:val="18B259C6"/>
    <w:rsid w:val="18B26000"/>
    <w:rsid w:val="18CB3D8C"/>
    <w:rsid w:val="18F273A6"/>
    <w:rsid w:val="18F635C9"/>
    <w:rsid w:val="192A68C8"/>
    <w:rsid w:val="194F3F2C"/>
    <w:rsid w:val="196E49C7"/>
    <w:rsid w:val="199F5019"/>
    <w:rsid w:val="19DF13F6"/>
    <w:rsid w:val="1A390864"/>
    <w:rsid w:val="1A6A324A"/>
    <w:rsid w:val="1AC77936"/>
    <w:rsid w:val="1ACE1EE7"/>
    <w:rsid w:val="1B06535A"/>
    <w:rsid w:val="1B181533"/>
    <w:rsid w:val="1BA7556B"/>
    <w:rsid w:val="1BBB73C8"/>
    <w:rsid w:val="1BDE1760"/>
    <w:rsid w:val="1C2551E1"/>
    <w:rsid w:val="1C327762"/>
    <w:rsid w:val="1C487351"/>
    <w:rsid w:val="1C4B349A"/>
    <w:rsid w:val="1C656F34"/>
    <w:rsid w:val="1C8713CD"/>
    <w:rsid w:val="1C946602"/>
    <w:rsid w:val="1CA232AC"/>
    <w:rsid w:val="1CCA7376"/>
    <w:rsid w:val="1CDA10B6"/>
    <w:rsid w:val="1D0B7287"/>
    <w:rsid w:val="1D0B7ACC"/>
    <w:rsid w:val="1D0E5817"/>
    <w:rsid w:val="1D56537C"/>
    <w:rsid w:val="1D986D16"/>
    <w:rsid w:val="1D9C119A"/>
    <w:rsid w:val="1DA03128"/>
    <w:rsid w:val="1DA05131"/>
    <w:rsid w:val="1DA635A6"/>
    <w:rsid w:val="1DB25B96"/>
    <w:rsid w:val="1DC52A30"/>
    <w:rsid w:val="1DC65517"/>
    <w:rsid w:val="1DD66520"/>
    <w:rsid w:val="1DE870A5"/>
    <w:rsid w:val="1E16127D"/>
    <w:rsid w:val="1E2A33E0"/>
    <w:rsid w:val="1E465BA2"/>
    <w:rsid w:val="1E5E47E0"/>
    <w:rsid w:val="1E65548D"/>
    <w:rsid w:val="1E6A5CCC"/>
    <w:rsid w:val="1E84689A"/>
    <w:rsid w:val="1F1455C6"/>
    <w:rsid w:val="1F1555E0"/>
    <w:rsid w:val="1F1C71EF"/>
    <w:rsid w:val="1F5472F6"/>
    <w:rsid w:val="1F663A3C"/>
    <w:rsid w:val="1F6718B1"/>
    <w:rsid w:val="1F6E7EA0"/>
    <w:rsid w:val="1F805BBC"/>
    <w:rsid w:val="1FE73C5F"/>
    <w:rsid w:val="1FF877BF"/>
    <w:rsid w:val="202915A2"/>
    <w:rsid w:val="2038536A"/>
    <w:rsid w:val="204539A1"/>
    <w:rsid w:val="207019F5"/>
    <w:rsid w:val="20C505F0"/>
    <w:rsid w:val="20DD7A52"/>
    <w:rsid w:val="21044BE5"/>
    <w:rsid w:val="21087874"/>
    <w:rsid w:val="21346507"/>
    <w:rsid w:val="21435719"/>
    <w:rsid w:val="21457AA6"/>
    <w:rsid w:val="21574B5D"/>
    <w:rsid w:val="217C507E"/>
    <w:rsid w:val="2184057F"/>
    <w:rsid w:val="219C4AB4"/>
    <w:rsid w:val="21A17E89"/>
    <w:rsid w:val="21B76AE0"/>
    <w:rsid w:val="21C0632D"/>
    <w:rsid w:val="22052010"/>
    <w:rsid w:val="223C008F"/>
    <w:rsid w:val="22472B4C"/>
    <w:rsid w:val="22643497"/>
    <w:rsid w:val="22794F14"/>
    <w:rsid w:val="227C0595"/>
    <w:rsid w:val="227F77DE"/>
    <w:rsid w:val="229442B5"/>
    <w:rsid w:val="22C67959"/>
    <w:rsid w:val="22FB0688"/>
    <w:rsid w:val="231C0C23"/>
    <w:rsid w:val="232063A6"/>
    <w:rsid w:val="23635693"/>
    <w:rsid w:val="239F4B3B"/>
    <w:rsid w:val="23A76712"/>
    <w:rsid w:val="23B76FD3"/>
    <w:rsid w:val="23C44AC9"/>
    <w:rsid w:val="23ED7ADD"/>
    <w:rsid w:val="240C6AFA"/>
    <w:rsid w:val="241B694D"/>
    <w:rsid w:val="241E6206"/>
    <w:rsid w:val="24406C2F"/>
    <w:rsid w:val="2448342E"/>
    <w:rsid w:val="24555B1C"/>
    <w:rsid w:val="245C48D7"/>
    <w:rsid w:val="246E108F"/>
    <w:rsid w:val="24A249FE"/>
    <w:rsid w:val="25066EF6"/>
    <w:rsid w:val="2518296A"/>
    <w:rsid w:val="25AD4607"/>
    <w:rsid w:val="25C43E67"/>
    <w:rsid w:val="26066D6F"/>
    <w:rsid w:val="26235A5B"/>
    <w:rsid w:val="262E24B2"/>
    <w:rsid w:val="266E3A91"/>
    <w:rsid w:val="268B284C"/>
    <w:rsid w:val="269372D2"/>
    <w:rsid w:val="26A26BEE"/>
    <w:rsid w:val="26C7367F"/>
    <w:rsid w:val="26CD70F0"/>
    <w:rsid w:val="26FE1742"/>
    <w:rsid w:val="26FF1B22"/>
    <w:rsid w:val="2701248A"/>
    <w:rsid w:val="27015D0E"/>
    <w:rsid w:val="272B4880"/>
    <w:rsid w:val="274F6261"/>
    <w:rsid w:val="277A093D"/>
    <w:rsid w:val="278241BD"/>
    <w:rsid w:val="27971706"/>
    <w:rsid w:val="279767AD"/>
    <w:rsid w:val="280755BB"/>
    <w:rsid w:val="286A4E19"/>
    <w:rsid w:val="286D29E1"/>
    <w:rsid w:val="288714FD"/>
    <w:rsid w:val="28CC3AA7"/>
    <w:rsid w:val="28D318F3"/>
    <w:rsid w:val="28EA436C"/>
    <w:rsid w:val="28FD4AAD"/>
    <w:rsid w:val="29215BA4"/>
    <w:rsid w:val="29660000"/>
    <w:rsid w:val="298A5CBE"/>
    <w:rsid w:val="29A65A1D"/>
    <w:rsid w:val="29AB48DB"/>
    <w:rsid w:val="29AF38AF"/>
    <w:rsid w:val="29B4634A"/>
    <w:rsid w:val="29EA6C76"/>
    <w:rsid w:val="29F10992"/>
    <w:rsid w:val="2A2E1289"/>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245E51"/>
    <w:rsid w:val="2C5174E0"/>
    <w:rsid w:val="2C5618F8"/>
    <w:rsid w:val="2C6A365C"/>
    <w:rsid w:val="2C877A43"/>
    <w:rsid w:val="2C8C0693"/>
    <w:rsid w:val="2C8F59B2"/>
    <w:rsid w:val="2C980D65"/>
    <w:rsid w:val="2CB309B9"/>
    <w:rsid w:val="2CE22AB5"/>
    <w:rsid w:val="2D845825"/>
    <w:rsid w:val="2D9A7120"/>
    <w:rsid w:val="2DB76EE2"/>
    <w:rsid w:val="2DC50F24"/>
    <w:rsid w:val="2DE435D2"/>
    <w:rsid w:val="2DF36570"/>
    <w:rsid w:val="2E126A52"/>
    <w:rsid w:val="2E235B1A"/>
    <w:rsid w:val="2E2D4D5E"/>
    <w:rsid w:val="2E3512B9"/>
    <w:rsid w:val="2E590F73"/>
    <w:rsid w:val="2ECF2A5B"/>
    <w:rsid w:val="2F2D4173"/>
    <w:rsid w:val="2F33765A"/>
    <w:rsid w:val="2F3C308F"/>
    <w:rsid w:val="2F8278DB"/>
    <w:rsid w:val="2F89591E"/>
    <w:rsid w:val="2F9C7A54"/>
    <w:rsid w:val="2F9D6043"/>
    <w:rsid w:val="2FC04163"/>
    <w:rsid w:val="2FD71C09"/>
    <w:rsid w:val="2FEA4531"/>
    <w:rsid w:val="3006129D"/>
    <w:rsid w:val="30603574"/>
    <w:rsid w:val="306A0BCC"/>
    <w:rsid w:val="307A6C32"/>
    <w:rsid w:val="30B5333E"/>
    <w:rsid w:val="30CC1B31"/>
    <w:rsid w:val="30F90549"/>
    <w:rsid w:val="313C614E"/>
    <w:rsid w:val="31505DAD"/>
    <w:rsid w:val="31532F2D"/>
    <w:rsid w:val="318320A8"/>
    <w:rsid w:val="31A40879"/>
    <w:rsid w:val="31C1309B"/>
    <w:rsid w:val="31CD7106"/>
    <w:rsid w:val="31F57EDC"/>
    <w:rsid w:val="320C1BA8"/>
    <w:rsid w:val="324C71C3"/>
    <w:rsid w:val="32612E36"/>
    <w:rsid w:val="32AA5A6C"/>
    <w:rsid w:val="32B56792"/>
    <w:rsid w:val="32BC30EA"/>
    <w:rsid w:val="32C51192"/>
    <w:rsid w:val="32CD43F3"/>
    <w:rsid w:val="32EE7C35"/>
    <w:rsid w:val="332848FF"/>
    <w:rsid w:val="33285C0E"/>
    <w:rsid w:val="33B17700"/>
    <w:rsid w:val="33B33591"/>
    <w:rsid w:val="33C40DAF"/>
    <w:rsid w:val="33CB50F6"/>
    <w:rsid w:val="33EA5773"/>
    <w:rsid w:val="34156596"/>
    <w:rsid w:val="341579FF"/>
    <w:rsid w:val="343B1E3D"/>
    <w:rsid w:val="347B2C27"/>
    <w:rsid w:val="3480762C"/>
    <w:rsid w:val="34A24A03"/>
    <w:rsid w:val="34A71D15"/>
    <w:rsid w:val="34B563E2"/>
    <w:rsid w:val="34C71782"/>
    <w:rsid w:val="34CA2810"/>
    <w:rsid w:val="34DA5691"/>
    <w:rsid w:val="34F73875"/>
    <w:rsid w:val="35033E04"/>
    <w:rsid w:val="350A1874"/>
    <w:rsid w:val="350C4714"/>
    <w:rsid w:val="351A087B"/>
    <w:rsid w:val="35270B41"/>
    <w:rsid w:val="353323D5"/>
    <w:rsid w:val="3588451C"/>
    <w:rsid w:val="35925C72"/>
    <w:rsid w:val="35973F2D"/>
    <w:rsid w:val="35C26DEE"/>
    <w:rsid w:val="35DB73BB"/>
    <w:rsid w:val="360F267E"/>
    <w:rsid w:val="36161CAB"/>
    <w:rsid w:val="365A50BB"/>
    <w:rsid w:val="366E68DA"/>
    <w:rsid w:val="36752935"/>
    <w:rsid w:val="36881F0D"/>
    <w:rsid w:val="36AC0CBB"/>
    <w:rsid w:val="36B22154"/>
    <w:rsid w:val="36C41867"/>
    <w:rsid w:val="36CC24F7"/>
    <w:rsid w:val="370E4C3C"/>
    <w:rsid w:val="371169C8"/>
    <w:rsid w:val="373C3CC0"/>
    <w:rsid w:val="375436D4"/>
    <w:rsid w:val="37545502"/>
    <w:rsid w:val="37855348"/>
    <w:rsid w:val="37C838F6"/>
    <w:rsid w:val="37D4606B"/>
    <w:rsid w:val="37FA4F3B"/>
    <w:rsid w:val="381F5E35"/>
    <w:rsid w:val="383813C8"/>
    <w:rsid w:val="385244BD"/>
    <w:rsid w:val="38623892"/>
    <w:rsid w:val="38650C3E"/>
    <w:rsid w:val="388809BB"/>
    <w:rsid w:val="388A07DC"/>
    <w:rsid w:val="38E431AE"/>
    <w:rsid w:val="38E46DBD"/>
    <w:rsid w:val="38F57B5C"/>
    <w:rsid w:val="38FD2469"/>
    <w:rsid w:val="39334744"/>
    <w:rsid w:val="3948026B"/>
    <w:rsid w:val="3956604D"/>
    <w:rsid w:val="396A3D8D"/>
    <w:rsid w:val="39A1679C"/>
    <w:rsid w:val="39B911F0"/>
    <w:rsid w:val="39F12A70"/>
    <w:rsid w:val="3A132F16"/>
    <w:rsid w:val="3A1B3237"/>
    <w:rsid w:val="3A4F296B"/>
    <w:rsid w:val="3A93517E"/>
    <w:rsid w:val="3AB47634"/>
    <w:rsid w:val="3AFD0FDB"/>
    <w:rsid w:val="3B42434C"/>
    <w:rsid w:val="3B444E20"/>
    <w:rsid w:val="3B4A51A8"/>
    <w:rsid w:val="3B4E14F1"/>
    <w:rsid w:val="3BD0389D"/>
    <w:rsid w:val="3BE55A8F"/>
    <w:rsid w:val="3BF44C1A"/>
    <w:rsid w:val="3C030505"/>
    <w:rsid w:val="3C34574B"/>
    <w:rsid w:val="3C53263C"/>
    <w:rsid w:val="3C5A2D1C"/>
    <w:rsid w:val="3C66656F"/>
    <w:rsid w:val="3C7941AB"/>
    <w:rsid w:val="3CA90CD1"/>
    <w:rsid w:val="3CB37024"/>
    <w:rsid w:val="3CB94393"/>
    <w:rsid w:val="3CE47750"/>
    <w:rsid w:val="3D057F7D"/>
    <w:rsid w:val="3D0976C4"/>
    <w:rsid w:val="3D4752E9"/>
    <w:rsid w:val="3D7E34D1"/>
    <w:rsid w:val="3D8C258A"/>
    <w:rsid w:val="3DA7157D"/>
    <w:rsid w:val="3E0347A6"/>
    <w:rsid w:val="3E37139E"/>
    <w:rsid w:val="3E386E20"/>
    <w:rsid w:val="3E5C5F16"/>
    <w:rsid w:val="3E724A3B"/>
    <w:rsid w:val="3E7E6A1E"/>
    <w:rsid w:val="3EB25655"/>
    <w:rsid w:val="3EC46D9E"/>
    <w:rsid w:val="3F3527DB"/>
    <w:rsid w:val="3F4254CA"/>
    <w:rsid w:val="3F610CAF"/>
    <w:rsid w:val="3F92191C"/>
    <w:rsid w:val="3F9701F0"/>
    <w:rsid w:val="40171B33"/>
    <w:rsid w:val="402F14D9"/>
    <w:rsid w:val="4042437C"/>
    <w:rsid w:val="40437225"/>
    <w:rsid w:val="405F700A"/>
    <w:rsid w:val="40666255"/>
    <w:rsid w:val="40732064"/>
    <w:rsid w:val="40802565"/>
    <w:rsid w:val="40852B71"/>
    <w:rsid w:val="40A56A55"/>
    <w:rsid w:val="40D04F96"/>
    <w:rsid w:val="412F650A"/>
    <w:rsid w:val="414918C0"/>
    <w:rsid w:val="41494484"/>
    <w:rsid w:val="414C38BE"/>
    <w:rsid w:val="4154383A"/>
    <w:rsid w:val="41545192"/>
    <w:rsid w:val="415826D8"/>
    <w:rsid w:val="416815CC"/>
    <w:rsid w:val="416A77B2"/>
    <w:rsid w:val="42092064"/>
    <w:rsid w:val="427E562E"/>
    <w:rsid w:val="42B75EA7"/>
    <w:rsid w:val="42C22B34"/>
    <w:rsid w:val="42C433F4"/>
    <w:rsid w:val="42D45CF5"/>
    <w:rsid w:val="42E6571C"/>
    <w:rsid w:val="42F624A6"/>
    <w:rsid w:val="430A11CA"/>
    <w:rsid w:val="43297F3D"/>
    <w:rsid w:val="434C069A"/>
    <w:rsid w:val="43680DDF"/>
    <w:rsid w:val="43707565"/>
    <w:rsid w:val="43814E59"/>
    <w:rsid w:val="43972F54"/>
    <w:rsid w:val="44066E48"/>
    <w:rsid w:val="4412373D"/>
    <w:rsid w:val="44733DC2"/>
    <w:rsid w:val="44846EF4"/>
    <w:rsid w:val="448B20BD"/>
    <w:rsid w:val="44992624"/>
    <w:rsid w:val="44D00889"/>
    <w:rsid w:val="44D05DF0"/>
    <w:rsid w:val="44DB3186"/>
    <w:rsid w:val="44F11AA7"/>
    <w:rsid w:val="453146CD"/>
    <w:rsid w:val="455A36D4"/>
    <w:rsid w:val="45642733"/>
    <w:rsid w:val="45700EE7"/>
    <w:rsid w:val="45FB5915"/>
    <w:rsid w:val="460C0EC2"/>
    <w:rsid w:val="461D3BE5"/>
    <w:rsid w:val="462875A5"/>
    <w:rsid w:val="462E6C0B"/>
    <w:rsid w:val="46A401F3"/>
    <w:rsid w:val="46D80C9D"/>
    <w:rsid w:val="47077F50"/>
    <w:rsid w:val="475A0EB2"/>
    <w:rsid w:val="475B3E56"/>
    <w:rsid w:val="475E4BEA"/>
    <w:rsid w:val="47766E62"/>
    <w:rsid w:val="479E21BE"/>
    <w:rsid w:val="47CB5980"/>
    <w:rsid w:val="47E7569B"/>
    <w:rsid w:val="488739F0"/>
    <w:rsid w:val="48963A74"/>
    <w:rsid w:val="48BA78DE"/>
    <w:rsid w:val="48C2276C"/>
    <w:rsid w:val="48CA70FD"/>
    <w:rsid w:val="48CB5058"/>
    <w:rsid w:val="48CC2435"/>
    <w:rsid w:val="48D61596"/>
    <w:rsid w:val="48EE2F5E"/>
    <w:rsid w:val="48F01F50"/>
    <w:rsid w:val="490D4C4F"/>
    <w:rsid w:val="490F0FC4"/>
    <w:rsid w:val="496C7593"/>
    <w:rsid w:val="499814CB"/>
    <w:rsid w:val="499C42E2"/>
    <w:rsid w:val="49BD4B24"/>
    <w:rsid w:val="49FA026B"/>
    <w:rsid w:val="49FA3470"/>
    <w:rsid w:val="4A596B7C"/>
    <w:rsid w:val="4A5E3A23"/>
    <w:rsid w:val="4A92373A"/>
    <w:rsid w:val="4AA043AA"/>
    <w:rsid w:val="4ABA51D3"/>
    <w:rsid w:val="4ABD1A49"/>
    <w:rsid w:val="4AD16E3D"/>
    <w:rsid w:val="4B1147B8"/>
    <w:rsid w:val="4B17556D"/>
    <w:rsid w:val="4B46248B"/>
    <w:rsid w:val="4B8D6483"/>
    <w:rsid w:val="4B994F91"/>
    <w:rsid w:val="4B9A216A"/>
    <w:rsid w:val="4B9A6823"/>
    <w:rsid w:val="4BBD33CE"/>
    <w:rsid w:val="4BC75233"/>
    <w:rsid w:val="4C300A90"/>
    <w:rsid w:val="4C5B7BDE"/>
    <w:rsid w:val="4CA94FD5"/>
    <w:rsid w:val="4CAA6DEC"/>
    <w:rsid w:val="4CBB5870"/>
    <w:rsid w:val="4D0E12D1"/>
    <w:rsid w:val="4D291727"/>
    <w:rsid w:val="4D2A6786"/>
    <w:rsid w:val="4D3913B2"/>
    <w:rsid w:val="4D681C3A"/>
    <w:rsid w:val="4D976B7C"/>
    <w:rsid w:val="4DAA76F7"/>
    <w:rsid w:val="4DBE1C1A"/>
    <w:rsid w:val="4DEF06D0"/>
    <w:rsid w:val="4DFF0486"/>
    <w:rsid w:val="4DFF3300"/>
    <w:rsid w:val="4E0C0B2F"/>
    <w:rsid w:val="4E782B81"/>
    <w:rsid w:val="4E9B293C"/>
    <w:rsid w:val="4EC773FC"/>
    <w:rsid w:val="4EC877D1"/>
    <w:rsid w:val="4F203DE0"/>
    <w:rsid w:val="4F666E1D"/>
    <w:rsid w:val="4F72431F"/>
    <w:rsid w:val="4FA90FFB"/>
    <w:rsid w:val="4FAF35F3"/>
    <w:rsid w:val="4FBE780A"/>
    <w:rsid w:val="4FF442B8"/>
    <w:rsid w:val="4FF74036"/>
    <w:rsid w:val="5023371B"/>
    <w:rsid w:val="503A7D50"/>
    <w:rsid w:val="503C6F71"/>
    <w:rsid w:val="5040716D"/>
    <w:rsid w:val="50573EE0"/>
    <w:rsid w:val="505828A7"/>
    <w:rsid w:val="505F35F2"/>
    <w:rsid w:val="50687EE1"/>
    <w:rsid w:val="507C5075"/>
    <w:rsid w:val="50825ABD"/>
    <w:rsid w:val="50847E24"/>
    <w:rsid w:val="508A29C2"/>
    <w:rsid w:val="508B2042"/>
    <w:rsid w:val="50A117D4"/>
    <w:rsid w:val="50DC48AF"/>
    <w:rsid w:val="50F1625A"/>
    <w:rsid w:val="51177753"/>
    <w:rsid w:val="5124215A"/>
    <w:rsid w:val="51320B4E"/>
    <w:rsid w:val="51393E3E"/>
    <w:rsid w:val="517806BF"/>
    <w:rsid w:val="519B7926"/>
    <w:rsid w:val="51A776F8"/>
    <w:rsid w:val="51B15013"/>
    <w:rsid w:val="51DD77F4"/>
    <w:rsid w:val="51E62428"/>
    <w:rsid w:val="51EB2ED7"/>
    <w:rsid w:val="5222697F"/>
    <w:rsid w:val="527375B5"/>
    <w:rsid w:val="52D93B7C"/>
    <w:rsid w:val="52E0721B"/>
    <w:rsid w:val="52E7467F"/>
    <w:rsid w:val="530379C0"/>
    <w:rsid w:val="5318224A"/>
    <w:rsid w:val="53211D72"/>
    <w:rsid w:val="5334399F"/>
    <w:rsid w:val="533A3138"/>
    <w:rsid w:val="537D1372"/>
    <w:rsid w:val="53947E65"/>
    <w:rsid w:val="53DF7403"/>
    <w:rsid w:val="53EF595B"/>
    <w:rsid w:val="53FF22C9"/>
    <w:rsid w:val="54087AB6"/>
    <w:rsid w:val="54124691"/>
    <w:rsid w:val="541B0235"/>
    <w:rsid w:val="544773CB"/>
    <w:rsid w:val="544E4D2A"/>
    <w:rsid w:val="544F3AEC"/>
    <w:rsid w:val="54596E63"/>
    <w:rsid w:val="54A52B04"/>
    <w:rsid w:val="55061C05"/>
    <w:rsid w:val="550D4C7E"/>
    <w:rsid w:val="55361973"/>
    <w:rsid w:val="55826059"/>
    <w:rsid w:val="55B577AC"/>
    <w:rsid w:val="55B840E3"/>
    <w:rsid w:val="55C14ADB"/>
    <w:rsid w:val="55DB4169"/>
    <w:rsid w:val="56021E2A"/>
    <w:rsid w:val="560A0CCC"/>
    <w:rsid w:val="560A7BA7"/>
    <w:rsid w:val="561E24B4"/>
    <w:rsid w:val="567233E3"/>
    <w:rsid w:val="56813D12"/>
    <w:rsid w:val="56A5375B"/>
    <w:rsid w:val="56D53EDE"/>
    <w:rsid w:val="56FE0584"/>
    <w:rsid w:val="571050A0"/>
    <w:rsid w:val="57130414"/>
    <w:rsid w:val="57142E61"/>
    <w:rsid w:val="573B17CB"/>
    <w:rsid w:val="573D4E87"/>
    <w:rsid w:val="575C0490"/>
    <w:rsid w:val="5781514F"/>
    <w:rsid w:val="578D15B1"/>
    <w:rsid w:val="57A25E51"/>
    <w:rsid w:val="57E45843"/>
    <w:rsid w:val="57F77A99"/>
    <w:rsid w:val="58036FF1"/>
    <w:rsid w:val="58170CF2"/>
    <w:rsid w:val="581F31B7"/>
    <w:rsid w:val="585B2F03"/>
    <w:rsid w:val="58803767"/>
    <w:rsid w:val="58807951"/>
    <w:rsid w:val="58C75220"/>
    <w:rsid w:val="58DF4006"/>
    <w:rsid w:val="591D14AE"/>
    <w:rsid w:val="591F64C4"/>
    <w:rsid w:val="59272B65"/>
    <w:rsid w:val="59284BD5"/>
    <w:rsid w:val="593928F1"/>
    <w:rsid w:val="593C58BE"/>
    <w:rsid w:val="59516EFA"/>
    <w:rsid w:val="596E2614"/>
    <w:rsid w:val="598401D4"/>
    <w:rsid w:val="59847F15"/>
    <w:rsid w:val="59905670"/>
    <w:rsid w:val="59B30F36"/>
    <w:rsid w:val="59E35308"/>
    <w:rsid w:val="59F15498"/>
    <w:rsid w:val="5A151319"/>
    <w:rsid w:val="5A577D3A"/>
    <w:rsid w:val="5A7E4921"/>
    <w:rsid w:val="5A8A3DB1"/>
    <w:rsid w:val="5A972372"/>
    <w:rsid w:val="5AA9184E"/>
    <w:rsid w:val="5AD433FA"/>
    <w:rsid w:val="5ADA6868"/>
    <w:rsid w:val="5ADC5520"/>
    <w:rsid w:val="5AE31628"/>
    <w:rsid w:val="5B1B7F7F"/>
    <w:rsid w:val="5B2F4554"/>
    <w:rsid w:val="5B747B40"/>
    <w:rsid w:val="5BA3302A"/>
    <w:rsid w:val="5BC85BF2"/>
    <w:rsid w:val="5BD15CD7"/>
    <w:rsid w:val="5BD62506"/>
    <w:rsid w:val="5C135752"/>
    <w:rsid w:val="5C281CBF"/>
    <w:rsid w:val="5C375F97"/>
    <w:rsid w:val="5C3F2313"/>
    <w:rsid w:val="5C7736FE"/>
    <w:rsid w:val="5C7F704A"/>
    <w:rsid w:val="5CA37B10"/>
    <w:rsid w:val="5CA7655A"/>
    <w:rsid w:val="5CB43429"/>
    <w:rsid w:val="5CD003EE"/>
    <w:rsid w:val="5CDB0255"/>
    <w:rsid w:val="5CED0783"/>
    <w:rsid w:val="5D0040C4"/>
    <w:rsid w:val="5D1B5705"/>
    <w:rsid w:val="5D3868D0"/>
    <w:rsid w:val="5D3D5F84"/>
    <w:rsid w:val="5D464C29"/>
    <w:rsid w:val="5D72396D"/>
    <w:rsid w:val="5D771884"/>
    <w:rsid w:val="5D96394F"/>
    <w:rsid w:val="5DA55C64"/>
    <w:rsid w:val="5DCB4D4D"/>
    <w:rsid w:val="5DCC1CA1"/>
    <w:rsid w:val="5DF6043F"/>
    <w:rsid w:val="5DFE13F7"/>
    <w:rsid w:val="5E0A56D8"/>
    <w:rsid w:val="5E1E33A9"/>
    <w:rsid w:val="5E230800"/>
    <w:rsid w:val="5E271CE1"/>
    <w:rsid w:val="5E3B3CA9"/>
    <w:rsid w:val="5E53162C"/>
    <w:rsid w:val="5E796340"/>
    <w:rsid w:val="5E846162"/>
    <w:rsid w:val="5E8B7991"/>
    <w:rsid w:val="5E900E5B"/>
    <w:rsid w:val="5EE2429E"/>
    <w:rsid w:val="5EF0258F"/>
    <w:rsid w:val="5F103D27"/>
    <w:rsid w:val="5F3B0DB5"/>
    <w:rsid w:val="5F726E86"/>
    <w:rsid w:val="5F88394B"/>
    <w:rsid w:val="5F8A6E4E"/>
    <w:rsid w:val="5F924DC1"/>
    <w:rsid w:val="5FB95257"/>
    <w:rsid w:val="5FD93159"/>
    <w:rsid w:val="5FE837F5"/>
    <w:rsid w:val="5FF6617D"/>
    <w:rsid w:val="5FFE2592"/>
    <w:rsid w:val="60327F21"/>
    <w:rsid w:val="60390A05"/>
    <w:rsid w:val="604134CD"/>
    <w:rsid w:val="606335BA"/>
    <w:rsid w:val="60BC2341"/>
    <w:rsid w:val="60C56DFE"/>
    <w:rsid w:val="60C83182"/>
    <w:rsid w:val="60CF2FFA"/>
    <w:rsid w:val="60DB75D3"/>
    <w:rsid w:val="61100481"/>
    <w:rsid w:val="61457D85"/>
    <w:rsid w:val="616E72DC"/>
    <w:rsid w:val="618668C8"/>
    <w:rsid w:val="61B13F9A"/>
    <w:rsid w:val="61BC05B0"/>
    <w:rsid w:val="61C872D6"/>
    <w:rsid w:val="62007B87"/>
    <w:rsid w:val="62143F95"/>
    <w:rsid w:val="624334E4"/>
    <w:rsid w:val="62495FF9"/>
    <w:rsid w:val="626B4E79"/>
    <w:rsid w:val="627D15E7"/>
    <w:rsid w:val="62851CDD"/>
    <w:rsid w:val="62A71108"/>
    <w:rsid w:val="62B12EE3"/>
    <w:rsid w:val="62C24D52"/>
    <w:rsid w:val="62C872A0"/>
    <w:rsid w:val="632623AE"/>
    <w:rsid w:val="6334467B"/>
    <w:rsid w:val="634B6A33"/>
    <w:rsid w:val="63537050"/>
    <w:rsid w:val="6366073D"/>
    <w:rsid w:val="637451BA"/>
    <w:rsid w:val="63856835"/>
    <w:rsid w:val="638C7095"/>
    <w:rsid w:val="63992E61"/>
    <w:rsid w:val="63B82294"/>
    <w:rsid w:val="643B2432"/>
    <w:rsid w:val="64481CC9"/>
    <w:rsid w:val="646D20EB"/>
    <w:rsid w:val="64741983"/>
    <w:rsid w:val="64752758"/>
    <w:rsid w:val="648264B3"/>
    <w:rsid w:val="64AE313F"/>
    <w:rsid w:val="64B74F47"/>
    <w:rsid w:val="64EB5CA0"/>
    <w:rsid w:val="64F91C54"/>
    <w:rsid w:val="64FD7B45"/>
    <w:rsid w:val="65031CD1"/>
    <w:rsid w:val="650352E9"/>
    <w:rsid w:val="65053E1E"/>
    <w:rsid w:val="65054FBD"/>
    <w:rsid w:val="650B73ED"/>
    <w:rsid w:val="651B4FDF"/>
    <w:rsid w:val="65420171"/>
    <w:rsid w:val="65526949"/>
    <w:rsid w:val="65D5075D"/>
    <w:rsid w:val="65FC49E9"/>
    <w:rsid w:val="662A0A38"/>
    <w:rsid w:val="66393BC8"/>
    <w:rsid w:val="66486107"/>
    <w:rsid w:val="66494234"/>
    <w:rsid w:val="665011DF"/>
    <w:rsid w:val="6684029B"/>
    <w:rsid w:val="669A7F65"/>
    <w:rsid w:val="66A70E85"/>
    <w:rsid w:val="66B35A7A"/>
    <w:rsid w:val="66D76328"/>
    <w:rsid w:val="66E50D0E"/>
    <w:rsid w:val="66EC2A81"/>
    <w:rsid w:val="671104FD"/>
    <w:rsid w:val="67247A5C"/>
    <w:rsid w:val="672B1A53"/>
    <w:rsid w:val="672D3086"/>
    <w:rsid w:val="6736338C"/>
    <w:rsid w:val="673F6897"/>
    <w:rsid w:val="67C30AB2"/>
    <w:rsid w:val="680C0D40"/>
    <w:rsid w:val="682F10B1"/>
    <w:rsid w:val="68946DA9"/>
    <w:rsid w:val="68E77426"/>
    <w:rsid w:val="69036813"/>
    <w:rsid w:val="691C697F"/>
    <w:rsid w:val="693A0334"/>
    <w:rsid w:val="694A0DBA"/>
    <w:rsid w:val="69836008"/>
    <w:rsid w:val="69841C93"/>
    <w:rsid w:val="69892653"/>
    <w:rsid w:val="69AA0979"/>
    <w:rsid w:val="69CC7479"/>
    <w:rsid w:val="69E43C45"/>
    <w:rsid w:val="69EC00E8"/>
    <w:rsid w:val="69F5715D"/>
    <w:rsid w:val="6A270136"/>
    <w:rsid w:val="6A5128E7"/>
    <w:rsid w:val="6A555782"/>
    <w:rsid w:val="6A617017"/>
    <w:rsid w:val="6A62085F"/>
    <w:rsid w:val="6A897109"/>
    <w:rsid w:val="6A9F20FF"/>
    <w:rsid w:val="6AC04C83"/>
    <w:rsid w:val="6AEF0C5E"/>
    <w:rsid w:val="6AEF7DBC"/>
    <w:rsid w:val="6B0B7C00"/>
    <w:rsid w:val="6B31046B"/>
    <w:rsid w:val="6B400911"/>
    <w:rsid w:val="6B41632D"/>
    <w:rsid w:val="6BA0669E"/>
    <w:rsid w:val="6BC067D9"/>
    <w:rsid w:val="6BCB6198"/>
    <w:rsid w:val="6C1908AC"/>
    <w:rsid w:val="6C2D5854"/>
    <w:rsid w:val="6C496C32"/>
    <w:rsid w:val="6C5613D2"/>
    <w:rsid w:val="6C6D2D0D"/>
    <w:rsid w:val="6C7453DE"/>
    <w:rsid w:val="6C855301"/>
    <w:rsid w:val="6C9A195A"/>
    <w:rsid w:val="6CAE46BC"/>
    <w:rsid w:val="6CBC13F4"/>
    <w:rsid w:val="6CD25BDE"/>
    <w:rsid w:val="6D016666"/>
    <w:rsid w:val="6D1F041D"/>
    <w:rsid w:val="6D4C79DE"/>
    <w:rsid w:val="6D7517F5"/>
    <w:rsid w:val="6D7D649C"/>
    <w:rsid w:val="6D8650A8"/>
    <w:rsid w:val="6DA97C2D"/>
    <w:rsid w:val="6DEA4CFF"/>
    <w:rsid w:val="6DF767A3"/>
    <w:rsid w:val="6E000787"/>
    <w:rsid w:val="6E091096"/>
    <w:rsid w:val="6E4352D1"/>
    <w:rsid w:val="6E737441"/>
    <w:rsid w:val="6EAC4E06"/>
    <w:rsid w:val="6EBC030F"/>
    <w:rsid w:val="6EE23E2C"/>
    <w:rsid w:val="6EE7690C"/>
    <w:rsid w:val="6F2F55F5"/>
    <w:rsid w:val="6F64004E"/>
    <w:rsid w:val="6F7408A0"/>
    <w:rsid w:val="6F8128E6"/>
    <w:rsid w:val="6F833ED3"/>
    <w:rsid w:val="6F9016E1"/>
    <w:rsid w:val="6F99713D"/>
    <w:rsid w:val="6FE31E38"/>
    <w:rsid w:val="700B69B6"/>
    <w:rsid w:val="7016717C"/>
    <w:rsid w:val="701F46BD"/>
    <w:rsid w:val="703B5A47"/>
    <w:rsid w:val="70486769"/>
    <w:rsid w:val="704F6C8A"/>
    <w:rsid w:val="70512CBB"/>
    <w:rsid w:val="70B7737C"/>
    <w:rsid w:val="70D06298"/>
    <w:rsid w:val="70D37054"/>
    <w:rsid w:val="70EF1523"/>
    <w:rsid w:val="71263532"/>
    <w:rsid w:val="713B4FE8"/>
    <w:rsid w:val="715E134C"/>
    <w:rsid w:val="717B509D"/>
    <w:rsid w:val="71AA6968"/>
    <w:rsid w:val="71B945C1"/>
    <w:rsid w:val="71FB33D5"/>
    <w:rsid w:val="72085F0E"/>
    <w:rsid w:val="7248108B"/>
    <w:rsid w:val="724A05E8"/>
    <w:rsid w:val="724D54DA"/>
    <w:rsid w:val="725D2D53"/>
    <w:rsid w:val="7271425C"/>
    <w:rsid w:val="72811853"/>
    <w:rsid w:val="72BC0523"/>
    <w:rsid w:val="72CC6E0D"/>
    <w:rsid w:val="72D37019"/>
    <w:rsid w:val="73524917"/>
    <w:rsid w:val="738C1DEC"/>
    <w:rsid w:val="738E0A22"/>
    <w:rsid w:val="73A141CA"/>
    <w:rsid w:val="73C06BB7"/>
    <w:rsid w:val="73CD5085"/>
    <w:rsid w:val="73FD0B65"/>
    <w:rsid w:val="741065A6"/>
    <w:rsid w:val="74261C2A"/>
    <w:rsid w:val="743E4FDA"/>
    <w:rsid w:val="74454306"/>
    <w:rsid w:val="744C584A"/>
    <w:rsid w:val="745D14B7"/>
    <w:rsid w:val="747A2DD6"/>
    <w:rsid w:val="74824798"/>
    <w:rsid w:val="74BE1A94"/>
    <w:rsid w:val="74C8746B"/>
    <w:rsid w:val="74EF4CAE"/>
    <w:rsid w:val="7502185A"/>
    <w:rsid w:val="751F5A9C"/>
    <w:rsid w:val="754B3328"/>
    <w:rsid w:val="7553092D"/>
    <w:rsid w:val="755B7EA8"/>
    <w:rsid w:val="75601EFD"/>
    <w:rsid w:val="757D0F1B"/>
    <w:rsid w:val="75811E08"/>
    <w:rsid w:val="7595642F"/>
    <w:rsid w:val="75CB4246"/>
    <w:rsid w:val="76075D1D"/>
    <w:rsid w:val="76142E7D"/>
    <w:rsid w:val="763B7A74"/>
    <w:rsid w:val="763F7F9F"/>
    <w:rsid w:val="76495049"/>
    <w:rsid w:val="769F52A1"/>
    <w:rsid w:val="76EE55AC"/>
    <w:rsid w:val="76F220C7"/>
    <w:rsid w:val="772671D2"/>
    <w:rsid w:val="77405661"/>
    <w:rsid w:val="77440E21"/>
    <w:rsid w:val="776F6CAD"/>
    <w:rsid w:val="779F79D2"/>
    <w:rsid w:val="77A3443A"/>
    <w:rsid w:val="77AE4C12"/>
    <w:rsid w:val="78101952"/>
    <w:rsid w:val="78121F2E"/>
    <w:rsid w:val="78344EE6"/>
    <w:rsid w:val="783A61D4"/>
    <w:rsid w:val="7844255D"/>
    <w:rsid w:val="78444A87"/>
    <w:rsid w:val="784721A0"/>
    <w:rsid w:val="7885742D"/>
    <w:rsid w:val="78972FCD"/>
    <w:rsid w:val="78B54A54"/>
    <w:rsid w:val="78D90277"/>
    <w:rsid w:val="78F66B43"/>
    <w:rsid w:val="7907149F"/>
    <w:rsid w:val="792E5ADB"/>
    <w:rsid w:val="793A736F"/>
    <w:rsid w:val="795A6E1D"/>
    <w:rsid w:val="79630533"/>
    <w:rsid w:val="7972680A"/>
    <w:rsid w:val="79B35723"/>
    <w:rsid w:val="79F64CCF"/>
    <w:rsid w:val="7A030083"/>
    <w:rsid w:val="7A242552"/>
    <w:rsid w:val="7A435623"/>
    <w:rsid w:val="7A5A4664"/>
    <w:rsid w:val="7A990E28"/>
    <w:rsid w:val="7AB40C90"/>
    <w:rsid w:val="7AF00FBF"/>
    <w:rsid w:val="7B060512"/>
    <w:rsid w:val="7B0D6371"/>
    <w:rsid w:val="7B425546"/>
    <w:rsid w:val="7B587B33"/>
    <w:rsid w:val="7B5E2D46"/>
    <w:rsid w:val="7B62387C"/>
    <w:rsid w:val="7B631AB3"/>
    <w:rsid w:val="7B715A61"/>
    <w:rsid w:val="7B7C01F3"/>
    <w:rsid w:val="7B8E0777"/>
    <w:rsid w:val="7B9A1458"/>
    <w:rsid w:val="7BB0072A"/>
    <w:rsid w:val="7BC671BC"/>
    <w:rsid w:val="7BC71E77"/>
    <w:rsid w:val="7BF662EE"/>
    <w:rsid w:val="7BF7021D"/>
    <w:rsid w:val="7C536936"/>
    <w:rsid w:val="7C585E3C"/>
    <w:rsid w:val="7C816FEB"/>
    <w:rsid w:val="7C836394"/>
    <w:rsid w:val="7CE945FD"/>
    <w:rsid w:val="7CF01E50"/>
    <w:rsid w:val="7D1947B3"/>
    <w:rsid w:val="7D254BDC"/>
    <w:rsid w:val="7D2D083F"/>
    <w:rsid w:val="7D703797"/>
    <w:rsid w:val="7D783084"/>
    <w:rsid w:val="7D90280C"/>
    <w:rsid w:val="7DB67562"/>
    <w:rsid w:val="7DC5123C"/>
    <w:rsid w:val="7DD11077"/>
    <w:rsid w:val="7DF7205D"/>
    <w:rsid w:val="7E597CD7"/>
    <w:rsid w:val="7E5A355A"/>
    <w:rsid w:val="7E692552"/>
    <w:rsid w:val="7EA86096"/>
    <w:rsid w:val="7EB0558F"/>
    <w:rsid w:val="7EF62377"/>
    <w:rsid w:val="7EF96EB6"/>
    <w:rsid w:val="7EFA2E85"/>
    <w:rsid w:val="7EFF54A2"/>
    <w:rsid w:val="7F0A2079"/>
    <w:rsid w:val="7F1B49D7"/>
    <w:rsid w:val="7F3D15CE"/>
    <w:rsid w:val="7F4A43D7"/>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paragraph" w:styleId="6">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7">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8">
    <w:name w:val="heading 4"/>
    <w:basedOn w:val="1"/>
    <w:next w:val="1"/>
    <w:qFormat/>
    <w:uiPriority w:val="9"/>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4"/>
    <w:link w:val="42"/>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Normal Indent"/>
    <w:basedOn w:val="1"/>
    <w:link w:val="43"/>
    <w:qFormat/>
    <w:uiPriority w:val="0"/>
    <w:pPr>
      <w:autoSpaceDE w:val="0"/>
      <w:autoSpaceDN w:val="0"/>
      <w:adjustRightInd w:val="0"/>
      <w:ind w:firstLine="420"/>
      <w:jc w:val="left"/>
    </w:pPr>
    <w:rPr>
      <w:rFonts w:ascii="宋体"/>
      <w:kern w:val="0"/>
      <w:sz w:val="24"/>
      <w:szCs w:val="20"/>
    </w:rPr>
  </w:style>
  <w:style w:type="paragraph" w:styleId="10">
    <w:name w:val="Document Map"/>
    <w:basedOn w:val="1"/>
    <w:link w:val="35"/>
    <w:qFormat/>
    <w:uiPriority w:val="0"/>
    <w:rPr>
      <w:rFonts w:ascii="宋体"/>
      <w:sz w:val="18"/>
      <w:szCs w:val="18"/>
    </w:rPr>
  </w:style>
  <w:style w:type="paragraph" w:styleId="11">
    <w:name w:val="annotation text"/>
    <w:basedOn w:val="1"/>
    <w:link w:val="36"/>
    <w:qFormat/>
    <w:uiPriority w:val="99"/>
    <w:pPr>
      <w:jc w:val="left"/>
    </w:pPr>
    <w:rPr>
      <w:rFonts w:ascii="仿宋_GB2312" w:eastAsia="仿宋_GB2312"/>
      <w:sz w:val="32"/>
      <w:szCs w:val="32"/>
    </w:rPr>
  </w:style>
  <w:style w:type="paragraph" w:styleId="12">
    <w:name w:val="Body Text"/>
    <w:basedOn w:val="1"/>
    <w:next w:val="13"/>
    <w:qFormat/>
    <w:uiPriority w:val="0"/>
    <w:pPr>
      <w:tabs>
        <w:tab w:val="left" w:pos="567"/>
      </w:tabs>
      <w:spacing w:before="120" w:line="22" w:lineRule="atLeast"/>
    </w:pPr>
    <w:rPr>
      <w:rFonts w:ascii="宋体" w:hAnsi="宋体"/>
      <w:sz w:val="24"/>
    </w:rPr>
  </w:style>
  <w:style w:type="paragraph" w:styleId="13">
    <w:name w:val="Body Text First Indent"/>
    <w:basedOn w:val="12"/>
    <w:qFormat/>
    <w:uiPriority w:val="99"/>
    <w:pPr>
      <w:autoSpaceDE w:val="0"/>
      <w:autoSpaceDN w:val="0"/>
      <w:adjustRightInd w:val="0"/>
      <w:ind w:firstLine="420" w:firstLineChars="100"/>
      <w:jc w:val="left"/>
    </w:pPr>
    <w:rPr>
      <w:kern w:val="0"/>
      <w:sz w:val="20"/>
    </w:rPr>
  </w:style>
  <w:style w:type="paragraph" w:styleId="14">
    <w:name w:val="List 2"/>
    <w:basedOn w:val="1"/>
    <w:unhideWhenUsed/>
    <w:qFormat/>
    <w:uiPriority w:val="99"/>
    <w:pPr>
      <w:ind w:left="100" w:leftChars="200" w:hanging="200" w:hangingChars="200"/>
    </w:pPr>
  </w:style>
  <w:style w:type="paragraph" w:styleId="15">
    <w:name w:val="toc 3"/>
    <w:basedOn w:val="1"/>
    <w:next w:val="1"/>
    <w:link w:val="39"/>
    <w:qFormat/>
    <w:uiPriority w:val="39"/>
    <w:pPr>
      <w:spacing w:line="500" w:lineRule="exact"/>
      <w:ind w:left="400" w:leftChars="400"/>
    </w:pPr>
    <w:rPr>
      <w:kern w:val="0"/>
      <w:sz w:val="24"/>
      <w:szCs w:val="20"/>
    </w:rPr>
  </w:style>
  <w:style w:type="paragraph" w:styleId="16">
    <w:name w:val="Plain Text"/>
    <w:basedOn w:val="1"/>
    <w:link w:val="40"/>
    <w:qFormat/>
    <w:uiPriority w:val="0"/>
    <w:rPr>
      <w:rFonts w:ascii="宋体" w:hAnsi="Courier New"/>
      <w:szCs w:val="20"/>
    </w:rPr>
  </w:style>
  <w:style w:type="paragraph" w:styleId="17">
    <w:name w:val="Date"/>
    <w:basedOn w:val="1"/>
    <w:next w:val="1"/>
    <w:link w:val="44"/>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1"/>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1260"/>
        <w:tab w:val="right" w:leader="dot" w:pos="9060"/>
      </w:tabs>
      <w:spacing w:line="500" w:lineRule="exact"/>
    </w:pPr>
    <w:rPr>
      <w:sz w:val="24"/>
    </w:rPr>
  </w:style>
  <w:style w:type="paragraph" w:styleId="23">
    <w:name w:val="toc 2"/>
    <w:basedOn w:val="1"/>
    <w:next w:val="1"/>
    <w:qFormat/>
    <w:uiPriority w:val="39"/>
    <w:pPr>
      <w:spacing w:line="500" w:lineRule="exact"/>
      <w:ind w:left="200" w:leftChars="200"/>
    </w:pPr>
    <w:rPr>
      <w:sz w:val="24"/>
    </w:rPr>
  </w:style>
  <w:style w:type="paragraph" w:styleId="24">
    <w:name w:val="index 1"/>
    <w:basedOn w:val="1"/>
    <w:next w:val="1"/>
    <w:semiHidden/>
    <w:qFormat/>
    <w:uiPriority w:val="0"/>
    <w:rPr>
      <w:szCs w:val="20"/>
    </w:rPr>
  </w:style>
  <w:style w:type="paragraph" w:styleId="25">
    <w:name w:val="annotation subject"/>
    <w:basedOn w:val="11"/>
    <w:next w:val="11"/>
    <w:semiHidden/>
    <w:qFormat/>
    <w:uiPriority w:val="0"/>
    <w:rPr>
      <w:rFonts w:ascii="Times New Roman" w:eastAsia="宋体"/>
      <w:b/>
      <w:bCs/>
      <w:sz w:val="21"/>
      <w:szCs w:val="24"/>
    </w:rPr>
  </w:style>
  <w:style w:type="paragraph" w:styleId="26">
    <w:name w:val="Body Text First Indent 2"/>
    <w:basedOn w:val="3"/>
    <w:next w:val="1"/>
    <w:qFormat/>
    <w:uiPriority w:val="0"/>
    <w:pPr>
      <w:ind w:firstLine="420" w:firstLineChars="200"/>
    </w:p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basedOn w:val="28"/>
    <w:qFormat/>
    <w:uiPriority w:val="99"/>
    <w:rPr>
      <w:color w:val="0000FF"/>
      <w:u w:val="single"/>
    </w:rPr>
  </w:style>
  <w:style w:type="character" w:styleId="33">
    <w:name w:val="annotation reference"/>
    <w:semiHidden/>
    <w:qFormat/>
    <w:uiPriority w:val="99"/>
    <w:rPr>
      <w:sz w:val="21"/>
      <w:szCs w:val="21"/>
    </w:rPr>
  </w:style>
  <w:style w:type="paragraph" w:customStyle="1" w:styleId="34">
    <w:name w:val="正文 New"/>
    <w:basedOn w:val="1"/>
    <w:qFormat/>
    <w:uiPriority w:val="0"/>
    <w:pPr>
      <w:spacing w:before="100" w:beforeAutospacing="1" w:after="100" w:afterAutospacing="1" w:line="440" w:lineRule="exact"/>
      <w:ind w:left="357" w:hanging="357"/>
    </w:pPr>
    <w:rPr>
      <w:szCs w:val="21"/>
    </w:rPr>
  </w:style>
  <w:style w:type="character" w:customStyle="1" w:styleId="35">
    <w:name w:val="文档结构图 字符"/>
    <w:link w:val="10"/>
    <w:qFormat/>
    <w:uiPriority w:val="0"/>
    <w:rPr>
      <w:rFonts w:ascii="宋体" w:eastAsia="宋体"/>
      <w:kern w:val="2"/>
      <w:sz w:val="18"/>
      <w:szCs w:val="18"/>
      <w:lang w:val="en-US" w:eastAsia="zh-CN" w:bidi="ar-SA"/>
    </w:rPr>
  </w:style>
  <w:style w:type="character" w:customStyle="1" w:styleId="36">
    <w:name w:val="批注文字 字符"/>
    <w:link w:val="11"/>
    <w:qFormat/>
    <w:uiPriority w:val="99"/>
    <w:rPr>
      <w:rFonts w:ascii="仿宋_GB2312" w:eastAsia="仿宋_GB2312"/>
      <w:kern w:val="2"/>
      <w:sz w:val="32"/>
      <w:szCs w:val="32"/>
    </w:rPr>
  </w:style>
  <w:style w:type="character" w:customStyle="1" w:styleId="37">
    <w:name w:val="样式（正文） Char"/>
    <w:link w:val="38"/>
    <w:qFormat/>
    <w:locked/>
    <w:uiPriority w:val="0"/>
    <w:rPr>
      <w:rFonts w:ascii="宋体" w:hAnsi="宋体" w:eastAsia="宋体"/>
      <w:kern w:val="2"/>
      <w:sz w:val="24"/>
      <w:szCs w:val="22"/>
      <w:lang w:bidi="ar-SA"/>
    </w:rPr>
  </w:style>
  <w:style w:type="paragraph" w:customStyle="1" w:styleId="38">
    <w:name w:val="样式（正文）"/>
    <w:basedOn w:val="1"/>
    <w:link w:val="37"/>
    <w:qFormat/>
    <w:uiPriority w:val="0"/>
    <w:pPr>
      <w:spacing w:line="360" w:lineRule="auto"/>
      <w:ind w:firstLine="200" w:firstLineChars="200"/>
    </w:pPr>
    <w:rPr>
      <w:rFonts w:ascii="宋体" w:hAnsi="宋体"/>
      <w:sz w:val="24"/>
      <w:szCs w:val="22"/>
    </w:rPr>
  </w:style>
  <w:style w:type="character" w:customStyle="1" w:styleId="39">
    <w:name w:val="目录 3 字符"/>
    <w:link w:val="15"/>
    <w:qFormat/>
    <w:uiPriority w:val="39"/>
    <w:rPr>
      <w:sz w:val="24"/>
    </w:rPr>
  </w:style>
  <w:style w:type="character" w:customStyle="1" w:styleId="40">
    <w:name w:val="纯文本 字符"/>
    <w:link w:val="16"/>
    <w:qFormat/>
    <w:uiPriority w:val="0"/>
    <w:rPr>
      <w:rFonts w:ascii="宋体" w:hAnsi="Courier New"/>
      <w:kern w:val="2"/>
      <w:sz w:val="21"/>
    </w:rPr>
  </w:style>
  <w:style w:type="character" w:customStyle="1" w:styleId="41">
    <w:name w:val="页脚 字符"/>
    <w:basedOn w:val="28"/>
    <w:link w:val="20"/>
    <w:qFormat/>
    <w:uiPriority w:val="99"/>
    <w:rPr>
      <w:kern w:val="2"/>
      <w:sz w:val="18"/>
      <w:szCs w:val="18"/>
    </w:rPr>
  </w:style>
  <w:style w:type="character" w:customStyle="1" w:styleId="42">
    <w:name w:val="正文文本缩进 字符"/>
    <w:link w:val="3"/>
    <w:qFormat/>
    <w:uiPriority w:val="0"/>
  </w:style>
  <w:style w:type="character" w:customStyle="1" w:styleId="43">
    <w:name w:val="正文缩进 字符"/>
    <w:link w:val="9"/>
    <w:qFormat/>
    <w:uiPriority w:val="0"/>
    <w:rPr>
      <w:rFonts w:ascii="宋体" w:eastAsia="宋体"/>
      <w:sz w:val="24"/>
      <w:lang w:val="en-US" w:eastAsia="zh-CN" w:bidi="ar-SA"/>
    </w:rPr>
  </w:style>
  <w:style w:type="character" w:customStyle="1" w:styleId="44">
    <w:name w:val="日期 字符"/>
    <w:basedOn w:val="28"/>
    <w:link w:val="17"/>
    <w:qFormat/>
    <w:uiPriority w:val="0"/>
    <w:rPr>
      <w:kern w:val="2"/>
      <w:sz w:val="21"/>
      <w:szCs w:val="24"/>
    </w:rPr>
  </w:style>
  <w:style w:type="paragraph" w:customStyle="1" w:styleId="45">
    <w:name w:val="Char Char1"/>
    <w:basedOn w:val="1"/>
    <w:qFormat/>
    <w:uiPriority w:val="0"/>
  </w:style>
  <w:style w:type="paragraph" w:customStyle="1" w:styleId="46">
    <w:name w:val="p0"/>
    <w:basedOn w:val="1"/>
    <w:qFormat/>
    <w:uiPriority w:val="0"/>
    <w:pPr>
      <w:widowControl/>
      <w:snapToGrid w:val="0"/>
      <w:spacing w:after="200"/>
      <w:jc w:val="left"/>
    </w:pPr>
    <w:rPr>
      <w:rFonts w:ascii="Tahoma" w:hAnsi="Tahoma" w:cs="Tahoma"/>
      <w:kern w:val="0"/>
      <w:sz w:val="22"/>
      <w:szCs w:val="22"/>
    </w:rPr>
  </w:style>
  <w:style w:type="paragraph" w:customStyle="1" w:styleId="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Char1"/>
    <w:basedOn w:val="1"/>
    <w:qFormat/>
    <w:uiPriority w:val="0"/>
    <w:rPr>
      <w:rFonts w:ascii="Tahoma" w:hAnsi="Tahoma"/>
      <w:sz w:val="24"/>
      <w:szCs w:val="20"/>
    </w:rPr>
  </w:style>
  <w:style w:type="paragraph" w:customStyle="1" w:styleId="49">
    <w:name w:val="Char"/>
    <w:basedOn w:val="1"/>
    <w:qFormat/>
    <w:uiPriority w:val="0"/>
    <w:pPr>
      <w:tabs>
        <w:tab w:val="left" w:pos="432"/>
      </w:tabs>
      <w:spacing w:beforeLines="50" w:afterLines="50"/>
      <w:ind w:left="864" w:hanging="432"/>
    </w:pPr>
    <w:rPr>
      <w:sz w:val="24"/>
    </w:rPr>
  </w:style>
  <w:style w:type="paragraph" w:customStyle="1" w:styleId="50">
    <w:name w:val="样式 标题 2 + 段后: 156 磅"/>
    <w:basedOn w:val="6"/>
    <w:qFormat/>
    <w:uiPriority w:val="0"/>
    <w:pPr>
      <w:spacing w:before="100" w:after="100" w:line="240" w:lineRule="auto"/>
    </w:pPr>
    <w:rPr>
      <w:rFonts w:cs="宋体"/>
      <w:bCs/>
      <w:sz w:val="30"/>
    </w:rPr>
  </w:style>
  <w:style w:type="paragraph" w:customStyle="1" w:styleId="51">
    <w:name w:val="Char Char11"/>
    <w:basedOn w:val="1"/>
    <w:qFormat/>
    <w:uiPriority w:val="0"/>
    <w:rPr>
      <w:szCs w:val="20"/>
    </w:rPr>
  </w:style>
  <w:style w:type="paragraph" w:customStyle="1" w:styleId="52">
    <w:name w:val="样式1"/>
    <w:basedOn w:val="7"/>
    <w:qFormat/>
    <w:uiPriority w:val="0"/>
    <w:pPr>
      <w:jc w:val="center"/>
    </w:pPr>
  </w:style>
  <w:style w:type="paragraph" w:customStyle="1" w:styleId="53">
    <w:name w:val="列出段落1"/>
    <w:basedOn w:val="1"/>
    <w:qFormat/>
    <w:uiPriority w:val="34"/>
    <w:pPr>
      <w:ind w:firstLine="420" w:firstLineChars="200"/>
    </w:pPr>
    <w:rPr>
      <w:rFonts w:ascii="Calibri" w:hAnsi="Calibri"/>
      <w:szCs w:val="22"/>
    </w:rPr>
  </w:style>
  <w:style w:type="paragraph" w:customStyle="1" w:styleId="54">
    <w:name w:val="Char11"/>
    <w:basedOn w:val="1"/>
    <w:qFormat/>
    <w:uiPriority w:val="0"/>
    <w:rPr>
      <w:rFonts w:ascii="Tahoma" w:hAnsi="Tahoma"/>
      <w:sz w:val="24"/>
      <w:szCs w:val="20"/>
    </w:rPr>
  </w:style>
  <w:style w:type="paragraph" w:customStyle="1" w:styleId="55">
    <w:name w:val="Char2"/>
    <w:basedOn w:val="1"/>
    <w:next w:val="1"/>
    <w:qFormat/>
    <w:uiPriority w:val="0"/>
    <w:pPr>
      <w:widowControl/>
      <w:spacing w:line="360" w:lineRule="auto"/>
      <w:jc w:val="left"/>
    </w:pPr>
    <w:rPr>
      <w:kern w:val="0"/>
      <w:szCs w:val="20"/>
      <w:lang w:eastAsia="en-US"/>
    </w:rPr>
  </w:style>
  <w:style w:type="paragraph" w:customStyle="1" w:styleId="56">
    <w:name w:val="表文"/>
    <w:basedOn w:val="1"/>
    <w:qFormat/>
    <w:uiPriority w:val="0"/>
    <w:rPr>
      <w:rFonts w:ascii="宋体" w:hAnsi="宋体" w:cs="宋体"/>
      <w:color w:val="000000"/>
      <w:kern w:val="0"/>
      <w:szCs w:val="21"/>
    </w:rPr>
  </w:style>
  <w:style w:type="paragraph" w:customStyle="1" w:styleId="5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批注文字 Char1"/>
    <w:basedOn w:val="28"/>
    <w:semiHidden/>
    <w:qFormat/>
    <w:uiPriority w:val="99"/>
    <w:rPr>
      <w:rFonts w:ascii="Times New Roman" w:hAnsi="Times New Roman" w:eastAsia="宋体" w:cs="Times New Roman"/>
      <w:szCs w:val="24"/>
    </w:rPr>
  </w:style>
  <w:style w:type="paragraph" w:styleId="59">
    <w:name w:val="List Paragraph"/>
    <w:basedOn w:val="1"/>
    <w:qFormat/>
    <w:uiPriority w:val="99"/>
    <w:pPr>
      <w:ind w:firstLine="420" w:firstLineChars="200"/>
    </w:pPr>
  </w:style>
  <w:style w:type="paragraph" w:customStyle="1" w:styleId="60">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61">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62">
    <w:name w:val=" Char"/>
    <w:basedOn w:val="1"/>
    <w:next w:val="1"/>
    <w:qFormat/>
    <w:uiPriority w:val="0"/>
    <w:pPr>
      <w:widowControl/>
      <w:spacing w:line="360" w:lineRule="auto"/>
      <w:jc w:val="left"/>
    </w:pPr>
    <w:rPr>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98EB9-454C-47E1-BDD9-4DC687C9B5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32397</Words>
  <Characters>34726</Characters>
  <Lines>202</Lines>
  <Paragraphs>56</Paragraphs>
  <TotalTime>7</TotalTime>
  <ScaleCrop>false</ScaleCrop>
  <LinksUpToDate>false</LinksUpToDate>
  <CharactersWithSpaces>39509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NTKO</cp:lastModifiedBy>
  <cp:lastPrinted>2021-04-07T00:36:00Z</cp:lastPrinted>
  <dcterms:modified xsi:type="dcterms:W3CDTF">2022-10-12T02:59:57Z</dcterms:modified>
  <dc:title>招标文件</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5F64E970F841429B91EC250AFE3AAF4A</vt:lpwstr>
  </property>
</Properties>
</file>