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numPr>
          <w:numId w:val="0"/>
        </w:numPr>
        <w:spacing w:before="62" w:beforeLines="20" w:after="62" w:afterLines="20" w:line="480" w:lineRule="exact"/>
        <w:jc w:val="center"/>
        <w:rPr>
          <w:rFonts w:hint="eastAsia" w:ascii="Arial" w:hAnsi="Arial" w:cs="Times New Roman"/>
          <w:kern w:val="2"/>
          <w:sz w:val="32"/>
          <w:szCs w:val="32"/>
          <w:lang w:val="zh-CN"/>
        </w:rPr>
      </w:pPr>
      <w:bookmarkStart w:id="1" w:name="_GoBack"/>
      <w:bookmarkEnd w:id="1"/>
      <w:bookmarkStart w:id="0" w:name="_Toc12356"/>
      <w:r>
        <w:rPr>
          <w:rFonts w:hint="eastAsia" w:ascii="Arial" w:hAnsi="Arial" w:cs="Times New Roman"/>
          <w:kern w:val="2"/>
          <w:sz w:val="32"/>
          <w:szCs w:val="32"/>
          <w:lang w:eastAsia="zh-CN"/>
        </w:rPr>
        <w:t>货物</w:t>
      </w:r>
      <w:r>
        <w:rPr>
          <w:rFonts w:hint="eastAsia" w:ascii="Arial" w:hAnsi="Arial" w:cs="Times New Roman"/>
          <w:kern w:val="2"/>
          <w:sz w:val="32"/>
          <w:szCs w:val="32"/>
        </w:rPr>
        <w:t>需求及技术要求</w:t>
      </w:r>
      <w:bookmarkEnd w:id="0"/>
    </w:p>
    <w:p>
      <w:pPr>
        <w:rPr>
          <w:rFonts w:hint="eastAsia"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基本需求及技术要求</w:t>
      </w:r>
      <w:r>
        <w:rPr>
          <w:rFonts w:hint="eastAsia" w:ascii="宋体" w:hAnsi="宋体" w:eastAsia="宋体" w:cs="宋体"/>
          <w:b/>
          <w:bCs/>
          <w:sz w:val="21"/>
          <w:szCs w:val="21"/>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一</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sz w:val="21"/>
          <w:szCs w:val="21"/>
          <w:highlight w:val="none"/>
          <w:lang w:val="en-US" w:eastAsia="zh-CN"/>
        </w:rPr>
        <w:t>供应商须知：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1、中标供应商</w:t>
      </w:r>
      <w:r>
        <w:rPr>
          <w:rFonts w:hint="eastAsia" w:ascii="宋体" w:hAnsi="宋体" w:eastAsia="宋体" w:cs="宋体"/>
          <w:sz w:val="21"/>
          <w:szCs w:val="21"/>
          <w:highlight w:val="none"/>
          <w:lang w:eastAsia="zh-Hans"/>
        </w:rPr>
        <w:t>有相应的分拣场地、仓储、检验设施等，具备较强的供货和运输能力，企业信誉良好，售后服务及时。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lang w:eastAsia="zh-Hans"/>
        </w:rPr>
        <w:t>应严格按照《食品安全法》等相关规章制度执行，做好食品安全及安全生产工作，如采购人员工、亲友及第三方人员因使用</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lang w:eastAsia="zh-Hans"/>
        </w:rPr>
        <w:t>产品发生任何食品安全或安全生产事故等，均由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lang w:eastAsia="zh-Hans"/>
        </w:rPr>
        <w:t>自行负责一切赔偿和法律责任，采购人不承担任何连带责任。如发生大面积食品安全或安全事故问题，对采购人造成不良影响，采购人有权按照相关法律法规追究</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lang w:eastAsia="zh-Hans"/>
        </w:rPr>
        <w:t>相关法律责任及索取经济赔偿。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3、中标供应商提供的粮油额度不少于530元/人（粮油额度按附件格式填写）。供应商须提供供货清单及方案供采购人选择，最终的供货商品方案由采购人确定。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lang w:val="en-US" w:eastAsia="zh-CN"/>
        </w:rPr>
        <w:t>二</w:t>
      </w:r>
      <w:r>
        <w:rPr>
          <w:rFonts w:hint="eastAsia" w:ascii="Times New Roman" w:hAnsi="Times New Roman" w:eastAsia="宋体" w:cs="Times New Roman"/>
          <w:b/>
          <w:bCs/>
          <w:color w:val="auto"/>
          <w:lang w:val="en-US" w:eastAsia="zh-Hans"/>
        </w:rPr>
        <w:t>、</w:t>
      </w:r>
      <w:r>
        <w:rPr>
          <w:rFonts w:hint="eastAsia" w:ascii="Times New Roman" w:hAnsi="Times New Roman" w:eastAsia="宋体" w:cs="Times New Roman"/>
          <w:b/>
          <w:bCs/>
          <w:color w:val="auto"/>
          <w:highlight w:val="none"/>
          <w:lang w:val="en-US" w:eastAsia="zh-CN"/>
        </w:rPr>
        <w:t>配送方式及结算方式：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b/>
          <w:bCs/>
          <w:color w:val="auto"/>
          <w:highlight w:val="none"/>
          <w:lang w:val="en-US" w:eastAsia="zh-CN"/>
        </w:rPr>
        <w:t>1、</w:t>
      </w:r>
      <w:r>
        <w:rPr>
          <w:rFonts w:hint="eastAsia" w:ascii="Times New Roman" w:hAnsi="Times New Roman" w:eastAsia="宋体" w:cs="Times New Roman"/>
          <w:color w:val="auto"/>
          <w:lang w:val="en-US" w:eastAsia="zh-CN"/>
        </w:rPr>
        <w:t>由学校工会与中标企业签订供货合同，配送品种、企业名单、资质等信息应向教职员工公告。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b/>
          <w:bCs/>
          <w:color w:val="auto"/>
          <w:highlight w:val="none"/>
          <w:lang w:val="en-US" w:eastAsia="zh-CN"/>
        </w:rPr>
        <w:t>2、</w:t>
      </w:r>
      <w:r>
        <w:rPr>
          <w:rFonts w:hint="eastAsia" w:ascii="Times New Roman" w:hAnsi="Times New Roman" w:eastAsia="宋体" w:cs="Times New Roman"/>
          <w:color w:val="auto"/>
          <w:lang w:val="en-US" w:eastAsia="zh-CN"/>
        </w:rPr>
        <w:t>结算方式：根据职工实际人数*约 450 元/人</w:t>
      </w:r>
      <w:r>
        <w:rPr>
          <w:rFonts w:hint="eastAsia" w:ascii="Times New Roman" w:hAnsi="Times New Roman" w:eastAsia="宋体" w:cs="Times New Roman"/>
          <w:color w:val="auto"/>
          <w:highlight w:val="none"/>
          <w:lang w:val="en-US" w:eastAsia="zh-CN"/>
        </w:rPr>
        <w:t>（如最终供货金额不足或超出供应商提供的粮油额度按同等比例下浮或上浮据实）</w:t>
      </w:r>
      <w:r>
        <w:rPr>
          <w:rFonts w:hint="eastAsia" w:ascii="Times New Roman" w:hAnsi="Times New Roman" w:eastAsia="宋体" w:cs="Times New Roman"/>
          <w:color w:val="auto"/>
          <w:lang w:val="en-US" w:eastAsia="zh-CN"/>
        </w:rPr>
        <w:t>开具正规发票结算。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附件：粮油优惠额度（注：供应商如未在投标文件中提供粮油额度，默认按最低粮油额度562 元/人进行供货，此表不接受二次提交。）</w:t>
      </w:r>
    </w:p>
    <w:tbl>
      <w:tblPr>
        <w:tblStyle w:val="4"/>
        <w:tblpPr w:leftFromText="180" w:rightFromText="180" w:vertAnchor="text" w:horzAnchor="page" w:tblpX="1786"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0" w:type="auto"/>
            <w:vMerge w:val="restart"/>
            <w:noWrap w:val="0"/>
            <w:vAlign w:val="center"/>
          </w:tcPr>
          <w:p>
            <w:pPr>
              <w:spacing w:line="400" w:lineRule="exact"/>
              <w:jc w:val="center"/>
              <w:rPr>
                <w:rFonts w:hint="eastAsia" w:ascii="Times New Roman" w:hAnsi="Times New Roman" w:eastAsia="宋体" w:cs="Times New Roman"/>
                <w:sz w:val="24"/>
              </w:rPr>
            </w:pPr>
            <w:r>
              <w:rPr>
                <w:rFonts w:hint="eastAsia" w:ascii="Times New Roman" w:hAnsi="宋体" w:eastAsia="宋体" w:cs="Times New Roman"/>
                <w:sz w:val="24"/>
              </w:rPr>
              <w:t>粮油额度</w:t>
            </w:r>
          </w:p>
        </w:tc>
        <w:tc>
          <w:tcPr>
            <w:tcW w:w="0" w:type="auto"/>
            <w:noWrap w:val="0"/>
            <w:vAlign w:val="center"/>
          </w:tcPr>
          <w:p>
            <w:pPr>
              <w:wordWrap w:val="0"/>
              <w:spacing w:line="400" w:lineRule="exact"/>
              <w:rPr>
                <w:rFonts w:hint="eastAsia" w:ascii="Times New Roman" w:hAnsi="Times New Roman" w:eastAsia="宋体" w:cs="Times New Roman"/>
                <w:sz w:val="24"/>
                <w:lang w:val="en-US" w:eastAsia="zh-CN"/>
              </w:rPr>
            </w:pPr>
            <w:r>
              <w:rPr>
                <w:rFonts w:hint="eastAsia" w:ascii="Times New Roman" w:hAnsi="宋体" w:eastAsia="宋体" w:cs="Times New Roman"/>
                <w:sz w:val="24"/>
              </w:rPr>
              <w:t>大写：</w:t>
            </w:r>
            <w:r>
              <w:rPr>
                <w:rFonts w:ascii="Times New Roman" w:hAnsi="Times New Roman" w:eastAsia="宋体" w:cs="Times New Roman"/>
                <w:sz w:val="24"/>
              </w:rPr>
              <w:t xml:space="preserve"> </w:t>
            </w:r>
            <w:r>
              <w:rPr>
                <w:rFonts w:hint="eastAsia" w:ascii="Times New Roman" w:hAnsi="Times New Roman" w:eastAsia="宋体" w:cs="Times New Roman"/>
                <w:sz w:val="24"/>
              </w:rPr>
              <w:t>人民币</w:t>
            </w:r>
            <w:r>
              <w:rPr>
                <w:rFonts w:hint="eastAsia" w:eastAsia="宋体" w:cs="Times New Roman"/>
                <w:sz w:val="24"/>
                <w:lang w:val="en-US" w:eastAsia="zh-CN"/>
              </w:rPr>
              <w:t xml:space="preserve">              </w:t>
            </w:r>
            <w:r>
              <w:rPr>
                <w:rFonts w:hint="eastAsia" w:ascii="Times New Roman" w:hAnsi="Times New Roman" w:eastAsia="宋体" w:cs="Times New Roman"/>
                <w:sz w:val="24"/>
              </w:rPr>
              <w:t>元</w:t>
            </w:r>
            <w:r>
              <w:rPr>
                <w:rFonts w:hint="eastAsia" w:eastAsia="宋体" w:cs="Times New Roman"/>
                <w:sz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0" w:type="auto"/>
            <w:vMerge w:val="continue"/>
            <w:noWrap w:val="0"/>
            <w:vAlign w:val="center"/>
          </w:tcPr>
          <w:p>
            <w:pPr>
              <w:spacing w:line="400" w:lineRule="exact"/>
              <w:jc w:val="center"/>
              <w:rPr>
                <w:rFonts w:ascii="Times New Roman" w:hAnsi="Times New Roman" w:eastAsia="宋体" w:cs="Times New Roman"/>
                <w:sz w:val="24"/>
              </w:rPr>
            </w:pPr>
          </w:p>
        </w:tc>
        <w:tc>
          <w:tcPr>
            <w:tcW w:w="0" w:type="auto"/>
            <w:noWrap w:val="0"/>
            <w:vAlign w:val="center"/>
          </w:tcPr>
          <w:p>
            <w:pPr>
              <w:wordWrap w:val="0"/>
              <w:rPr>
                <w:rFonts w:ascii="Times New Roman" w:hAnsi="宋体" w:eastAsia="宋体" w:cs="Times New Roman"/>
                <w:sz w:val="24"/>
              </w:rPr>
            </w:pPr>
            <w:r>
              <w:rPr>
                <w:rFonts w:hint="eastAsia" w:ascii="Times New Roman" w:hAnsi="宋体" w:eastAsia="宋体" w:cs="Times New Roman"/>
                <w:sz w:val="24"/>
              </w:rPr>
              <w:t>小写：￥</w:t>
            </w:r>
            <w:r>
              <w:rPr>
                <w:rFonts w:hint="eastAsia" w:hAnsi="宋体" w:eastAsia="宋体" w:cs="Times New Roman"/>
                <w:sz w:val="24"/>
                <w:lang w:val="en-US" w:eastAsia="zh-CN"/>
              </w:rPr>
              <w:t xml:space="preserve">             </w:t>
            </w:r>
            <w:r>
              <w:rPr>
                <w:rFonts w:hint="eastAsia" w:ascii="Times New Roman" w:hAnsi="宋体" w:eastAsia="宋体" w:cs="Times New Roman"/>
                <w:sz w:val="24"/>
              </w:rPr>
              <w:t>元/人</w:t>
            </w:r>
            <w:r>
              <w:rPr>
                <w:rFonts w:ascii="Times New Roman" w:hAnsi="宋体"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trPr>
        <w:tc>
          <w:tcPr>
            <w:tcW w:w="0" w:type="auto"/>
            <w:gridSpan w:val="2"/>
            <w:noWrap w:val="0"/>
            <w:vAlign w:val="center"/>
          </w:tcPr>
          <w:p>
            <w:pPr>
              <w:spacing w:line="400" w:lineRule="exact"/>
              <w:jc w:val="left"/>
              <w:rPr>
                <w:rFonts w:eastAsia="宋体" w:cs="Times New Roman"/>
              </w:rPr>
            </w:pPr>
            <w:r>
              <w:rPr>
                <w:rFonts w:hint="eastAsia" w:eastAsia="宋体" w:cs="Times New Roman"/>
              </w:rPr>
              <w:t>备注：</w:t>
            </w:r>
          </w:p>
          <w:p>
            <w:pPr>
              <w:numPr>
                <w:ilvl w:val="0"/>
                <w:numId w:val="1"/>
              </w:numPr>
              <w:spacing w:line="400" w:lineRule="exact"/>
              <w:ind w:left="104" w:leftChars="0" w:firstLine="0" w:firstLineChars="0"/>
              <w:rPr>
                <w:rFonts w:hint="eastAsia" w:eastAsia="宋体" w:cs="Times New Roman"/>
              </w:rPr>
            </w:pPr>
            <w:r>
              <w:rPr>
                <w:rFonts w:hint="eastAsia" w:eastAsia="宋体" w:cs="Times New Roman"/>
              </w:rPr>
              <w:t>粮油额度报价保留两位小数，小数点后第三位四舍五入。</w:t>
            </w:r>
          </w:p>
          <w:p>
            <w:pPr>
              <w:pStyle w:val="2"/>
              <w:numPr>
                <w:ilvl w:val="0"/>
                <w:numId w:val="1"/>
              </w:numPr>
              <w:ind w:left="104" w:leftChars="0" w:firstLine="0" w:firstLineChars="0"/>
              <w:rPr>
                <w:rFonts w:hint="eastAsia" w:eastAsia="宋体" w:cs="Times New Roman"/>
                <w:lang w:val="en-US" w:eastAsia="zh-CN"/>
              </w:rPr>
            </w:pPr>
            <w:r>
              <w:rPr>
                <w:rFonts w:hint="eastAsia" w:eastAsia="宋体" w:cs="Times New Roman"/>
                <w:lang w:val="en-US" w:eastAsia="zh-CN"/>
              </w:rPr>
              <w:t>粮油额度不少于530元/人；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D301"/>
    <w:multiLevelType w:val="singleLevel"/>
    <w:tmpl w:val="AAF7D3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D6A2664"/>
    <w:rsid w:val="0D6A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widowControl w:val="0"/>
      <w:tabs>
        <w:tab w:val="left" w:pos="1440"/>
        <w:tab w:val="left" w:pos="5670"/>
      </w:tabs>
      <w:spacing w:beforeLines="100" w:afterLines="100"/>
      <w:ind w:firstLine="2890" w:firstLineChars="1203"/>
      <w:jc w:val="both"/>
      <w:outlineLvl w:val="0"/>
    </w:pPr>
    <w:rPr>
      <w:rFonts w:ascii="黑体" w:hAnsi="Times New Roman" w:eastAsia="黑体" w:cs="Times New Roman"/>
      <w:b/>
      <w:kern w:val="44"/>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New"/>
    <w:qFormat/>
    <w:uiPriority w:val="0"/>
    <w:pPr>
      <w:widowControl w:val="0"/>
      <w:spacing w:before="100" w:beforeAutospacing="1" w:after="100" w:afterAutospacing="1" w:line="440" w:lineRule="exact"/>
      <w:ind w:left="357" w:hanging="357"/>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2023-04-21T02:20:00Z</dcterms:created>
  <dc:creator>随便</dc:creator>
  <cp:lastModifiedBy>随便</cp:lastModifiedBy>
  <dcterms:modified xsi:type="dcterms:W3CDTF">2023-04-21T02:20:32Z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9D5B26C9BF6A4D5FB7CA33EE714D6C94_11</vt:lpwstr>
  </property>
</Properties>
</file>