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D7A57C">
      <w:pPr>
        <w:spacing w:line="360" w:lineRule="auto"/>
        <w:jc w:val="center"/>
        <w:outlineLvl w:val="0"/>
        <w:rPr>
          <w:rFonts w:asciiTheme="minorEastAsia" w:hAnsiTheme="minorEastAsia"/>
          <w:b/>
          <w:sz w:val="28"/>
          <w:highlight w:val="none"/>
        </w:rPr>
      </w:pPr>
      <w:bookmarkStart w:id="0" w:name="_Toc29536"/>
      <w:r>
        <w:rPr>
          <w:rFonts w:hint="eastAsia" w:asciiTheme="minorEastAsia" w:hAnsiTheme="minorEastAsia"/>
          <w:b/>
          <w:sz w:val="28"/>
          <w:highlight w:val="none"/>
        </w:rPr>
        <w:t>第三章  采购需求</w:t>
      </w:r>
      <w:bookmarkEnd w:id="0"/>
    </w:p>
    <w:p w14:paraId="2AAEFDAF">
      <w:pPr>
        <w:spacing w:line="360" w:lineRule="auto"/>
        <w:rPr>
          <w:rFonts w:asciiTheme="minorEastAsia" w:hAnsiTheme="minorEastAsia"/>
          <w:b/>
          <w:sz w:val="21"/>
          <w:szCs w:val="21"/>
          <w:highlight w:val="none"/>
        </w:rPr>
      </w:pPr>
      <w:r>
        <w:rPr>
          <w:rFonts w:hint="eastAsia" w:asciiTheme="minorEastAsia" w:hAnsiTheme="minorEastAsia"/>
          <w:b/>
          <w:sz w:val="21"/>
          <w:szCs w:val="21"/>
          <w:highlight w:val="none"/>
        </w:rPr>
        <w:t>前注：</w:t>
      </w:r>
    </w:p>
    <w:p w14:paraId="184A8951">
      <w:pPr>
        <w:spacing w:line="360" w:lineRule="auto"/>
        <w:ind w:firstLine="435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本采购需求中提出的服务方案仅为参考，如无明确限制，供应商可以进行优化，提供满足采购人实际需要的更优（或者性能实质上不低于的）服务方案，且此方案须经磋商小组评审认可。</w:t>
      </w:r>
      <w:bookmarkStart w:id="1" w:name="_Toc18775"/>
      <w:bookmarkStart w:id="2" w:name="_Toc22353"/>
      <w:bookmarkStart w:id="3" w:name="_Toc23224"/>
      <w:bookmarkStart w:id="4" w:name="_Toc7699"/>
      <w:bookmarkStart w:id="5" w:name="_Toc26349"/>
    </w:p>
    <w:p w14:paraId="00E2F456">
      <w:pPr>
        <w:spacing w:line="360" w:lineRule="auto"/>
        <w:ind w:firstLine="435"/>
        <w:rPr>
          <w:rFonts w:ascii="宋体" w:hAnsi="宋体" w:eastAsia="宋体"/>
          <w:b/>
          <w:sz w:val="21"/>
          <w:szCs w:val="21"/>
          <w:highlight w:val="none"/>
        </w:rPr>
      </w:pPr>
      <w:r>
        <w:rPr>
          <w:rFonts w:hint="eastAsia" w:ascii="宋体" w:hAnsi="宋体" w:eastAsia="宋体"/>
          <w:b/>
          <w:sz w:val="21"/>
          <w:szCs w:val="21"/>
          <w:highlight w:val="none"/>
        </w:rPr>
        <w:t>一、采购需求前附表</w:t>
      </w:r>
      <w:bookmarkEnd w:id="1"/>
      <w:bookmarkEnd w:id="2"/>
      <w:bookmarkEnd w:id="3"/>
      <w:bookmarkEnd w:id="4"/>
      <w:bookmarkEnd w:id="5"/>
    </w:p>
    <w:tbl>
      <w:tblPr>
        <w:tblStyle w:val="5"/>
        <w:tblW w:w="444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898"/>
        <w:gridCol w:w="4957"/>
      </w:tblGrid>
      <w:tr w14:paraId="2ECD6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474" w:type="pct"/>
            <w:vAlign w:val="center"/>
          </w:tcPr>
          <w:p w14:paraId="5A3F0A91">
            <w:pPr>
              <w:pStyle w:val="7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240" w:lineRule="auto"/>
              <w:textAlignment w:val="auto"/>
              <w:rPr>
                <w:rFonts w:ascii="宋体" w:hAnsi="宋体" w:eastAsia="宋体"/>
                <w:b/>
                <w:kern w:val="2"/>
                <w:sz w:val="21"/>
                <w:szCs w:val="21"/>
                <w:highlight w:val="none"/>
              </w:rPr>
            </w:pPr>
            <w:bookmarkStart w:id="6" w:name="_Hlk16461016"/>
            <w:r>
              <w:rPr>
                <w:rFonts w:hint="eastAsia" w:ascii="宋体" w:hAnsi="宋体" w:eastAsia="宋体"/>
                <w:b/>
                <w:kern w:val="2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1253" w:type="pct"/>
            <w:vAlign w:val="center"/>
          </w:tcPr>
          <w:p w14:paraId="68C74B60">
            <w:pPr>
              <w:pStyle w:val="7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240" w:lineRule="auto"/>
              <w:textAlignment w:val="auto"/>
              <w:rPr>
                <w:rFonts w:ascii="宋体" w:hAnsi="宋体" w:eastAsia="宋体"/>
                <w:bCs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b/>
                <w:kern w:val="2"/>
                <w:sz w:val="21"/>
                <w:szCs w:val="21"/>
                <w:highlight w:val="none"/>
              </w:rPr>
              <w:t>条款名称</w:t>
            </w:r>
          </w:p>
        </w:tc>
        <w:tc>
          <w:tcPr>
            <w:tcW w:w="3272" w:type="pct"/>
            <w:vAlign w:val="center"/>
          </w:tcPr>
          <w:p w14:paraId="68FBBBAB">
            <w:pPr>
              <w:pStyle w:val="7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240" w:lineRule="auto"/>
              <w:textAlignment w:val="auto"/>
              <w:rPr>
                <w:rFonts w:ascii="宋体" w:hAnsi="宋体" w:eastAsia="宋体"/>
                <w:bCs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b/>
                <w:kern w:val="2"/>
                <w:sz w:val="21"/>
                <w:szCs w:val="21"/>
                <w:highlight w:val="none"/>
              </w:rPr>
              <w:t>内容、说明与要求</w:t>
            </w:r>
          </w:p>
        </w:tc>
      </w:tr>
      <w:tr w14:paraId="1D878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474" w:type="pct"/>
            <w:vAlign w:val="center"/>
          </w:tcPr>
          <w:p w14:paraId="296B9DFC">
            <w:pPr>
              <w:pStyle w:val="7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240" w:lineRule="auto"/>
              <w:textAlignment w:val="auto"/>
              <w:rPr>
                <w:rFonts w:ascii="宋体" w:hAnsi="宋体" w:eastAsia="宋体"/>
                <w:bCs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bCs/>
                <w:kern w:val="2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253" w:type="pct"/>
            <w:vAlign w:val="center"/>
          </w:tcPr>
          <w:p w14:paraId="0397F5AC">
            <w:pPr>
              <w:pStyle w:val="8"/>
              <w:widowControl w:val="0"/>
              <w:spacing w:before="0" w:beforeAutospacing="0" w:after="0" w:afterAutospacing="0" w:line="360" w:lineRule="auto"/>
              <w:rPr>
                <w:rFonts w:ascii="宋体" w:hAnsi="宋体" w:eastAsia="宋体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b w:val="0"/>
                <w:bCs/>
                <w:sz w:val="21"/>
                <w:szCs w:val="21"/>
                <w:highlight w:val="none"/>
              </w:rPr>
              <w:t>付款方式</w:t>
            </w:r>
          </w:p>
        </w:tc>
        <w:tc>
          <w:tcPr>
            <w:tcW w:w="3272" w:type="pct"/>
            <w:vAlign w:val="center"/>
          </w:tcPr>
          <w:p w14:paraId="4E49DCC8">
            <w:pPr>
              <w:pStyle w:val="8"/>
              <w:widowControl w:val="0"/>
              <w:spacing w:before="0" w:beforeAutospacing="0" w:after="0" w:afterAutospacing="0" w:line="360" w:lineRule="auto"/>
              <w:jc w:val="left"/>
              <w:rPr>
                <w:rFonts w:hint="eastAsia" w:asciiTheme="minorEastAsia" w:hAnsiTheme="minorEastAsia" w:eastAsiaTheme="minorEastAsia"/>
                <w:b w:val="0"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/>
                <w:b w:val="0"/>
                <w:bCs/>
                <w:sz w:val="21"/>
                <w:szCs w:val="21"/>
                <w:highlight w:val="none"/>
              </w:rPr>
              <w:t>经采购人验收合格后，一次性付清</w:t>
            </w:r>
            <w:r>
              <w:rPr>
                <w:rFonts w:hint="eastAsia" w:asciiTheme="minorEastAsia" w:hAnsiTheme="minorEastAsia"/>
                <w:b w:val="0"/>
                <w:bCs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 w14:paraId="6F22C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474" w:type="pct"/>
            <w:vAlign w:val="center"/>
          </w:tcPr>
          <w:p w14:paraId="1F82B7A9">
            <w:pPr>
              <w:pStyle w:val="7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240" w:lineRule="auto"/>
              <w:textAlignment w:val="auto"/>
              <w:rPr>
                <w:rFonts w:ascii="宋体" w:hAnsi="宋体" w:eastAsia="宋体"/>
                <w:bCs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bCs/>
                <w:kern w:val="2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1253" w:type="pct"/>
            <w:vAlign w:val="center"/>
          </w:tcPr>
          <w:p w14:paraId="10E6F076">
            <w:pPr>
              <w:pStyle w:val="8"/>
              <w:widowControl w:val="0"/>
              <w:spacing w:before="0" w:beforeAutospacing="0" w:after="0" w:afterAutospacing="0" w:line="360" w:lineRule="auto"/>
              <w:rPr>
                <w:rFonts w:ascii="宋体" w:hAnsi="宋体" w:eastAsia="宋体"/>
                <w:b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b w:val="0"/>
                <w:sz w:val="21"/>
                <w:szCs w:val="21"/>
                <w:highlight w:val="none"/>
              </w:rPr>
              <w:t>服务地点</w:t>
            </w:r>
          </w:p>
        </w:tc>
        <w:tc>
          <w:tcPr>
            <w:tcW w:w="3272" w:type="pct"/>
            <w:vAlign w:val="center"/>
          </w:tcPr>
          <w:p w14:paraId="425EFF40">
            <w:pPr>
              <w:pStyle w:val="8"/>
              <w:widowControl w:val="0"/>
              <w:spacing w:before="0" w:beforeAutospacing="0" w:after="0" w:afterAutospacing="0" w:line="360" w:lineRule="auto"/>
              <w:jc w:val="left"/>
              <w:rPr>
                <w:rFonts w:hint="default" w:ascii="宋体" w:hAnsi="宋体" w:cs="@仿宋_GB2312" w:eastAsiaTheme="minorEastAsia"/>
                <w:b w:val="0"/>
                <w:bCs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@仿宋_GB2312"/>
                <w:b w:val="0"/>
                <w:bCs/>
                <w:kern w:val="0"/>
                <w:sz w:val="21"/>
                <w:szCs w:val="21"/>
                <w:highlight w:val="none"/>
                <w:lang w:val="en-US" w:eastAsia="zh-CN" w:bidi="ar-SA"/>
              </w:rPr>
              <w:t>安庆职业技术学院</w:t>
            </w:r>
          </w:p>
        </w:tc>
      </w:tr>
      <w:tr w14:paraId="20D21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474" w:type="pct"/>
            <w:vAlign w:val="center"/>
          </w:tcPr>
          <w:p w14:paraId="79A5B901">
            <w:pPr>
              <w:pStyle w:val="7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240" w:lineRule="auto"/>
              <w:textAlignment w:val="auto"/>
              <w:rPr>
                <w:rFonts w:ascii="宋体" w:hAnsi="宋体" w:eastAsia="宋体"/>
                <w:bCs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bCs/>
                <w:kern w:val="2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1253" w:type="pct"/>
            <w:vAlign w:val="center"/>
          </w:tcPr>
          <w:p w14:paraId="1F742224">
            <w:pPr>
              <w:pStyle w:val="8"/>
              <w:widowControl w:val="0"/>
              <w:spacing w:before="0" w:beforeAutospacing="0" w:after="0" w:afterAutospacing="0" w:line="360" w:lineRule="auto"/>
              <w:rPr>
                <w:rFonts w:ascii="宋体" w:hAnsi="宋体" w:eastAsia="宋体"/>
                <w:b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b w:val="0"/>
                <w:color w:val="auto"/>
                <w:sz w:val="21"/>
                <w:szCs w:val="21"/>
                <w:highlight w:val="none"/>
              </w:rPr>
              <w:t>服务期限</w:t>
            </w:r>
          </w:p>
        </w:tc>
        <w:tc>
          <w:tcPr>
            <w:tcW w:w="3272" w:type="pct"/>
            <w:vAlign w:val="center"/>
          </w:tcPr>
          <w:p w14:paraId="034B1AA1">
            <w:pPr>
              <w:pStyle w:val="8"/>
              <w:widowControl w:val="0"/>
              <w:spacing w:before="0" w:beforeAutospacing="0" w:after="0" w:afterAutospacing="0" w:line="360" w:lineRule="auto"/>
              <w:jc w:val="left"/>
              <w:rPr>
                <w:rFonts w:hint="default" w:ascii="宋体" w:hAnsi="宋体" w:cs="@仿宋_GB2312" w:eastAsiaTheme="minorEastAsia"/>
                <w:b w:val="0"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@仿宋_GB2312"/>
                <w:b w:val="0"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合同签订后一年</w:t>
            </w:r>
          </w:p>
        </w:tc>
      </w:tr>
      <w:bookmarkEnd w:id="6"/>
    </w:tbl>
    <w:p w14:paraId="3C153EDA">
      <w:pPr>
        <w:spacing w:after="0" w:line="360" w:lineRule="auto"/>
        <w:ind w:firstLine="422" w:firstLineChars="200"/>
        <w:jc w:val="both"/>
        <w:outlineLvl w:val="1"/>
        <w:rPr>
          <w:rFonts w:hint="eastAsia" w:ascii="宋体" w:hAnsi="宋体" w:eastAsia="宋体" w:cs="Times New Roman"/>
          <w:b/>
          <w:bCs/>
          <w:sz w:val="21"/>
          <w:szCs w:val="21"/>
          <w:lang w:val="en-US" w:eastAsia="zh-CN"/>
        </w:rPr>
      </w:pPr>
      <w:bookmarkStart w:id="7" w:name="_Toc14899"/>
    </w:p>
    <w:p w14:paraId="6B73B3BC">
      <w:pPr>
        <w:jc w:val="both"/>
        <w:rPr>
          <w:rFonts w:hint="eastAsia" w:ascii="宋体" w:hAnsi="宋体" w:eastAsia="宋体" w:cs="宋体"/>
          <w:b/>
          <w:bCs/>
          <w:sz w:val="21"/>
          <w:szCs w:val="21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shd w:val="clear" w:color="auto" w:fill="FFFFFF"/>
          <w:lang w:val="en-US" w:eastAsia="zh-CN"/>
        </w:rPr>
        <w:t>二、</w:t>
      </w:r>
      <w:r>
        <w:rPr>
          <w:rFonts w:hint="eastAsia" w:ascii="宋体" w:hAnsi="宋体" w:eastAsia="宋体" w:cs="宋体"/>
          <w:b/>
          <w:bCs/>
          <w:sz w:val="21"/>
          <w:szCs w:val="21"/>
          <w:shd w:val="clear" w:color="auto" w:fill="FFFFFF"/>
        </w:rPr>
        <w:t>设备维保运行清单</w:t>
      </w:r>
    </w:p>
    <w:tbl>
      <w:tblPr>
        <w:tblStyle w:val="5"/>
        <w:tblW w:w="572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1438"/>
        <w:gridCol w:w="2278"/>
        <w:gridCol w:w="810"/>
        <w:gridCol w:w="943"/>
        <w:gridCol w:w="1538"/>
        <w:gridCol w:w="956"/>
        <w:gridCol w:w="1044"/>
      </w:tblGrid>
      <w:tr w14:paraId="5E271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8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000000" w:fill="auto"/>
            <w:vAlign w:val="center"/>
          </w:tcPr>
          <w:p w14:paraId="50C312A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序号</w:t>
            </w:r>
          </w:p>
        </w:tc>
        <w:tc>
          <w:tcPr>
            <w:tcW w:w="73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66B07FE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品牌型号</w:t>
            </w:r>
          </w:p>
        </w:tc>
        <w:tc>
          <w:tcPr>
            <w:tcW w:w="1167" w:type="pct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000000" w:fill="auto"/>
            <w:noWrap/>
            <w:vAlign w:val="center"/>
          </w:tcPr>
          <w:p w14:paraId="1C27302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型号</w:t>
            </w:r>
          </w:p>
        </w:tc>
        <w:tc>
          <w:tcPr>
            <w:tcW w:w="41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auto"/>
            <w:noWrap/>
            <w:vAlign w:val="center"/>
          </w:tcPr>
          <w:p w14:paraId="266E6E2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数量</w:t>
            </w:r>
          </w:p>
        </w:tc>
        <w:tc>
          <w:tcPr>
            <w:tcW w:w="48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7585AEC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单位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 w14:paraId="248F00D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用途</w:t>
            </w: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 w14:paraId="1D208F1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在保状态</w:t>
            </w:r>
          </w:p>
        </w:tc>
        <w:tc>
          <w:tcPr>
            <w:tcW w:w="535" w:type="pct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000000" w:fill="auto"/>
            <w:vAlign w:val="center"/>
          </w:tcPr>
          <w:p w14:paraId="051DAA9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  <w:lang w:val="en-US" w:eastAsia="zh-CN"/>
              </w:rPr>
              <w:t>设备年限</w:t>
            </w:r>
          </w:p>
        </w:tc>
      </w:tr>
      <w:tr w14:paraId="48F93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8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C1BD7F3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737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338457D">
            <w:pPr>
              <w:widowControl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锐捷RG-BDS</w:t>
            </w:r>
          </w:p>
        </w:tc>
        <w:tc>
          <w:tcPr>
            <w:tcW w:w="1167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CEBFCD">
            <w:pPr>
              <w:widowControl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RG-BDS-TSP G1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6A0EAD3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065D61D8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套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F4FFE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网络检测平台</w:t>
            </w: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CA9C6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过保</w:t>
            </w:r>
          </w:p>
        </w:tc>
        <w:tc>
          <w:tcPr>
            <w:tcW w:w="535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79FD5A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2020年</w:t>
            </w:r>
          </w:p>
        </w:tc>
      </w:tr>
      <w:tr w14:paraId="6C0F9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81" w:type="pct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vAlign w:val="center"/>
          </w:tcPr>
          <w:p w14:paraId="1C15C74F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737" w:type="pct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A8BD5A1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锐捷RG-ONC-AIO-H</w:t>
            </w:r>
          </w:p>
        </w:tc>
        <w:tc>
          <w:tcPr>
            <w:tcW w:w="1167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8F303F">
            <w:pPr>
              <w:widowControl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RG-ONC-AIO-H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D3AA18C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2D546EB2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套</w:t>
            </w:r>
          </w:p>
        </w:tc>
        <w:tc>
          <w:tcPr>
            <w:tcW w:w="78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B277FA7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SDN控制器</w:t>
            </w:r>
          </w:p>
        </w:tc>
        <w:tc>
          <w:tcPr>
            <w:tcW w:w="49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558ED1A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过保</w:t>
            </w:r>
          </w:p>
        </w:tc>
        <w:tc>
          <w:tcPr>
            <w:tcW w:w="535" w:type="pct"/>
            <w:vMerge w:val="restart"/>
            <w:tcBorders>
              <w:top w:val="nil"/>
              <w:left w:val="single" w:color="auto" w:sz="4" w:space="0"/>
              <w:right w:val="single" w:color="auto" w:sz="8" w:space="0"/>
            </w:tcBorders>
            <w:vAlign w:val="center"/>
          </w:tcPr>
          <w:p w14:paraId="4F8CEA91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2020年</w:t>
            </w:r>
          </w:p>
        </w:tc>
      </w:tr>
      <w:tr w14:paraId="77A66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81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2DAC3083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7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1CDEE93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7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466734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RG-ONC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BF1FBA6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3D4FED44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套</w:t>
            </w:r>
          </w:p>
        </w:tc>
        <w:tc>
          <w:tcPr>
            <w:tcW w:w="788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4E1B27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9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746BA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35" w:type="pct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6E52C04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EA32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81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46EE06DA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7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489AB3E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7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7B3F65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RG-ONC-DEVICE-200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33BBF50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16272DB1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套</w:t>
            </w:r>
          </w:p>
        </w:tc>
        <w:tc>
          <w:tcPr>
            <w:tcW w:w="788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1099AB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9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E4221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35" w:type="pct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5DFBC43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F05F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81" w:type="pct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3A46DE4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7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618A709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7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CCCAA0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RG-ONC-PFOL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D864B79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440A1170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套</w:t>
            </w:r>
          </w:p>
        </w:tc>
        <w:tc>
          <w:tcPr>
            <w:tcW w:w="78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BBD2B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9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4FF66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35" w:type="pct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E6D1A9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6310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81" w:type="pct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vAlign w:val="center"/>
          </w:tcPr>
          <w:p w14:paraId="0429EF83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737" w:type="pct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7D630E8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锐捷RG-RSR7708-X</w:t>
            </w:r>
          </w:p>
        </w:tc>
        <w:tc>
          <w:tcPr>
            <w:tcW w:w="1167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1F1696">
            <w:pPr>
              <w:widowControl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RG-RSR7708-X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6B25E51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33D943DC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台</w:t>
            </w:r>
          </w:p>
        </w:tc>
        <w:tc>
          <w:tcPr>
            <w:tcW w:w="78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0D2145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核心路由器</w:t>
            </w:r>
          </w:p>
        </w:tc>
        <w:tc>
          <w:tcPr>
            <w:tcW w:w="49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FC21F71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过保</w:t>
            </w:r>
          </w:p>
        </w:tc>
        <w:tc>
          <w:tcPr>
            <w:tcW w:w="535" w:type="pct"/>
            <w:vMerge w:val="restart"/>
            <w:tcBorders>
              <w:top w:val="nil"/>
              <w:left w:val="single" w:color="auto" w:sz="4" w:space="0"/>
              <w:right w:val="single" w:color="auto" w:sz="8" w:space="0"/>
            </w:tcBorders>
            <w:vAlign w:val="center"/>
          </w:tcPr>
          <w:p w14:paraId="353D27EA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2018年</w:t>
            </w:r>
          </w:p>
        </w:tc>
      </w:tr>
      <w:tr w14:paraId="755A9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81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2284EA00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7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011C2E3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7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6E63D8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RSR7708-SRCMI-X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9F92618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26372B48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块</w:t>
            </w:r>
          </w:p>
        </w:tc>
        <w:tc>
          <w:tcPr>
            <w:tcW w:w="788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84245A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9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735734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35" w:type="pct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00E53CD0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F6D3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81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30AB83F7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7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EF265E2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7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3B700E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RSR7708-DSF-X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746CAF0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61E42AC8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块</w:t>
            </w:r>
          </w:p>
        </w:tc>
        <w:tc>
          <w:tcPr>
            <w:tcW w:w="788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4A3372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9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A44865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35" w:type="pct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7F7A3C6E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E6346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81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6CEF5697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7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4D9D698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7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0A42E3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RSR77-SIP5-X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8B4C4C0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09ECBBC4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块</w:t>
            </w:r>
          </w:p>
        </w:tc>
        <w:tc>
          <w:tcPr>
            <w:tcW w:w="788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EC02A7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9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2EA033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35" w:type="pct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6DC4B511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B95D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81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31999FA0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7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D8D90BE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7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F6BE22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ENM-4XS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6E91AF6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07BC058B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块</w:t>
            </w:r>
          </w:p>
        </w:tc>
        <w:tc>
          <w:tcPr>
            <w:tcW w:w="788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2D657C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9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9B2489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35" w:type="pct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4DD5511E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2A45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81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0DB29F9C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7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8A1D4E7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7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71625C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DFNM-32GT/16SFP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FD71EFC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7ACCB942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块</w:t>
            </w:r>
          </w:p>
        </w:tc>
        <w:tc>
          <w:tcPr>
            <w:tcW w:w="788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EC01CE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9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0DF3CE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35" w:type="pct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114F19FA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A2AA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81" w:type="pct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541F413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7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E3D2CEF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7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F190DC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RG-PA1600-RI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D4F1F10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0F678C2C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块</w:t>
            </w:r>
          </w:p>
        </w:tc>
        <w:tc>
          <w:tcPr>
            <w:tcW w:w="78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92212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9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CB4DA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35" w:type="pct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52DE66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D0B2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81" w:type="pct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vAlign w:val="center"/>
          </w:tcPr>
          <w:p w14:paraId="50A16D77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737" w:type="pct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BF1540E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锐捷RG-S8605E</w:t>
            </w:r>
          </w:p>
        </w:tc>
        <w:tc>
          <w:tcPr>
            <w:tcW w:w="1167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329785">
            <w:pPr>
              <w:widowControl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S8605E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3EB9B84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70B9D464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台</w:t>
            </w:r>
          </w:p>
        </w:tc>
        <w:tc>
          <w:tcPr>
            <w:tcW w:w="78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415FE6F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核心交换机</w:t>
            </w:r>
          </w:p>
        </w:tc>
        <w:tc>
          <w:tcPr>
            <w:tcW w:w="49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CEB6C5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过保</w:t>
            </w:r>
          </w:p>
        </w:tc>
        <w:tc>
          <w:tcPr>
            <w:tcW w:w="535" w:type="pct"/>
            <w:vMerge w:val="restart"/>
            <w:tcBorders>
              <w:top w:val="nil"/>
              <w:left w:val="single" w:color="auto" w:sz="4" w:space="0"/>
              <w:right w:val="single" w:color="auto" w:sz="8" w:space="0"/>
            </w:tcBorders>
            <w:vAlign w:val="center"/>
          </w:tcPr>
          <w:p w14:paraId="6746AA96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2020年</w:t>
            </w:r>
          </w:p>
        </w:tc>
      </w:tr>
      <w:tr w14:paraId="13995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81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4F3BF757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7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A8CACAE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7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C97484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M8600E-24GT/8SFP-EB 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887B59B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094EEA5B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块</w:t>
            </w:r>
          </w:p>
        </w:tc>
        <w:tc>
          <w:tcPr>
            <w:tcW w:w="788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816007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9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4DC483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35" w:type="pct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13789282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DB5F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81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7C00D671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7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72FAA7B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7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AC0D39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M8600E-48XS-DC 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58403B3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348EA226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块</w:t>
            </w:r>
          </w:p>
        </w:tc>
        <w:tc>
          <w:tcPr>
            <w:tcW w:w="788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EF6784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9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631962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35" w:type="pct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71D183B0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CDC5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81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1880B5B5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7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CC7A34B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7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D0331D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M8600E-CM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B45A239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596D3182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块</w:t>
            </w:r>
          </w:p>
        </w:tc>
        <w:tc>
          <w:tcPr>
            <w:tcW w:w="788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112909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9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600BD2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35" w:type="pct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4DB2510D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92D8B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81" w:type="pct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B1432E5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7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0F1490C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7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8BFA46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RG-PA600I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C0D09A5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1B380451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块</w:t>
            </w:r>
          </w:p>
        </w:tc>
        <w:tc>
          <w:tcPr>
            <w:tcW w:w="78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A5730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9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FBC61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35" w:type="pct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AABD51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85DE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8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3485ECF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737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A69CD85">
            <w:pPr>
              <w:widowControl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锐捷RG-SAM</w:t>
            </w:r>
          </w:p>
        </w:tc>
        <w:tc>
          <w:tcPr>
            <w:tcW w:w="1167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FE2224">
            <w:pPr>
              <w:widowControl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RG-SAM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B7079BE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74FB1ADD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套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2989E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认证平台</w:t>
            </w: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5BF16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过保</w:t>
            </w:r>
          </w:p>
        </w:tc>
        <w:tc>
          <w:tcPr>
            <w:tcW w:w="535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E09918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2020年</w:t>
            </w:r>
          </w:p>
        </w:tc>
      </w:tr>
      <w:tr w14:paraId="3A7E51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81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FFF64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737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54BC4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锐捷RG-Eportal</w:t>
            </w:r>
          </w:p>
        </w:tc>
        <w:tc>
          <w:tcPr>
            <w:tcW w:w="116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32846AB">
            <w:pPr>
              <w:widowControl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RG-Eportal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5B2BC4E5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2D6D91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套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12E7E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认证组件</w:t>
            </w: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150F1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过保</w:t>
            </w:r>
          </w:p>
        </w:tc>
        <w:tc>
          <w:tcPr>
            <w:tcW w:w="53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9BB1E19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2020年</w:t>
            </w:r>
          </w:p>
        </w:tc>
      </w:tr>
      <w:tr w14:paraId="37839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58343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96DFE">
            <w:pPr>
              <w:widowControl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锐捷RG-RIIL</w:t>
            </w:r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8DD7C25">
            <w:pPr>
              <w:widowControl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RG-RIIL</w:t>
            </w:r>
          </w:p>
        </w:tc>
        <w:tc>
          <w:tcPr>
            <w:tcW w:w="4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23F06D3D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9B6FCF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套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D504F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运维管理平台</w:t>
            </w: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EC70E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过保</w:t>
            </w: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7548D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2020年</w:t>
            </w:r>
          </w:p>
        </w:tc>
      </w:tr>
      <w:tr w14:paraId="67CA74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381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E62EFCE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496A05B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锐捷RG-S2910-24GT4SFP-UP-H</w:t>
            </w:r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9299D3">
            <w:pPr>
              <w:widowControl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S2910-24GT4SFP-UP-H</w:t>
            </w:r>
          </w:p>
        </w:tc>
        <w:tc>
          <w:tcPr>
            <w:tcW w:w="415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0241A87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141A95F2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台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723C7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接入交换机</w:t>
            </w: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47257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过保</w:t>
            </w: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4366C5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2020年</w:t>
            </w:r>
          </w:p>
        </w:tc>
      </w:tr>
    </w:tbl>
    <w:p w14:paraId="1DB8483A">
      <w:pPr>
        <w:spacing w:line="360" w:lineRule="auto"/>
        <w:ind w:firstLine="435"/>
        <w:rPr>
          <w:rFonts w:hint="eastAsia" w:ascii="宋体" w:hAnsi="宋体" w:eastAsia="宋体"/>
          <w:b/>
          <w:sz w:val="21"/>
          <w:szCs w:val="21"/>
          <w:highlight w:val="none"/>
          <w:lang w:val="en-US" w:eastAsia="zh-CN"/>
        </w:rPr>
      </w:pPr>
    </w:p>
    <w:p w14:paraId="5CDF546D">
      <w:pPr>
        <w:spacing w:line="360" w:lineRule="auto"/>
        <w:ind w:firstLine="435"/>
        <w:rPr>
          <w:rFonts w:hint="eastAsia" w:ascii="宋体" w:hAnsi="宋体" w:eastAsia="宋体"/>
          <w:b/>
          <w:sz w:val="21"/>
          <w:szCs w:val="21"/>
          <w:highlight w:val="none"/>
        </w:rPr>
      </w:pPr>
      <w:r>
        <w:rPr>
          <w:rFonts w:hint="eastAsia" w:ascii="宋体" w:hAnsi="宋体" w:eastAsia="宋体"/>
          <w:b/>
          <w:sz w:val="21"/>
          <w:szCs w:val="21"/>
          <w:highlight w:val="none"/>
          <w:lang w:val="en-US" w:eastAsia="zh-CN"/>
        </w:rPr>
        <w:t>三、</w:t>
      </w:r>
      <w:r>
        <w:rPr>
          <w:rFonts w:hint="eastAsia" w:ascii="宋体" w:hAnsi="宋体" w:eastAsia="宋体"/>
          <w:b/>
          <w:sz w:val="21"/>
          <w:szCs w:val="21"/>
          <w:highlight w:val="none"/>
        </w:rPr>
        <w:t>建设服务需求</w:t>
      </w:r>
    </w:p>
    <w:tbl>
      <w:tblPr>
        <w:tblStyle w:val="5"/>
        <w:tblW w:w="5641" w:type="pct"/>
        <w:tblInd w:w="-577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5956"/>
        <w:gridCol w:w="854"/>
        <w:gridCol w:w="825"/>
        <w:gridCol w:w="724"/>
      </w:tblGrid>
      <w:tr w14:paraId="794C6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65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B6B35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服务名称</w:t>
            </w:r>
          </w:p>
        </w:tc>
        <w:tc>
          <w:tcPr>
            <w:tcW w:w="309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20BC17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内容</w:t>
            </w:r>
          </w:p>
        </w:tc>
        <w:tc>
          <w:tcPr>
            <w:tcW w:w="44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80AB5F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数量</w:t>
            </w:r>
          </w:p>
        </w:tc>
        <w:tc>
          <w:tcPr>
            <w:tcW w:w="42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DF4CC7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单位</w:t>
            </w:r>
          </w:p>
        </w:tc>
        <w:tc>
          <w:tcPr>
            <w:tcW w:w="37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3546FA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备注</w:t>
            </w:r>
          </w:p>
        </w:tc>
      </w:tr>
      <w:tr w14:paraId="19F831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7" w:hRule="atLeast"/>
        </w:trPr>
        <w:tc>
          <w:tcPr>
            <w:tcW w:w="65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31A567">
            <w:pPr>
              <w:widowControl/>
              <w:jc w:val="center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设备维保</w:t>
            </w:r>
          </w:p>
        </w:tc>
        <w:tc>
          <w:tcPr>
            <w:tcW w:w="30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5A30BA7">
            <w:pPr>
              <w:widowControl/>
              <w:jc w:val="left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对软硬件维保服务。其主要内容及其要求如下：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1、核心交换机（锐捷RG-S8605E，两台）</w:t>
            </w: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（1）服务要求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购买相关原厂维保服务（特征库升级除外）、保障设备 7×24 小时无故障运行。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（2）服务内容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原厂服务：7×24 小时热线受理、在线技术支持、远程技术咨询、远程故障处理、安全加固优化、软故障排除、硬件故障备件更换，设备远程季度巡检（每年2次，提供设备巡检报告）。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2、核心路由器（锐捷RG-RSR7708-X，1 台）</w:t>
            </w: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（1）服务要求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购买相关原厂续保服务，保障设备 7×24 小时无故障运行。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（2）服务内容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原厂服务：7×24 小时热线受理、在线技术支持、远程技术咨询、远程故障处理、设备季度巡检（每年2次）、故障排除、硬件保修。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3、SD</w:t>
            </w: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  <w:lang w:val="en-US" w:eastAsia="zh-CN"/>
              </w:rPr>
              <w:t>N</w:t>
            </w: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控制器（锐捷RG-ONC-AIO-H，1 台）</w:t>
            </w: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（1）服务要求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购买相关原厂续保服务，保障设备 7×24 小时无故障运行。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（2）服务内容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原厂服务：7×24 小时热线受理、在线技术支持、远程技术咨询、远程故障处理、设备季度巡检（每年2次）、故障排除、硬件保修。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4、</w:t>
            </w: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  <w:lang w:val="en-US" w:eastAsia="zh-CN"/>
              </w:rPr>
              <w:t>网络检测平台</w:t>
            </w: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（锐捷RG-BDS，1 台）</w:t>
            </w: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（1）服务要求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购买相关原厂续保服务，保障设备 7×24 小时无故障运行。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（2）服务内容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原厂服务：7×24 小时热线受理、在线技术支持、远程技术咨询、远程故障处理、设备季度巡检（每年2次）、故障排除、硬件保修。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5、接入交换机（锐捷S2910-24GT4SFP-UP-H，15 台）</w:t>
            </w: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（1）服务要求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购买相关原厂续保服务，保障设备 7×24 小时无故障运行。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（2）服务内容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原厂服务：7×24 小时热线受理、在线技术支持、远程技术咨询、远程故障处理、设备季度巡检（每年2次）、故障排除、硬件保修。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6、认证平台（锐捷RG-SAM，1 套）</w:t>
            </w: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（1）服务要求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购买相关原厂续保服务，保障系统 7×24 小时无故障运行。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（2）服务内容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原厂服务：7×24 小时热线受理、在线技术支持、远程技术咨询、远程故障处理、设备季度巡检（每年2次）、故障排除、硬件保修。</w:t>
            </w:r>
          </w:p>
          <w:p w14:paraId="1B02D818">
            <w:pPr>
              <w:widowControl/>
              <w:jc w:val="left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7、WEB认证Portal（锐捷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RG-Eportal</w:t>
            </w: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，1 套）</w:t>
            </w: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（1）服务要求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购买相关原厂续保服务，保障系统 7×24 小时无故障运行。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（2）服务内容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原厂服务：7×24 小时热线受理、在线技术支持、远程技术咨询、远程故障处理、设备季度巡检（每年2次）、故障排除、硬件保修。</w:t>
            </w:r>
          </w:p>
          <w:p w14:paraId="544E8911">
            <w:pPr>
              <w:widowControl/>
              <w:jc w:val="left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8、运维管理平台（锐捷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RG-RIIL</w:t>
            </w: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，1 套）</w:t>
            </w: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（1）服务要求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购买相关原厂续保服务，保障系统 7×24 小时无故障运行。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（2）服务内容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原厂服务：7×24 小时热线受理、在线技术支持、远程技术咨询、远程故障处理、设备季度巡检（每年2次）、故障排除、硬件保修。</w:t>
            </w:r>
          </w:p>
          <w:p w14:paraId="2C1F0C02">
            <w:pPr>
              <w:pStyle w:val="3"/>
              <w:rPr>
                <w:rFonts w:hint="eastAsia"/>
              </w:rPr>
            </w:pPr>
          </w:p>
          <w:p w14:paraId="63ED217F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针对以上原厂服务内容，要求签订合同前需出具原厂质保服务承诺函并加盖原厂公章。</w:t>
            </w:r>
          </w:p>
          <w:p w14:paraId="1201B547">
            <w:pPr>
              <w:pStyle w:val="3"/>
              <w:rPr>
                <w:rFonts w:hint="eastAsia"/>
                <w:lang w:eastAsia="zh-CN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B2AFA8D">
            <w:pPr>
              <w:widowControl/>
              <w:jc w:val="center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ADABEE6">
            <w:pPr>
              <w:widowControl/>
              <w:jc w:val="center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项</w:t>
            </w:r>
          </w:p>
        </w:tc>
        <w:tc>
          <w:tcPr>
            <w:tcW w:w="37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4DA68EE">
            <w:pPr>
              <w:widowControl/>
              <w:jc w:val="center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</w:p>
        </w:tc>
      </w:tr>
      <w:tr w14:paraId="161CE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65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808697">
            <w:pPr>
              <w:widowControl/>
              <w:jc w:val="center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IPv6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改造升级服务</w:t>
            </w:r>
          </w:p>
        </w:tc>
        <w:tc>
          <w:tcPr>
            <w:tcW w:w="30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AB82806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1、校园网 IPv4/IPv6 双栈部署</w:t>
            </w:r>
          </w:p>
          <w:p w14:paraId="25E42780">
            <w:pPr>
              <w:spacing w:line="360" w:lineRule="auto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对校园网全网进行 IPv4/IPv6 双栈网络改造，实现IPv4 认证、IPv6 放行运行模式。</w:t>
            </w:r>
          </w:p>
          <w:p w14:paraId="3CCC319E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2、IPv6 地址与路由规划设计</w:t>
            </w:r>
          </w:p>
          <w:p w14:paraId="00984542">
            <w:pPr>
              <w:spacing w:line="360" w:lineRule="auto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根据学校网络架构与业务需求，提供完整 IPv6 规划方案，包含IPv6 地址设计、实施方案设计、路由规划设计、出口策略设计，确保网络可扩展、易运维。</w:t>
            </w:r>
          </w:p>
          <w:p w14:paraId="6CA593B2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3、网络设备 IPv6 功能配置</w:t>
            </w:r>
          </w:p>
          <w:p w14:paraId="271FFFA4">
            <w:pPr>
              <w:spacing w:line="360" w:lineRule="auto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完成核心交换机、路由器、出口安全设备等全网设备的 IPv6 功能激活、接口配置、路由发布、转发策略调试，保障 IPv6 流量正常通行。</w:t>
            </w:r>
          </w:p>
          <w:p w14:paraId="119EEBDB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4、IPv6 全面测试与验收报告</w:t>
            </w:r>
          </w:p>
          <w:p w14:paraId="18CAE9A8">
            <w:pPr>
              <w:spacing w:line="360" w:lineRule="auto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提供规范 IPv6 测试报告，包含：</w:t>
            </w:r>
          </w:p>
          <w:p w14:paraId="3B72953E">
            <w:pPr>
              <w:numPr>
                <w:ilvl w:val="0"/>
                <w:numId w:val="1"/>
              </w:numPr>
              <w:spacing w:line="360" w:lineRule="auto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连通性测试：跨区域 IPv6 通信验证（traceroute6 测试）</w:t>
            </w:r>
          </w:p>
          <w:p w14:paraId="35D442BE">
            <w:pPr>
              <w:numPr>
                <w:ilvl w:val="0"/>
                <w:numId w:val="1"/>
              </w:numPr>
              <w:spacing w:line="360" w:lineRule="auto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业务测试：IPv6 业务访问可用性测试</w:t>
            </w:r>
          </w:p>
          <w:p w14:paraId="2B1136FC">
            <w:pPr>
              <w:numPr>
                <w:ilvl w:val="0"/>
                <w:numId w:val="1"/>
              </w:numPr>
              <w:spacing w:line="360" w:lineRule="auto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审计验证：模拟用户访问生成日志并可回溯</w:t>
            </w:r>
          </w:p>
          <w:p w14:paraId="4E7731B8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5、IPv6 现场运维培训</w:t>
            </w:r>
          </w:p>
          <w:p w14:paraId="4DBB4752">
            <w:pPr>
              <w:spacing w:line="360" w:lineRule="auto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提供厂家 IPv6 现场实操培训，内容包括IPv6 地址配置、故障排查、日常维护，提供正式培训 PPT 课件。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4ABE8B6">
            <w:pPr>
              <w:widowControl/>
              <w:jc w:val="center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20B5260">
            <w:pPr>
              <w:widowControl/>
              <w:jc w:val="center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项</w:t>
            </w:r>
          </w:p>
        </w:tc>
        <w:tc>
          <w:tcPr>
            <w:tcW w:w="37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76418EC">
            <w:pPr>
              <w:widowControl/>
              <w:jc w:val="center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</w:p>
        </w:tc>
      </w:tr>
      <w:tr w14:paraId="452451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53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EB830BA">
            <w:pPr>
              <w:widowControl/>
              <w:jc w:val="center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认证能力升级服务</w:t>
            </w:r>
          </w:p>
        </w:tc>
        <w:tc>
          <w:tcPr>
            <w:tcW w:w="3096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2B324A3B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1、EDUROOM 联校认证对接</w:t>
            </w:r>
          </w:p>
          <w:p w14:paraId="43567A3F">
            <w:pPr>
              <w:spacing w:line="360" w:lineRule="auto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按教育网规范完成与 EDUROOM 平台对接，实现校内账号跨校统一身份认证，满足跨校资源访问与业务协作需求。</w:t>
            </w:r>
          </w:p>
          <w:p w14:paraId="679CA14B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2、认证系统安全与运维优化</w:t>
            </w:r>
          </w:p>
          <w:p w14:paraId="652AB7C0">
            <w:pPr>
              <w:spacing w:line="360" w:lineRule="auto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对认证系统进行安全加固，优化账号管理策略；提供认证系统操作培训，提升校内运维人员独立管理能力。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32D829CD">
            <w:pPr>
              <w:widowControl/>
              <w:jc w:val="center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29C86A47">
            <w:pPr>
              <w:widowControl/>
              <w:jc w:val="center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项</w:t>
            </w:r>
          </w:p>
        </w:tc>
        <w:tc>
          <w:tcPr>
            <w:tcW w:w="376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08A1E03E">
            <w:pPr>
              <w:widowControl/>
              <w:jc w:val="center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</w:p>
        </w:tc>
      </w:tr>
      <w:tr w14:paraId="6F6970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53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1C7E368">
            <w:pPr>
              <w:widowControl/>
              <w:jc w:val="center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运维平台升级</w:t>
            </w:r>
          </w:p>
        </w:tc>
        <w:tc>
          <w:tcPr>
            <w:tcW w:w="3096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0A1A58F0">
            <w:pPr>
              <w:widowControl/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对现有运维平台进行升级：</w:t>
            </w:r>
          </w:p>
          <w:p w14:paraId="2FD29CAC">
            <w:pPr>
              <w:widowControl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统一监控：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网络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  <w:lang w:val="en-US" w:eastAsia="zh-CN"/>
              </w:rPr>
              <w:t>设备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、安全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  <w:lang w:val="en-US" w:eastAsia="zh-CN"/>
              </w:rPr>
              <w:t>设备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、服务器、存储、虚拟化等支持多厂商设备。</w:t>
            </w:r>
          </w:p>
          <w:p w14:paraId="3DD12FC7">
            <w:pPr>
              <w:widowControl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精准告警：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智能降噪、根因分析、自动关联，告警准确率高。</w:t>
            </w:r>
          </w:p>
          <w:p w14:paraId="1D22AF1A">
            <w:pPr>
              <w:widowControl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健康检查+风险闭环：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自动巡检、隐患识别、处置建议、报告输出。</w:t>
            </w:r>
          </w:p>
          <w:p w14:paraId="56A428B3">
            <w:pPr>
              <w:widowControl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资产与配置管理：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IT资产全生命周期、配置自动发现与刷新。</w:t>
            </w:r>
          </w:p>
          <w:p w14:paraId="4C6C04E4">
            <w:pPr>
              <w:spacing w:line="360" w:lineRule="auto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可视化大屏：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拓扑、业务链路、性能报表，运维态势直观呈现。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67047F2F">
            <w:pPr>
              <w:widowControl/>
              <w:jc w:val="center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32901E8B">
            <w:pPr>
              <w:widowControl/>
              <w:jc w:val="center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项</w:t>
            </w:r>
          </w:p>
        </w:tc>
        <w:tc>
          <w:tcPr>
            <w:tcW w:w="376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5DF0869F">
            <w:pPr>
              <w:widowControl/>
              <w:jc w:val="center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</w:p>
        </w:tc>
      </w:tr>
      <w:tr w14:paraId="0AABA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F8CE2">
            <w:pPr>
              <w:widowControl/>
              <w:jc w:val="center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全网IP规划及整改服务</w:t>
            </w:r>
          </w:p>
        </w:tc>
        <w:tc>
          <w:tcPr>
            <w:tcW w:w="30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C84CD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1、全网现状梳理与 IP 地址重新规划</w:t>
            </w:r>
          </w:p>
          <w:p w14:paraId="766FB058">
            <w:pPr>
              <w:spacing w:line="360" w:lineRule="auto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全面梳理校园网现有网络架构、IP 地址分配、VLAN 规划、路由策略；按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1D1D20"/>
                <w:kern w:val="0"/>
                <w:sz w:val="21"/>
                <w:szCs w:val="21"/>
              </w:rPr>
              <w:t>一个 VLAN 对应一个 IP 段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标准重新规划全网IP地址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  <w:lang w:val="en-US" w:eastAsia="zh-CN"/>
              </w:rPr>
              <w:t>按采购人需求规划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，消除地址段重叠、DHCP 冲突、路由策略复杂等问题，提升地址可读性与扩展性。</w:t>
            </w:r>
          </w:p>
          <w:p w14:paraId="35CD142F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2、路由策略优化与最优路径调整</w:t>
            </w:r>
          </w:p>
          <w:p w14:paraId="178C1E6D">
            <w:pPr>
              <w:spacing w:line="360" w:lineRule="auto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优化现有静态路由、策略路由配置，简化路由表，减少路由环路与冗余，实现业务流量最优路径转发，降低出口故障切换时间，提升网络整体转发效率与稳定性。</w:t>
            </w:r>
          </w:p>
          <w:p w14:paraId="7577FCC8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3、网络架构优化调整</w:t>
            </w:r>
          </w:p>
          <w:p w14:paraId="172985E9">
            <w:pPr>
              <w:spacing w:line="360" w:lineRule="auto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优化数据中心网络架构，采用虚拟化技术组建数据中心核心，将业务网关部署在数据中心核心设备；数据中心核心与校园网核心采用三层架构互联，提升架构可靠性、扩展性与维护便捷性。</w:t>
            </w:r>
          </w:p>
          <w:p w14:paraId="2F02FBDC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4、全网边缘设备安全加固</w:t>
            </w:r>
          </w:p>
          <w:p w14:paraId="2084F3F3">
            <w:pPr>
              <w:spacing w:line="360" w:lineRule="auto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对全网接入交换机、汇聚设备进行安全加固，开启源地址校验、ARP 防欺骗、广播风暴抑制、常见病毒端口封禁等安全策略，提升边缘接入安全能力，降低内网安全风险。</w:t>
            </w:r>
          </w:p>
          <w:p w14:paraId="278F80A1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5、设备访问安全强化</w:t>
            </w:r>
          </w:p>
          <w:p w14:paraId="474661AD">
            <w:pPr>
              <w:spacing w:line="360" w:lineRule="auto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对全网在网设备统一实施访问控制优化：禁用 Telnet、HTTP 等不安全协议，强制使用 SSHv2、HTTPS 管理方式；遵循最小权限原则，配置基于角色的访问控制（RBAC）；关闭设备不必要服务与端口，提升设备自身安全性。</w:t>
            </w:r>
          </w:p>
          <w:p w14:paraId="721E04BC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6、DHCP 服务优化</w:t>
            </w:r>
          </w:p>
          <w:p w14:paraId="04A886CD">
            <w:pPr>
              <w:spacing w:line="360" w:lineRule="auto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对校园网DHCP服务进行全面评估与优化，提升解析效率与地址分配稳定性；根据需要部署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  <w:lang w:val="en-US" w:eastAsia="zh-CN"/>
              </w:rPr>
              <w:t>DHCP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冗余服务，提升可靠性；优化地址租期、网关等分配选项，降低终端获取地址失败率。</w:t>
            </w:r>
          </w:p>
          <w:p w14:paraId="50482C88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7、运维平台可视化管理完善</w:t>
            </w:r>
          </w:p>
          <w:p w14:paraId="7BE13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完成全网设备在运维平台的标准化纳管，实现链路状态、设备状态、端口流量、拓扑结构的统一可视化展示与监控，提升运维效率与故障定位速度。</w:t>
            </w:r>
          </w:p>
          <w:p w14:paraId="4D094BA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  <w:lang w:val="en-US" w:eastAsia="zh-CN" w:bidi="ar-SA"/>
              </w:rPr>
              <w:t>8、向采购人提供完整的校园网络IP规划的全部电子资料。</w:t>
            </w:r>
          </w:p>
        </w:tc>
        <w:tc>
          <w:tcPr>
            <w:tcW w:w="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CE88E">
            <w:pPr>
              <w:widowControl/>
              <w:jc w:val="center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1</w:t>
            </w:r>
          </w:p>
        </w:tc>
        <w:tc>
          <w:tcPr>
            <w:tcW w:w="4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247B5">
            <w:pPr>
              <w:widowControl/>
              <w:jc w:val="center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项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5C678">
            <w:pPr>
              <w:widowControl/>
              <w:jc w:val="center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</w:p>
        </w:tc>
      </w:tr>
      <w:tr w14:paraId="404BAB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6" w:hRule="atLeast"/>
        </w:trPr>
        <w:tc>
          <w:tcPr>
            <w:tcW w:w="6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8777B">
            <w:pPr>
              <w:widowControl/>
              <w:jc w:val="center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校园网络（有线）弱电间整理服务</w:t>
            </w:r>
          </w:p>
        </w:tc>
        <w:tc>
          <w:tcPr>
            <w:tcW w:w="30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CA7A3">
            <w:pPr>
              <w:spacing w:line="312" w:lineRule="auto"/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1、弱电间全覆盖整治</w:t>
            </w:r>
          </w:p>
          <w:p w14:paraId="1627FF18">
            <w:pPr>
              <w:spacing w:line="312" w:lineRule="auto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完成全校共12 间弱电间标准化整理、规整与环境清理，确保所有弱电间环境整洁、布线规范、安全合规。</w:t>
            </w:r>
          </w:p>
          <w:p w14:paraId="1771FE42">
            <w:pPr>
              <w:spacing w:line="312" w:lineRule="auto"/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2、强弱电分离整改</w:t>
            </w:r>
          </w:p>
          <w:p w14:paraId="0B33E8D8">
            <w:pPr>
              <w:spacing w:line="312" w:lineRule="auto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将网络设备强电与监控、门禁、广播等其他子系统强电实施物理分离布线，分路敷设、分区走线，严禁混扎混走；为网络设备供电配置独立空开单独控制，实现分路供电、安全隔离，消除电气安全隐患。</w:t>
            </w:r>
          </w:p>
          <w:p w14:paraId="61786927">
            <w:pPr>
              <w:spacing w:line="312" w:lineRule="auto"/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3、弱电间环境清理</w:t>
            </w:r>
          </w:p>
          <w:p w14:paraId="6366F055">
            <w:pPr>
              <w:spacing w:line="312" w:lineRule="auto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全面清理弱电间内废弃纸箱、线缆、工具、耗材等全部杂物，保持室内无冗余物品、无堵塞通道；使用专业吸尘器对机柜内部、设备表面、地面、线槽、桥架进行全面除尘清灰，提升设备散热与运行安全性。</w:t>
            </w:r>
          </w:p>
          <w:p w14:paraId="7F1ECDAF">
            <w:pPr>
              <w:spacing w:line="312" w:lineRule="auto"/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</w:rPr>
              <w:t>4、布线与标识规范</w:t>
            </w:r>
          </w:p>
          <w:p w14:paraId="5BC5A67D">
            <w:pPr>
              <w:spacing w:line="312" w:lineRule="auto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对弱电间内网络线缆进行整理、绑扎、理顺，固定到位；对关键链路、端口、配线架进行统一标识，便于后期维护与故障排查。</w:t>
            </w:r>
          </w:p>
          <w:p w14:paraId="2778CAC9">
            <w:pPr>
              <w:spacing w:line="312" w:lineRule="auto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D1D20"/>
                <w:kern w:val="0"/>
                <w:sz w:val="21"/>
                <w:szCs w:val="21"/>
                <w:lang w:val="en-US" w:eastAsia="zh-CN"/>
              </w:rPr>
              <w:t>5、光缆光纤整理（含光纤熔纤）</w:t>
            </w:r>
          </w:p>
        </w:tc>
        <w:tc>
          <w:tcPr>
            <w:tcW w:w="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0E340">
            <w:pPr>
              <w:widowControl/>
              <w:jc w:val="center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1</w:t>
            </w:r>
          </w:p>
        </w:tc>
        <w:tc>
          <w:tcPr>
            <w:tcW w:w="4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ADFEB">
            <w:pPr>
              <w:widowControl/>
              <w:jc w:val="center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  <w:t>项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D3A20">
            <w:pPr>
              <w:widowControl/>
              <w:jc w:val="center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</w:p>
        </w:tc>
      </w:tr>
      <w:tr w14:paraId="6F37E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6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92C66">
            <w:pPr>
              <w:widowControl/>
              <w:jc w:val="center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  <w:lang w:val="en-US" w:eastAsia="zh-CN"/>
              </w:rPr>
              <w:t>钢制桥架</w:t>
            </w:r>
          </w:p>
        </w:tc>
        <w:tc>
          <w:tcPr>
            <w:tcW w:w="30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08027">
            <w:pPr>
              <w:spacing w:line="312" w:lineRule="auto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  <w:lang w:val="en-US" w:eastAsia="zh-CN"/>
              </w:rPr>
              <w:t>、规格：200*100mm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  <w:lang w:val="en-US" w:eastAsia="zh-CN"/>
              </w:rPr>
              <w:t>2、具体按现场实际量结算</w:t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  <w:lang w:val="en-US" w:eastAsia="zh-CN"/>
              </w:rPr>
              <w:t>3、含固定螺丝、安装、连接等配件</w:t>
            </w:r>
          </w:p>
        </w:tc>
        <w:tc>
          <w:tcPr>
            <w:tcW w:w="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5F1D5">
            <w:pPr>
              <w:widowControl/>
              <w:jc w:val="center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  <w:lang w:val="en-US" w:eastAsia="zh-CN"/>
              </w:rPr>
              <w:t>150</w:t>
            </w:r>
          </w:p>
        </w:tc>
        <w:tc>
          <w:tcPr>
            <w:tcW w:w="4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8DB3C">
            <w:pPr>
              <w:widowControl/>
              <w:jc w:val="center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  <w:lang w:val="en-US" w:eastAsia="zh-CN"/>
              </w:rPr>
              <w:t>米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B04F5">
            <w:pPr>
              <w:widowControl/>
              <w:jc w:val="center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</w:p>
        </w:tc>
      </w:tr>
      <w:tr w14:paraId="0878D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6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60FF9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  <w:lang w:val="en-US" w:eastAsia="zh-CN"/>
              </w:rPr>
              <w:t>剩余电流动作保护断路器</w:t>
            </w:r>
          </w:p>
        </w:tc>
        <w:tc>
          <w:tcPr>
            <w:tcW w:w="30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0E103">
            <w:pPr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  <w:lang w:val="en-US" w:eastAsia="zh-CN"/>
              </w:rPr>
              <w:t>额定电流 12A 一体式漏电保护装置（含明装空开盒），具备过载保护、短路保护、剩余电流动作保护功能，动作灵敏可靠，符合现行电气安装标准。</w:t>
            </w:r>
          </w:p>
        </w:tc>
        <w:tc>
          <w:tcPr>
            <w:tcW w:w="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26DBD">
            <w:pPr>
              <w:widowControl/>
              <w:jc w:val="center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4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9D77A">
            <w:pPr>
              <w:widowControl/>
              <w:jc w:val="center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77031">
            <w:pPr>
              <w:widowControl/>
              <w:jc w:val="center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</w:p>
        </w:tc>
      </w:tr>
      <w:tr w14:paraId="32C35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6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2AE50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  <w:lang w:val="en-US" w:eastAsia="zh-CN"/>
              </w:rPr>
              <w:t>电源线</w:t>
            </w:r>
          </w:p>
        </w:tc>
        <w:tc>
          <w:tcPr>
            <w:tcW w:w="30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A2AAA">
            <w:pPr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  <w:lang w:val="en-US" w:eastAsia="zh-CN"/>
              </w:rPr>
              <w:t>RVV3×2.5mm² 铜芯软电源线，额定电压 300/500V，阻燃绝缘，符合国标及项目供电要求。</w:t>
            </w:r>
          </w:p>
        </w:tc>
        <w:tc>
          <w:tcPr>
            <w:tcW w:w="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0820A">
            <w:pPr>
              <w:widowControl/>
              <w:jc w:val="center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  <w:lang w:val="en-US" w:eastAsia="zh-CN"/>
              </w:rPr>
              <w:t>800</w:t>
            </w:r>
          </w:p>
        </w:tc>
        <w:tc>
          <w:tcPr>
            <w:tcW w:w="4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55690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0C3F1">
            <w:pPr>
              <w:widowControl/>
              <w:jc w:val="center"/>
              <w:rPr>
                <w:rFonts w:hint="eastAsia" w:ascii="宋体" w:hAnsi="宋体" w:eastAsia="宋体" w:cs="宋体"/>
                <w:color w:val="1D1D20"/>
                <w:kern w:val="0"/>
                <w:sz w:val="21"/>
                <w:szCs w:val="21"/>
              </w:rPr>
            </w:pPr>
          </w:p>
        </w:tc>
      </w:tr>
    </w:tbl>
    <w:p w14:paraId="0A1AD582">
      <w:pPr>
        <w:spacing w:after="0" w:line="360" w:lineRule="auto"/>
        <w:ind w:firstLine="422" w:firstLineChars="200"/>
        <w:jc w:val="both"/>
        <w:outlineLvl w:val="1"/>
        <w:rPr>
          <w:rFonts w:hint="eastAsia" w:ascii="宋体" w:hAnsi="宋体" w:eastAsia="宋体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 w:val="21"/>
          <w:szCs w:val="21"/>
          <w:lang w:val="en-US" w:eastAsia="zh-CN"/>
        </w:rPr>
        <w:t>四、报价要求</w:t>
      </w:r>
    </w:p>
    <w:p w14:paraId="0FF2F1E9">
      <w:pPr>
        <w:spacing w:after="0" w:line="360" w:lineRule="auto"/>
        <w:ind w:firstLine="422" w:firstLineChars="200"/>
        <w:jc w:val="both"/>
        <w:outlineLvl w:val="1"/>
        <w:rPr>
          <w:rFonts w:hint="eastAsia" w:ascii="宋体" w:hAnsi="宋体" w:eastAsia="宋体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 w:val="21"/>
          <w:szCs w:val="21"/>
          <w:lang w:val="en-US" w:eastAsia="zh-CN"/>
        </w:rPr>
        <w:t>1、本项目报价最高限价为28.5万元，包括但不限于：本项目需求的全部服务需求、人工、安装调试、配件辅材费等完成项目应有的全部费用，响应人需做出合理的判断和估价，一旦成交不得再向采购人收取任何费用。</w:t>
      </w:r>
    </w:p>
    <w:p w14:paraId="5DE7B899">
      <w:pPr>
        <w:spacing w:after="0" w:line="360" w:lineRule="auto"/>
        <w:ind w:firstLine="422" w:firstLineChars="200"/>
        <w:jc w:val="both"/>
        <w:outlineLvl w:val="1"/>
        <w:rPr>
          <w:rFonts w:hint="eastAsia" w:ascii="宋体" w:hAnsi="宋体" w:eastAsia="宋体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 w:val="21"/>
          <w:szCs w:val="21"/>
          <w:lang w:val="en-US" w:eastAsia="zh-CN"/>
        </w:rPr>
        <w:t>2、项目实施前要保存好现有的网络规划配置、网络设备配置等，项目实施完成后要保证校园网络正常运行。</w:t>
      </w:r>
    </w:p>
    <w:p w14:paraId="4904B5A7">
      <w:pPr>
        <w:spacing w:after="0" w:line="360" w:lineRule="auto"/>
        <w:ind w:firstLine="422" w:firstLineChars="200"/>
        <w:jc w:val="both"/>
        <w:outlineLvl w:val="1"/>
        <w:rPr>
          <w:rFonts w:hint="eastAsia" w:ascii="宋体" w:hAnsi="宋体" w:eastAsia="宋体" w:cs="Times New Roman"/>
          <w:b/>
          <w:bCs/>
          <w:sz w:val="21"/>
          <w:szCs w:val="21"/>
        </w:rPr>
      </w:pPr>
      <w:r>
        <w:rPr>
          <w:rFonts w:hint="eastAsia" w:ascii="宋体" w:hAnsi="宋体" w:eastAsia="宋体" w:cs="Times New Roman"/>
          <w:b/>
          <w:bCs/>
          <w:sz w:val="21"/>
          <w:szCs w:val="21"/>
          <w:lang w:val="en-US" w:eastAsia="zh-CN"/>
        </w:rPr>
        <w:t>五</w:t>
      </w:r>
      <w:r>
        <w:rPr>
          <w:rFonts w:hint="eastAsia" w:ascii="宋体" w:hAnsi="宋体" w:eastAsia="宋体" w:cs="Times New Roman"/>
          <w:b/>
          <w:bCs/>
          <w:sz w:val="21"/>
          <w:szCs w:val="21"/>
        </w:rPr>
        <w:t>、验收</w:t>
      </w:r>
    </w:p>
    <w:p w14:paraId="7B577916">
      <w:pPr>
        <w:spacing w:after="0" w:line="360" w:lineRule="auto"/>
        <w:ind w:firstLine="420" w:firstLineChars="200"/>
        <w:jc w:val="both"/>
        <w:rPr>
          <w:rFonts w:hint="eastAsia" w:ascii="宋体" w:hAnsi="宋体" w:eastAsia="宋体" w:cs="Times New Roman"/>
          <w:sz w:val="21"/>
          <w:szCs w:val="21"/>
        </w:rPr>
      </w:pPr>
      <w:r>
        <w:rPr>
          <w:rFonts w:hint="eastAsia" w:ascii="宋体" w:hAnsi="宋体" w:eastAsia="宋体" w:cs="Times New Roman"/>
          <w:sz w:val="21"/>
          <w:szCs w:val="21"/>
        </w:rPr>
        <w:t>成交人和采购人双方共同实施验收工作，验收结果和验收报告经双方确认后生效。</w:t>
      </w:r>
    </w:p>
    <w:p w14:paraId="5C759117">
      <w:pPr>
        <w:spacing w:line="360" w:lineRule="auto"/>
        <w:ind w:firstLine="422" w:firstLineChars="200"/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</w:pPr>
    </w:p>
    <w:p w14:paraId="4ED0D46F">
      <w:pPr>
        <w:spacing w:line="360" w:lineRule="auto"/>
        <w:ind w:firstLine="422" w:firstLineChars="200"/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备注：</w:t>
      </w:r>
    </w:p>
    <w:p w14:paraId="5877DF42">
      <w:pPr>
        <w:spacing w:line="360" w:lineRule="auto"/>
        <w:ind w:firstLine="420" w:firstLineChars="200"/>
        <w:rPr>
          <w:rFonts w:ascii="宋体" w:hAnsi="宋体" w:cs="宋体"/>
          <w:sz w:val="21"/>
          <w:szCs w:val="21"/>
          <w:highlight w:val="none"/>
        </w:rPr>
      </w:pPr>
      <w:r>
        <w:rPr>
          <w:rFonts w:hint="eastAsia" w:ascii="宋体" w:hAnsi="宋体" w:cs="宋体"/>
          <w:sz w:val="21"/>
          <w:szCs w:val="21"/>
          <w:highlight w:val="none"/>
        </w:rPr>
        <w:t>1</w:t>
      </w:r>
      <w:r>
        <w:rPr>
          <w:rFonts w:hint="eastAsia" w:ascii="宋体" w:hAnsi="宋体" w:cs="宋体"/>
          <w:sz w:val="21"/>
          <w:szCs w:val="21"/>
          <w:highlight w:val="none"/>
          <w:lang w:val="en-US" w:eastAsia="zh-CN"/>
        </w:rPr>
        <w:t>.供应商</w:t>
      </w:r>
      <w:r>
        <w:rPr>
          <w:rFonts w:hint="eastAsia" w:ascii="宋体" w:hAnsi="宋体" w:cs="宋体"/>
          <w:sz w:val="21"/>
          <w:szCs w:val="21"/>
          <w:highlight w:val="none"/>
        </w:rPr>
        <w:t>应按照采购文件要求提供证明材料（如有）。若</w:t>
      </w:r>
      <w:r>
        <w:rPr>
          <w:rFonts w:hint="eastAsia" w:ascii="宋体" w:hAnsi="宋体" w:cs="宋体"/>
          <w:sz w:val="21"/>
          <w:szCs w:val="21"/>
          <w:highlight w:val="none"/>
          <w:lang w:val="en-US" w:eastAsia="zh-CN"/>
        </w:rPr>
        <w:t>供应商</w:t>
      </w:r>
      <w:r>
        <w:rPr>
          <w:rFonts w:hint="eastAsia" w:ascii="宋体" w:hAnsi="宋体" w:cs="宋体"/>
          <w:sz w:val="21"/>
          <w:szCs w:val="21"/>
          <w:highlight w:val="none"/>
        </w:rPr>
        <w:t xml:space="preserve">提供了采购文件未要求的证明材料，磋商小组将不予评审。 </w:t>
      </w:r>
    </w:p>
    <w:p w14:paraId="20F3F155">
      <w:pPr>
        <w:spacing w:line="360" w:lineRule="auto"/>
        <w:ind w:firstLine="420" w:firstLineChars="200"/>
        <w:rPr>
          <w:rFonts w:hint="eastAsia" w:ascii="宋体" w:hAnsi="宋体" w:cs="宋体"/>
          <w:sz w:val="21"/>
          <w:szCs w:val="21"/>
          <w:highlight w:val="none"/>
        </w:rPr>
      </w:pPr>
      <w:r>
        <w:rPr>
          <w:rFonts w:hint="eastAsia" w:ascii="宋体" w:hAnsi="宋体" w:cs="宋体"/>
          <w:sz w:val="21"/>
          <w:szCs w:val="21"/>
          <w:highlight w:val="none"/>
        </w:rPr>
        <w:t>2</w:t>
      </w:r>
      <w:r>
        <w:rPr>
          <w:rFonts w:hint="eastAsia" w:ascii="宋体" w:hAnsi="宋体" w:cs="宋体"/>
          <w:sz w:val="21"/>
          <w:szCs w:val="21"/>
          <w:highlight w:val="none"/>
          <w:lang w:val="en-US" w:eastAsia="zh-CN"/>
        </w:rPr>
        <w:t>.供应商</w:t>
      </w:r>
      <w:r>
        <w:rPr>
          <w:rFonts w:hint="eastAsia" w:ascii="宋体" w:hAnsi="宋体" w:cs="宋体"/>
          <w:sz w:val="21"/>
          <w:szCs w:val="21"/>
          <w:highlight w:val="none"/>
        </w:rPr>
        <w:t>提供的证明材料（如有）须清晰的反映评审内容，如因材料模糊不清，导致磋商小组无法辨认的，磋商小组可以不予认可，一切后果由</w:t>
      </w:r>
      <w:r>
        <w:rPr>
          <w:rFonts w:hint="eastAsia" w:ascii="宋体" w:hAnsi="宋体" w:cs="宋体"/>
          <w:sz w:val="21"/>
          <w:szCs w:val="21"/>
          <w:highlight w:val="none"/>
          <w:lang w:val="en-US" w:eastAsia="zh-CN"/>
        </w:rPr>
        <w:t>供应商</w:t>
      </w:r>
      <w:r>
        <w:rPr>
          <w:rFonts w:hint="eastAsia" w:ascii="宋体" w:hAnsi="宋体" w:cs="宋体"/>
          <w:sz w:val="21"/>
          <w:szCs w:val="21"/>
          <w:highlight w:val="none"/>
        </w:rPr>
        <w:t>自行承担。</w:t>
      </w:r>
      <w:bookmarkEnd w:id="7"/>
    </w:p>
    <w:p w14:paraId="709BB0D4">
      <w:bookmarkStart w:id="8" w:name="_GoBack"/>
      <w:bookmarkEnd w:id="8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@微软简标宋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7F4836"/>
    <w:multiLevelType w:val="multilevel"/>
    <w:tmpl w:val="037F483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1F1798"/>
    <w:rsid w:val="3F1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@仿宋_GB2312" w:hAnsi="@仿宋_GB2312" w:cs="@仿宋_GB2312" w:eastAsiaTheme="minorEastAsia"/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/>
    </w:pPr>
    <w:rPr>
      <w:rFonts w:ascii="@微软简标宋" w:hAnsi="@微软简标宋" w:cs="@微软简标宋"/>
      <w:szCs w:val="24"/>
      <w:lang w:val="zh-CN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D&amp;L"/>
    <w:basedOn w:val="4"/>
    <w:qFormat/>
    <w:uiPriority w:val="0"/>
    <w:pPr>
      <w:pBdr>
        <w:bottom w:val="thinThickSmallGap" w:color="auto" w:sz="18" w:space="1"/>
      </w:pBdr>
      <w:adjustRightInd w:val="0"/>
      <w:snapToGrid/>
      <w:spacing w:line="240" w:lineRule="atLeast"/>
      <w:textAlignment w:val="baseline"/>
    </w:pPr>
    <w:rPr>
      <w:kern w:val="0"/>
      <w:sz w:val="24"/>
      <w:szCs w:val="20"/>
    </w:rPr>
  </w:style>
  <w:style w:type="paragraph" w:customStyle="1" w:styleId="8">
    <w:name w:val="xl31"/>
    <w:basedOn w:val="1"/>
    <w:qFormat/>
    <w:uiPriority w:val="0"/>
    <w:pPr>
      <w:widowControl/>
      <w:spacing w:before="100" w:beforeAutospacing="1" w:after="100" w:afterAutospacing="1"/>
      <w:jc w:val="center"/>
    </w:pPr>
    <w:rPr>
      <w:b/>
      <w:bCs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2026-09-14T02:46:00Z</dcterms:created>
  <dc:creator>NTKO</dc:creator>
  <cp:lastModifiedBy>NTKO</cp:lastModifiedBy>
  <dcterms:modified xsi:type="dcterms:W3CDTF">2026-09-14T02:47:19Z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68D410A3F1DB44AEB378FC9CD6EF6CF2_11</vt:lpwstr>
  </property>
  <property fmtid="{D5CDD505-2E9C-101B-9397-08002B2CF9AE}" pid="4" name="KSOTemplateDocerSaveRecord">
    <vt:lpwstr>eyJoZGlkIjoiYTg0MTM2OTgzZWYzMDE3ZjJjZDgyMzM1Y2M5NTYyZGIiLCJ1c2VySWQiOiI4MDc5MDQxNzAifQ==</vt:lpwstr>
  </property>
</Properties>
</file>