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firstLine="0"/>
        <w:jc w:val="center"/>
        <w:outlineLvl w:val="0"/>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采购需求</w:t>
      </w:r>
    </w:p>
    <w:p>
      <w:pPr>
        <w:widowControl/>
        <w:spacing w:line="440" w:lineRule="exact"/>
        <w:ind w:firstLine="430"/>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为鼓励不同品牌的充分竞争，如某设备的某技术参数或要求属于个别品牌专有，则该技术参数及要求不具有限制性，响应人可对该参数或要求进行适当调整，但这种调整整体上要优于或相当于磋商文件的相关要求，并说明调整理由，且该调整须经磋商小组审核认可。</w:t>
      </w:r>
    </w:p>
    <w:p>
      <w:pPr>
        <w:widowControl/>
        <w:spacing w:line="440" w:lineRule="exact"/>
        <w:ind w:firstLine="405"/>
        <w:jc w:val="left"/>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1、在采购活动开始前没有获准采购进口产品而开展采购活动的，视同为拒绝采购进口产品。</w:t>
      </w:r>
    </w:p>
    <w:p>
      <w:pPr>
        <w:widowControl/>
        <w:spacing w:line="440" w:lineRule="exact"/>
        <w:ind w:firstLine="405"/>
        <w:jc w:val="left"/>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根据“关于印发《政府采购进口产品管理办法》的通知”及“关于政府采购进口产品管理有关问题的通知”的相关规定：下列采购需求中标注进口产品的货物均已履行相关论证手续，经核准采购进口产品，但不限制满足磋商文件要求的国内产品参与竞争。未标注进口产品的货物均为拒绝采购进口产品。</w:t>
      </w:r>
    </w:p>
    <w:p>
      <w:pPr>
        <w:widowControl/>
        <w:spacing w:line="440" w:lineRule="exact"/>
        <w:ind w:firstLine="405"/>
        <w:jc w:val="left"/>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3、成交人提供的货物为进口产品的，供货时须向采购人提供所投进口产品的海关报关单等证明材料。</w:t>
      </w:r>
    </w:p>
    <w:p>
      <w:pPr>
        <w:spacing w:line="500" w:lineRule="exact"/>
        <w:ind w:firstLine="422" w:firstLineChars="20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4、下列采购需求中：如属于《节能产品政府采购品目清单》中政府强制采购的节能产品，则响应人所投产品须具有市场监管总局公布的《参与实施政府采购节能产品认证机构目录》中的认证机构出具的、处于有效期内的节能产品认证证书。</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5、安庆职业技术学院人事管理信息系统的开发技术和设计思想必须符合业界当前的发展趋势和技术标准，采用成熟、先进和规范的开发技术和流程实现系统，并要求与安庆职业技术学院智慧校园平台、数据中心对接。</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系统应采用先进的设计思想和技术，搭建合理的架构，保证系统具有较强的生命力，符合当前和未来发展的趋势。</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（1）系统需采用基于Web的方式，基于J2EE架构，采用Java、XML、Web Service、JSP、Servlet、PKI等主流技术， 能全面支持IE8/IE9或以上、FireFox、360等主流浏览器。</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（2）采用基于服务的设计理念，支持中间件技术，提高系统的可维护性和软件代码的重用性，降低学校对IT资源的投资。</w:t>
      </w:r>
    </w:p>
    <w:p>
      <w:pPr>
        <w:spacing w:line="360" w:lineRule="auto"/>
        <w:ind w:firstLine="420" w:firstLineChars="200"/>
        <w:rPr>
          <w:rFonts w:hint="eastAsia"/>
          <w:szCs w:val="21"/>
          <w:highlight w:val="none"/>
        </w:rPr>
      </w:pPr>
      <w:r>
        <w:rPr>
          <w:rFonts w:hint="eastAsia" w:ascii="宋体" w:hAnsi="宋体" w:cs="宋体"/>
          <w:szCs w:val="21"/>
          <w:highlight w:val="none"/>
        </w:rPr>
        <w:t>（3）采用基于面向对象的组件开发技术，构建可重用的业务组件，利用这些组件能快速响应学校业务变更，搭建新应用。</w:t>
      </w:r>
    </w:p>
    <w:p>
      <w:pPr>
        <w:ind w:firstLine="422" w:firstLineChars="200"/>
        <w:rPr>
          <w:rFonts w:ascii="宋体" w:hAnsi="宋体"/>
          <w:b/>
          <w:bCs/>
          <w:color w:val="000000" w:themeColor="text1"/>
          <w:szCs w:val="21"/>
          <w:highlight w:val="none"/>
          <w14:textFill>
            <w14:solidFill>
              <w14:schemeClr w14:val="tx1"/>
            </w14:solidFill>
          </w14:textFill>
        </w:rPr>
      </w:pPr>
    </w:p>
    <w:p>
      <w:pPr>
        <w:ind w:firstLine="422" w:firstLineChars="200"/>
        <w:rPr>
          <w:rFonts w:hint="eastAsia" w:ascii="宋体" w:hAnsi="宋体"/>
          <w:b/>
          <w:bCs/>
          <w:color w:val="000000" w:themeColor="text1"/>
          <w:szCs w:val="21"/>
          <w:highlight w:val="none"/>
          <w14:textFill>
            <w14:solidFill>
              <w14:schemeClr w14:val="tx1"/>
            </w14:solidFill>
          </w14:textFill>
        </w:rPr>
      </w:pPr>
    </w:p>
    <w:p>
      <w:pPr>
        <w:ind w:firstLine="422" w:firstLineChars="200"/>
        <w:rPr>
          <w:rFonts w:hint="eastAsia" w:ascii="宋体" w:hAnsi="宋体"/>
          <w:b/>
          <w:bCs/>
          <w:color w:val="000000" w:themeColor="text1"/>
          <w:szCs w:val="21"/>
          <w:highlight w:val="none"/>
          <w14:textFill>
            <w14:solidFill>
              <w14:schemeClr w14:val="tx1"/>
            </w14:solidFill>
          </w14:textFill>
        </w:rPr>
      </w:pPr>
    </w:p>
    <w:p>
      <w:pPr>
        <w:ind w:firstLine="422" w:firstLineChars="200"/>
        <w:rPr>
          <w:rFonts w:hint="eastAsia" w:ascii="宋体" w:hAnsi="宋体"/>
          <w:b/>
          <w:bCs/>
          <w:color w:val="000000" w:themeColor="text1"/>
          <w:szCs w:val="21"/>
          <w:highlight w:val="none"/>
          <w14:textFill>
            <w14:solidFill>
              <w14:schemeClr w14:val="tx1"/>
            </w14:solidFill>
          </w14:textFill>
        </w:rPr>
      </w:pPr>
    </w:p>
    <w:p>
      <w:pPr>
        <w:ind w:firstLine="422" w:firstLineChars="200"/>
        <w:rPr>
          <w:rFonts w:hint="eastAsia" w:ascii="宋体" w:hAnsi="宋体"/>
          <w:b/>
          <w:bCs/>
          <w:color w:val="000000" w:themeColor="text1"/>
          <w:szCs w:val="21"/>
          <w:highlight w:val="none"/>
          <w14:textFill>
            <w14:solidFill>
              <w14:schemeClr w14:val="tx1"/>
            </w14:solidFill>
          </w14:textFill>
        </w:rPr>
      </w:pPr>
    </w:p>
    <w:p>
      <w:pPr>
        <w:ind w:firstLine="422" w:firstLineChars="200"/>
        <w:rPr>
          <w:rFonts w:hint="eastAsia" w:ascii="宋体" w:hAnsi="宋体"/>
          <w:b/>
          <w:bCs/>
          <w:color w:val="000000" w:themeColor="text1"/>
          <w:szCs w:val="21"/>
          <w:highlight w:val="none"/>
          <w14:textFill>
            <w14:solidFill>
              <w14:schemeClr w14:val="tx1"/>
            </w14:solidFill>
          </w14:textFill>
        </w:rPr>
      </w:pPr>
    </w:p>
    <w:p>
      <w:pPr>
        <w:ind w:firstLine="422" w:firstLineChars="200"/>
        <w:rPr>
          <w:rFonts w:hint="eastAsia"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一、商务要求：</w:t>
      </w:r>
    </w:p>
    <w:tbl>
      <w:tblPr>
        <w:tblStyle w:val="7"/>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91"/>
        <w:gridCol w:w="5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cs="Wingdings" w:asciiTheme="minorEastAsia" w:hAnsiTheme="minorEastAsia"/>
                <w:b/>
                <w:color w:val="000000" w:themeColor="text1"/>
                <w:highlight w:val="none"/>
                <w14:textFill>
                  <w14:solidFill>
                    <w14:schemeClr w14:val="tx1"/>
                  </w14:solidFill>
                </w14:textFill>
              </w:rPr>
            </w:pPr>
            <w:r>
              <w:rPr>
                <w:rFonts w:hint="eastAsia" w:cs="Wingdings" w:asciiTheme="minorEastAsia" w:hAnsiTheme="minorEastAsia"/>
                <w:b/>
                <w:color w:val="000000" w:themeColor="text1"/>
                <w:highlight w:val="none"/>
                <w14:textFill>
                  <w14:solidFill>
                    <w14:schemeClr w14:val="tx1"/>
                  </w14:solidFill>
                </w14:textFill>
              </w:rPr>
              <w:t>序号</w:t>
            </w:r>
          </w:p>
        </w:tc>
        <w:tc>
          <w:tcPr>
            <w:tcW w:w="2391"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color w:val="000000" w:themeColor="text1"/>
                <w:highlight w:val="none"/>
                <w14:textFill>
                  <w14:solidFill>
                    <w14:schemeClr w14:val="tx1"/>
                  </w14:solidFill>
                </w14:textFill>
              </w:rPr>
            </w:pPr>
            <w:r>
              <w:rPr>
                <w:rFonts w:hint="eastAsia" w:asciiTheme="minorEastAsia" w:hAnsiTheme="minorEastAsia"/>
                <w:b/>
                <w:bCs/>
                <w:color w:val="000000" w:themeColor="text1"/>
                <w:highlight w:val="none"/>
                <w14:textFill>
                  <w14:solidFill>
                    <w14:schemeClr w14:val="tx1"/>
                  </w14:solidFill>
                </w14:textFill>
              </w:rPr>
              <w:t>商务条款名称</w:t>
            </w:r>
          </w:p>
        </w:tc>
        <w:tc>
          <w:tcPr>
            <w:tcW w:w="5170" w:type="dxa"/>
            <w:tcBorders>
              <w:top w:val="single" w:color="auto" w:sz="4" w:space="0"/>
              <w:left w:val="single" w:color="auto" w:sz="4" w:space="0"/>
              <w:bottom w:val="single" w:color="auto" w:sz="4" w:space="0"/>
              <w:right w:val="single" w:color="auto" w:sz="4" w:space="0"/>
            </w:tcBorders>
            <w:vAlign w:val="center"/>
          </w:tcPr>
          <w:p>
            <w:pPr>
              <w:pStyle w:val="5"/>
              <w:jc w:val="center"/>
              <w:rPr>
                <w:rFonts w:hint="eastAsia" w:cs="Wingdings" w:asciiTheme="minorEastAsia" w:hAnsiTheme="minorEastAsia"/>
                <w:b/>
                <w:color w:val="000000" w:themeColor="text1"/>
                <w:highlight w:val="none"/>
                <w14:textFill>
                  <w14:solidFill>
                    <w14:schemeClr w14:val="tx1"/>
                  </w14:solidFill>
                </w14:textFill>
              </w:rPr>
            </w:pPr>
            <w:r>
              <w:rPr>
                <w:rFonts w:hint="eastAsia" w:cs="Wingdings" w:asciiTheme="minorEastAsia" w:hAnsiTheme="minorEastAsia"/>
                <w:b/>
                <w:color w:val="000000" w:themeColor="text1"/>
                <w:highlight w:val="none"/>
                <w14:textFill>
                  <w14:solidFill>
                    <w14:schemeClr w14:val="tx1"/>
                  </w14:solidFill>
                </w14:textFill>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w:t>
            </w:r>
          </w:p>
        </w:tc>
        <w:tc>
          <w:tcPr>
            <w:tcW w:w="2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付款方式</w:t>
            </w:r>
          </w:p>
        </w:tc>
        <w:tc>
          <w:tcPr>
            <w:tcW w:w="517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1、供货及安装完成，经采购人验收合格后一次性付清合同价款。2、如成交供应商为中小微企业，合同签订生效后支付合同金额的40%</w:t>
            </w:r>
            <w:r>
              <w:rPr>
                <w:rFonts w:hint="eastAsia" w:asciiTheme="minorEastAsia" w:hAnsiTheme="minorEastAsia" w:eastAsia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在预付款支付前，成交人须向采购人提供同等金额的预付款保函</w:t>
            </w:r>
            <w:r>
              <w:rPr>
                <w:rFonts w:hint="eastAsia" w:asciiTheme="minorEastAsia" w:hAnsiTheme="minorEastAsia" w:eastAsia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，供货及安装完成，经采购人验收合格后一次性付清合同余款。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w:t>
            </w:r>
          </w:p>
        </w:tc>
        <w:tc>
          <w:tcPr>
            <w:tcW w:w="2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供货及安装地点</w:t>
            </w:r>
          </w:p>
        </w:tc>
        <w:tc>
          <w:tcPr>
            <w:tcW w:w="5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安庆职业技术学院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w:t>
            </w:r>
          </w:p>
        </w:tc>
        <w:tc>
          <w:tcPr>
            <w:tcW w:w="2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供货及安装期限</w:t>
            </w:r>
          </w:p>
        </w:tc>
        <w:tc>
          <w:tcPr>
            <w:tcW w:w="5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合同签订后</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20</w:t>
            </w:r>
            <w:r>
              <w:rPr>
                <w:rFonts w:hint="eastAsia" w:asciiTheme="minorEastAsia" w:hAnsiTheme="minorEastAsia" w:eastAsiaTheme="minorEastAsia"/>
                <w:color w:val="000000" w:themeColor="text1"/>
                <w:szCs w:val="21"/>
                <w:highlight w:val="none"/>
                <w14:textFill>
                  <w14:solidFill>
                    <w14:schemeClr w14:val="tx1"/>
                  </w14:solidFill>
                </w14:textFill>
              </w:rPr>
              <w:t>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4</w:t>
            </w:r>
          </w:p>
        </w:tc>
        <w:tc>
          <w:tcPr>
            <w:tcW w:w="2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免费质保期</w:t>
            </w:r>
          </w:p>
        </w:tc>
        <w:tc>
          <w:tcPr>
            <w:tcW w:w="5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5</w:t>
            </w:r>
          </w:p>
        </w:tc>
        <w:tc>
          <w:tcPr>
            <w:tcW w:w="2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商品包装要求</w:t>
            </w:r>
          </w:p>
        </w:tc>
        <w:tc>
          <w:tcPr>
            <w:tcW w:w="5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除另有约定外</w:t>
            </w:r>
            <w:r>
              <w:rPr>
                <w:rFonts w:hint="eastAsia" w:ascii="Arial" w:hAnsi="Arial" w:cs="Arial"/>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供应商交付全部货物的包装要求</w:t>
            </w:r>
            <w:r>
              <w:rPr>
                <w:rFonts w:hint="eastAsia" w:ascii="宋体" w:hAnsi="宋体" w:cs="宋体"/>
                <w:color w:val="000000" w:themeColor="text1"/>
                <w:szCs w:val="21"/>
                <w:highlight w:val="none"/>
                <w14:textFill>
                  <w14:solidFill>
                    <w14:schemeClr w14:val="tx1"/>
                  </w14:solidFill>
                </w14:textFill>
              </w:rPr>
              <w:br w:type="textWrapping"/>
            </w:r>
            <w:r>
              <w:rPr>
                <w:rFonts w:hint="eastAsia" w:ascii="宋体" w:hAnsi="宋体" w:cs="宋体"/>
                <w:color w:val="000000" w:themeColor="text1"/>
                <w:szCs w:val="21"/>
                <w:highlight w:val="none"/>
                <w14:textFill>
                  <w14:solidFill>
                    <w14:schemeClr w14:val="tx1"/>
                  </w14:solidFill>
                </w14:textFill>
              </w:rPr>
              <w:t>严格按照国家强制标准执行。</w:t>
            </w:r>
          </w:p>
        </w:tc>
      </w:tr>
    </w:tbl>
    <w:p>
      <w:pPr>
        <w:pStyle w:val="2"/>
        <w:numPr>
          <w:ilvl w:val="0"/>
          <w:numId w:val="1"/>
        </w:numPr>
        <w:ind w:firstLine="413" w:firstLineChars="196"/>
        <w:rPr>
          <w:rFonts w:hint="eastAsia" w:cs="宋体"/>
          <w:bCs/>
          <w:color w:val="000000" w:themeColor="text1"/>
          <w:szCs w:val="24"/>
          <w:highlight w:val="none"/>
          <w14:textFill>
            <w14:solidFill>
              <w14:schemeClr w14:val="tx1"/>
            </w14:solidFill>
          </w14:textFill>
        </w:rPr>
      </w:pPr>
      <w:r>
        <w:rPr>
          <w:rFonts w:hint="eastAsia"/>
          <w:bCs/>
          <w:color w:val="000000" w:themeColor="text1"/>
          <w:szCs w:val="24"/>
          <w:highlight w:val="none"/>
          <w14:textFill>
            <w14:solidFill>
              <w14:schemeClr w14:val="tx1"/>
            </w14:solidFill>
          </w14:textFill>
        </w:rPr>
        <w:t>技术要求一览表</w:t>
      </w:r>
    </w:p>
    <w:p>
      <w:pPr>
        <w:rPr>
          <w:rFonts w:hint="eastAsia"/>
          <w:highlight w:val="none"/>
        </w:rPr>
      </w:pPr>
    </w:p>
    <w:tbl>
      <w:tblPr>
        <w:tblStyle w:val="7"/>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63"/>
        <w:gridCol w:w="4958"/>
        <w:gridCol w:w="585"/>
        <w:gridCol w:w="555"/>
        <w:gridCol w:w="82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序号</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Cs w:val="21"/>
                <w:highlight w:val="none"/>
              </w:rPr>
            </w:pPr>
            <w:r>
              <w:rPr>
                <w:rFonts w:hint="eastAsia" w:ascii="宋体" w:hAnsi="宋体" w:cs="Arial"/>
                <w:color w:val="auto"/>
                <w:kern w:val="0"/>
                <w:szCs w:val="21"/>
                <w:highlight w:val="none"/>
              </w:rPr>
              <w:t>货物名称</w:t>
            </w:r>
          </w:p>
        </w:tc>
        <w:tc>
          <w:tcPr>
            <w:tcW w:w="49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Cs w:val="21"/>
                <w:highlight w:val="none"/>
              </w:rPr>
            </w:pPr>
            <w:r>
              <w:rPr>
                <w:rFonts w:hint="eastAsia" w:ascii="宋体" w:hAnsi="宋体" w:cs="Arial"/>
                <w:color w:val="auto"/>
                <w:kern w:val="0"/>
                <w:szCs w:val="21"/>
                <w:highlight w:val="none"/>
              </w:rPr>
              <w:t>采购技术参数</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Cs w:val="21"/>
                <w:highlight w:val="none"/>
              </w:rPr>
            </w:pPr>
            <w:r>
              <w:rPr>
                <w:rFonts w:hint="eastAsia" w:ascii="宋体" w:hAnsi="宋体" w:cs="Arial"/>
                <w:color w:val="auto"/>
                <w:kern w:val="0"/>
                <w:szCs w:val="21"/>
                <w:highlight w:val="none"/>
              </w:rPr>
              <w:t>单位</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Cs w:val="21"/>
                <w:highlight w:val="none"/>
              </w:rPr>
            </w:pPr>
            <w:r>
              <w:rPr>
                <w:rFonts w:hint="eastAsia" w:ascii="宋体" w:hAnsi="宋体" w:cs="Arial"/>
                <w:color w:val="auto"/>
                <w:kern w:val="0"/>
                <w:szCs w:val="21"/>
                <w:highlight w:val="none"/>
              </w:rPr>
              <w:t>数量</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Cs w:val="21"/>
                <w:highlight w:val="none"/>
              </w:rPr>
            </w:pPr>
            <w:r>
              <w:rPr>
                <w:rFonts w:hint="eastAsia" w:ascii="宋体" w:hAnsi="宋体" w:cs="Arial"/>
                <w:color w:val="auto"/>
                <w:kern w:val="0"/>
                <w:szCs w:val="21"/>
                <w:highlight w:val="none"/>
              </w:rPr>
              <w:t>所属行业</w:t>
            </w:r>
          </w:p>
        </w:tc>
        <w:tc>
          <w:tcPr>
            <w:tcW w:w="7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Cs w:val="21"/>
                <w:highlight w:val="none"/>
              </w:rPr>
            </w:pPr>
            <w:r>
              <w:rPr>
                <w:rFonts w:hint="eastAsia" w:ascii="宋体" w:hAnsi="宋体" w:cs="Arial"/>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Arial" w:hAnsi="Arial" w:cs="Arial"/>
                <w:color w:val="auto"/>
                <w:kern w:val="0"/>
                <w:szCs w:val="21"/>
                <w:highlight w:val="none"/>
              </w:rPr>
            </w:pPr>
            <w:r>
              <w:rPr>
                <w:rFonts w:hint="eastAsia" w:ascii="宋体" w:hAnsi="宋体" w:cs="宋体"/>
                <w:color w:val="auto"/>
                <w:kern w:val="0"/>
                <w:szCs w:val="21"/>
                <w:highlight w:val="none"/>
              </w:rPr>
              <w:t>1</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人事管理信息系统</w:t>
            </w:r>
          </w:p>
        </w:tc>
        <w:tc>
          <w:tcPr>
            <w:tcW w:w="4958" w:type="dxa"/>
            <w:tcBorders>
              <w:top w:val="single" w:color="auto" w:sz="4" w:space="0"/>
              <w:left w:val="single" w:color="auto" w:sz="4" w:space="0"/>
              <w:bottom w:val="single" w:color="auto" w:sz="4" w:space="0"/>
              <w:right w:val="single" w:color="auto" w:sz="4" w:space="0"/>
            </w:tcBorders>
            <w:vAlign w:val="center"/>
          </w:tcPr>
          <w:p>
            <w:pPr>
              <w:pStyle w:val="10"/>
              <w:rPr>
                <w:rFonts w:hint="eastAsia" w:hAnsi="宋体"/>
                <w:color w:val="auto"/>
                <w:kern w:val="2"/>
                <w:sz w:val="21"/>
                <w:szCs w:val="21"/>
                <w:highlight w:val="none"/>
              </w:rPr>
            </w:pPr>
            <w:r>
              <w:rPr>
                <w:rFonts w:hint="eastAsia" w:hAnsi="宋体"/>
                <w:color w:val="auto"/>
                <w:kern w:val="2"/>
                <w:sz w:val="21"/>
                <w:szCs w:val="21"/>
                <w:highlight w:val="none"/>
              </w:rPr>
              <w:t>（一）组织机构管理</w:t>
            </w:r>
          </w:p>
          <w:p>
            <w:pPr>
              <w:pStyle w:val="10"/>
              <w:rPr>
                <w:rFonts w:hint="eastAsia" w:hAnsi="宋体"/>
                <w:color w:val="auto"/>
                <w:kern w:val="2"/>
                <w:sz w:val="21"/>
                <w:szCs w:val="21"/>
                <w:highlight w:val="none"/>
              </w:rPr>
            </w:pPr>
            <w:r>
              <w:rPr>
                <w:rFonts w:hint="eastAsia" w:hAnsi="宋体"/>
                <w:color w:val="auto"/>
                <w:kern w:val="2"/>
                <w:sz w:val="21"/>
                <w:szCs w:val="21"/>
                <w:highlight w:val="none"/>
              </w:rPr>
              <w:t>1、建立与我校实际情况相一致的组织机构；每级机构都能记录本机构的基本信息、奖励记录、编制人员记录等信息；</w:t>
            </w:r>
          </w:p>
          <w:p>
            <w:pPr>
              <w:pStyle w:val="10"/>
              <w:rPr>
                <w:rFonts w:hint="eastAsia" w:hAnsi="宋体"/>
                <w:color w:val="auto"/>
                <w:kern w:val="2"/>
                <w:sz w:val="21"/>
                <w:szCs w:val="21"/>
                <w:highlight w:val="none"/>
              </w:rPr>
            </w:pPr>
            <w:r>
              <w:rPr>
                <w:rFonts w:hint="eastAsia" w:hAnsi="宋体"/>
                <w:color w:val="auto"/>
                <w:kern w:val="2"/>
                <w:sz w:val="21"/>
                <w:szCs w:val="21"/>
                <w:highlight w:val="none"/>
              </w:rPr>
              <w:t>2、要能够对各组织机构完成新增、合并、划转、撤销等工作；满足机构改革的需要；</w:t>
            </w:r>
          </w:p>
          <w:p>
            <w:pPr>
              <w:pStyle w:val="10"/>
              <w:rPr>
                <w:rFonts w:hint="eastAsia" w:hAnsi="宋体"/>
                <w:color w:val="auto"/>
                <w:kern w:val="2"/>
                <w:sz w:val="21"/>
                <w:szCs w:val="21"/>
                <w:highlight w:val="none"/>
              </w:rPr>
            </w:pPr>
            <w:r>
              <w:rPr>
                <w:rFonts w:hint="eastAsia" w:hAnsi="宋体"/>
                <w:color w:val="auto"/>
                <w:kern w:val="2"/>
                <w:sz w:val="21"/>
                <w:szCs w:val="21"/>
                <w:highlight w:val="none"/>
              </w:rPr>
              <w:t>★3、</w:t>
            </w:r>
            <w:r>
              <w:rPr>
                <w:rFonts w:hint="eastAsia" w:hAnsi="宋体"/>
                <w:color w:val="auto"/>
                <w:sz w:val="21"/>
                <w:szCs w:val="21"/>
                <w:highlight w:val="none"/>
              </w:rPr>
              <w:t>组织机构管理支持维护多维度组织，如行政组织、党团组织、工会组织等，支持自由切换组织机构，分别查看不同的组织机构情况</w:t>
            </w:r>
            <w:r>
              <w:rPr>
                <w:rFonts w:hint="eastAsia" w:hAnsi="宋体"/>
                <w:color w:val="auto"/>
                <w:kern w:val="2"/>
                <w:sz w:val="21"/>
                <w:szCs w:val="21"/>
                <w:highlight w:val="none"/>
              </w:rPr>
              <w:t>；</w:t>
            </w:r>
            <w:r>
              <w:rPr>
                <w:rFonts w:hint="eastAsia" w:hAnsi="宋体"/>
                <w:b/>
                <w:bCs/>
                <w:color w:val="auto"/>
                <w:kern w:val="2"/>
                <w:sz w:val="21"/>
                <w:szCs w:val="21"/>
                <w:highlight w:val="none"/>
              </w:rPr>
              <w:t>（注：响应文件中提供产品功能截图）</w:t>
            </w:r>
            <w:r>
              <w:rPr>
                <w:rFonts w:hint="eastAsia" w:hAnsi="宋体"/>
                <w:color w:val="auto"/>
                <w:kern w:val="2"/>
                <w:sz w:val="21"/>
                <w:szCs w:val="21"/>
                <w:highlight w:val="none"/>
              </w:rPr>
              <w:t xml:space="preserve"> </w:t>
            </w:r>
          </w:p>
          <w:p>
            <w:pPr>
              <w:pStyle w:val="10"/>
              <w:rPr>
                <w:rFonts w:hint="eastAsia" w:hAnsi="宋体"/>
                <w:color w:val="auto"/>
                <w:kern w:val="2"/>
                <w:sz w:val="21"/>
                <w:szCs w:val="21"/>
                <w:highlight w:val="none"/>
              </w:rPr>
            </w:pPr>
            <w:r>
              <w:rPr>
                <w:rFonts w:hint="eastAsia" w:hAnsi="宋体"/>
                <w:color w:val="auto"/>
                <w:kern w:val="2"/>
                <w:sz w:val="21"/>
                <w:szCs w:val="21"/>
                <w:highlight w:val="none"/>
              </w:rPr>
              <w:t>4、能够生成编制表，方便监管编制余缺情况，并能保留历史编制信息，为编制及人员调整提供参考；</w:t>
            </w:r>
          </w:p>
          <w:p>
            <w:pPr>
              <w:pStyle w:val="10"/>
              <w:rPr>
                <w:rFonts w:hint="eastAsia" w:hAnsi="宋体"/>
                <w:color w:val="auto"/>
                <w:kern w:val="2"/>
                <w:sz w:val="21"/>
                <w:szCs w:val="21"/>
                <w:highlight w:val="none"/>
              </w:rPr>
            </w:pPr>
            <w:r>
              <w:rPr>
                <w:rFonts w:hint="eastAsia" w:hAnsi="宋体"/>
                <w:color w:val="auto"/>
                <w:kern w:val="2"/>
                <w:sz w:val="21"/>
                <w:szCs w:val="21"/>
                <w:highlight w:val="none"/>
              </w:rPr>
              <w:t>5、建立适合我校运行的岗位设置体系，包括岗位类别（管理岗位、专技岗位、工勤岗位等）和相对应的岗位等级设置、职务体系设置等，能够根据国家及我校要求的岗位结构比例规则进行相应的管理控制；</w:t>
            </w:r>
          </w:p>
          <w:p>
            <w:pPr>
              <w:pStyle w:val="10"/>
              <w:rPr>
                <w:rFonts w:hint="eastAsia" w:hAnsi="宋体"/>
                <w:color w:val="auto"/>
                <w:kern w:val="2"/>
                <w:sz w:val="21"/>
                <w:szCs w:val="21"/>
                <w:highlight w:val="none"/>
              </w:rPr>
            </w:pPr>
            <w:r>
              <w:rPr>
                <w:rFonts w:hint="eastAsia" w:hAnsi="宋体"/>
                <w:color w:val="auto"/>
                <w:kern w:val="2"/>
                <w:sz w:val="21"/>
                <w:szCs w:val="21"/>
                <w:highlight w:val="none"/>
              </w:rPr>
              <w:t>6、具有历史机构查询功能，能够反查任意时间的历史机构情况。</w:t>
            </w:r>
          </w:p>
          <w:p>
            <w:pPr>
              <w:pStyle w:val="10"/>
              <w:rPr>
                <w:rFonts w:hint="eastAsia" w:hAnsi="宋体"/>
                <w:color w:val="auto"/>
                <w:kern w:val="2"/>
                <w:sz w:val="21"/>
                <w:szCs w:val="21"/>
                <w:highlight w:val="none"/>
              </w:rPr>
            </w:pPr>
            <w:r>
              <w:rPr>
                <w:rFonts w:hint="eastAsia" w:hAnsi="宋体"/>
                <w:color w:val="auto"/>
                <w:kern w:val="2"/>
                <w:sz w:val="21"/>
                <w:szCs w:val="21"/>
                <w:highlight w:val="none"/>
              </w:rPr>
              <w:t>（二）教职工信息管理</w:t>
            </w:r>
          </w:p>
          <w:p>
            <w:pPr>
              <w:pStyle w:val="10"/>
              <w:rPr>
                <w:rFonts w:hint="eastAsia" w:hAnsi="宋体"/>
                <w:color w:val="auto"/>
                <w:kern w:val="2"/>
                <w:sz w:val="21"/>
                <w:szCs w:val="21"/>
                <w:highlight w:val="none"/>
              </w:rPr>
            </w:pPr>
            <w:r>
              <w:rPr>
                <w:rFonts w:hint="eastAsia" w:hAnsi="宋体"/>
                <w:color w:val="auto"/>
                <w:kern w:val="2"/>
                <w:sz w:val="21"/>
                <w:szCs w:val="21"/>
                <w:highlight w:val="none"/>
              </w:rPr>
              <w:t>1、要能对教职工进行分类管理，如：在编人员、合同人员、离退休人员、返聘人员、劳务派遣人员等，并能够根据需要进行修改与调整；</w:t>
            </w:r>
          </w:p>
          <w:p>
            <w:pPr>
              <w:pStyle w:val="10"/>
              <w:rPr>
                <w:rFonts w:hint="eastAsia" w:hAnsi="宋体"/>
                <w:color w:val="auto"/>
                <w:kern w:val="2"/>
                <w:sz w:val="21"/>
                <w:szCs w:val="21"/>
                <w:highlight w:val="none"/>
              </w:rPr>
            </w:pPr>
            <w:r>
              <w:rPr>
                <w:rFonts w:hint="eastAsia" w:hAnsi="宋体"/>
                <w:color w:val="auto"/>
                <w:kern w:val="2"/>
                <w:sz w:val="21"/>
                <w:szCs w:val="21"/>
                <w:highlight w:val="none"/>
              </w:rPr>
              <w:t>★2、教职工信息采集中，人员信息可以通过 excel、Access、SQL Server、Oracle 等多种方式导入，并支持自定义信息采集流程；</w:t>
            </w:r>
            <w:r>
              <w:rPr>
                <w:rFonts w:hint="eastAsia" w:hAnsi="宋体"/>
                <w:b/>
                <w:bCs/>
                <w:color w:val="auto"/>
                <w:kern w:val="2"/>
                <w:sz w:val="21"/>
                <w:szCs w:val="21"/>
                <w:highlight w:val="none"/>
              </w:rPr>
              <w:t>（注：响应文件中提供产品功能截图）</w:t>
            </w:r>
          </w:p>
          <w:p>
            <w:pPr>
              <w:pStyle w:val="10"/>
              <w:rPr>
                <w:rFonts w:hint="eastAsia" w:hAnsi="宋体"/>
                <w:color w:val="auto"/>
                <w:kern w:val="2"/>
                <w:sz w:val="21"/>
                <w:szCs w:val="21"/>
                <w:highlight w:val="none"/>
              </w:rPr>
            </w:pPr>
            <w:r>
              <w:rPr>
                <w:rFonts w:hint="eastAsia" w:hAnsi="宋体"/>
                <w:color w:val="auto"/>
                <w:kern w:val="2"/>
                <w:sz w:val="21"/>
                <w:szCs w:val="21"/>
                <w:highlight w:val="none"/>
              </w:rPr>
              <w:t>3、可以记录教职工从入职到离校的全程信息，如基本信息、工作简历、学习简历、家庭情况、岗位聘任信息、专业技术职务信息、党政职务信息、年度考核信息、奖惩信息、社会兼职等，并建立学缘结构子集、学历子集、工作简历子集、职称子集、获奖情况子集、外聘教师子集、考核子集等，实现对人员信息进行全面、准确的管理；</w:t>
            </w:r>
          </w:p>
          <w:p>
            <w:pPr>
              <w:pStyle w:val="10"/>
              <w:rPr>
                <w:rFonts w:hint="eastAsia" w:hAnsi="宋体"/>
                <w:color w:val="auto"/>
                <w:kern w:val="2"/>
                <w:sz w:val="21"/>
                <w:szCs w:val="21"/>
                <w:highlight w:val="none"/>
              </w:rPr>
            </w:pPr>
            <w:r>
              <w:rPr>
                <w:rFonts w:hint="eastAsia" w:hAnsi="宋体"/>
                <w:color w:val="auto"/>
                <w:kern w:val="2"/>
                <w:sz w:val="21"/>
                <w:szCs w:val="21"/>
                <w:highlight w:val="none"/>
              </w:rPr>
              <w:t>4、能够根据我校的需要对教职工信息项目进行灵活的增加、修改；</w:t>
            </w:r>
          </w:p>
          <w:p>
            <w:pPr>
              <w:pStyle w:val="10"/>
              <w:rPr>
                <w:rFonts w:hint="eastAsia" w:hAnsi="宋体"/>
                <w:color w:val="auto"/>
                <w:kern w:val="2"/>
                <w:sz w:val="21"/>
                <w:szCs w:val="21"/>
                <w:highlight w:val="none"/>
              </w:rPr>
            </w:pPr>
            <w:r>
              <w:rPr>
                <w:rFonts w:hint="eastAsia" w:hAnsi="宋体"/>
                <w:color w:val="auto"/>
                <w:kern w:val="2"/>
                <w:sz w:val="21"/>
                <w:szCs w:val="21"/>
                <w:highlight w:val="none"/>
              </w:rPr>
              <w:t>5、可以在人员信息记录中直接展开查看多媒体信息，如在学历信息点击查看学历证书照片，并能下载打印；</w:t>
            </w:r>
          </w:p>
          <w:p>
            <w:pPr>
              <w:pStyle w:val="10"/>
              <w:rPr>
                <w:rFonts w:hint="eastAsia" w:hAnsi="宋体"/>
                <w:color w:val="auto"/>
                <w:kern w:val="2"/>
                <w:sz w:val="21"/>
                <w:szCs w:val="21"/>
                <w:highlight w:val="none"/>
              </w:rPr>
            </w:pPr>
            <w:r>
              <w:rPr>
                <w:rFonts w:hint="eastAsia" w:hAnsi="宋体"/>
                <w:color w:val="auto"/>
                <w:kern w:val="2"/>
                <w:sz w:val="21"/>
                <w:szCs w:val="21"/>
                <w:highlight w:val="none"/>
              </w:rPr>
              <w:t>6、具有数据审核功能，审核公式能够灵活设置、增加、修改、删除等；</w:t>
            </w:r>
          </w:p>
          <w:p>
            <w:pPr>
              <w:pStyle w:val="10"/>
              <w:rPr>
                <w:rFonts w:hint="eastAsia" w:hAnsi="宋体"/>
                <w:color w:val="auto"/>
                <w:kern w:val="2"/>
                <w:sz w:val="21"/>
                <w:szCs w:val="21"/>
                <w:highlight w:val="none"/>
              </w:rPr>
            </w:pPr>
            <w:r>
              <w:rPr>
                <w:rFonts w:hint="eastAsia" w:hAnsi="宋体"/>
                <w:color w:val="auto"/>
                <w:kern w:val="2"/>
                <w:sz w:val="21"/>
                <w:szCs w:val="21"/>
                <w:highlight w:val="none"/>
              </w:rPr>
              <w:t>7、教职工能通过系统查询与维护个人信息，对个人信息进行修改申请，主管部门人员审核后，修改信息方可入库；</w:t>
            </w:r>
          </w:p>
          <w:p>
            <w:pPr>
              <w:pStyle w:val="10"/>
              <w:rPr>
                <w:rFonts w:hint="eastAsia" w:hAnsi="宋体"/>
                <w:color w:val="auto"/>
                <w:kern w:val="2"/>
                <w:sz w:val="21"/>
                <w:szCs w:val="21"/>
                <w:highlight w:val="none"/>
              </w:rPr>
            </w:pPr>
            <w:r>
              <w:rPr>
                <w:rFonts w:hint="eastAsia" w:hAnsi="宋体"/>
                <w:color w:val="auto"/>
                <w:kern w:val="2"/>
                <w:sz w:val="21"/>
                <w:szCs w:val="21"/>
                <w:highlight w:val="none"/>
              </w:rPr>
              <w:t>8、对组织、人员信息能够输出、打印各种人事卡片，如登记表、花名册以及各种统计报表、各类证明等，并可导出Excel、pdf；</w:t>
            </w:r>
          </w:p>
          <w:p>
            <w:pPr>
              <w:pStyle w:val="10"/>
              <w:rPr>
                <w:rFonts w:hint="eastAsia" w:hAnsi="宋体"/>
                <w:color w:val="auto"/>
                <w:kern w:val="2"/>
                <w:sz w:val="21"/>
                <w:szCs w:val="21"/>
                <w:highlight w:val="none"/>
              </w:rPr>
            </w:pPr>
            <w:r>
              <w:rPr>
                <w:rFonts w:hint="eastAsia" w:hAnsi="宋体"/>
                <w:color w:val="auto"/>
                <w:kern w:val="2"/>
                <w:sz w:val="21"/>
                <w:szCs w:val="21"/>
                <w:highlight w:val="none"/>
              </w:rPr>
              <w:t>9、能够根据不同的口径、范围、查询条件等进行便捷的统计分析；</w:t>
            </w:r>
          </w:p>
          <w:p>
            <w:pPr>
              <w:pStyle w:val="10"/>
              <w:rPr>
                <w:rFonts w:hint="eastAsia" w:hAnsi="宋体"/>
                <w:color w:val="auto"/>
                <w:kern w:val="2"/>
                <w:sz w:val="21"/>
                <w:szCs w:val="21"/>
                <w:highlight w:val="none"/>
              </w:rPr>
            </w:pPr>
            <w:r>
              <w:rPr>
                <w:rFonts w:hint="eastAsia" w:hAnsi="宋体"/>
                <w:color w:val="auto"/>
                <w:kern w:val="2"/>
                <w:sz w:val="21"/>
                <w:szCs w:val="21"/>
                <w:highlight w:val="none"/>
              </w:rPr>
              <w:t>10、对预警出来的人员能直接进行相关的业务处理，如合同到期人员直接进行合同续签业务办理等；</w:t>
            </w:r>
          </w:p>
          <w:p>
            <w:pPr>
              <w:pStyle w:val="10"/>
              <w:rPr>
                <w:rFonts w:hint="eastAsia" w:hAnsi="宋体"/>
                <w:b/>
                <w:bCs/>
                <w:color w:val="auto"/>
                <w:kern w:val="2"/>
                <w:sz w:val="21"/>
                <w:szCs w:val="21"/>
                <w:highlight w:val="none"/>
              </w:rPr>
            </w:pPr>
            <w:r>
              <w:rPr>
                <w:rFonts w:hint="eastAsia" w:hAnsi="宋体"/>
                <w:color w:val="auto"/>
                <w:kern w:val="2"/>
                <w:sz w:val="21"/>
                <w:szCs w:val="21"/>
                <w:highlight w:val="none"/>
              </w:rPr>
              <w:t>★11、人才标签及画像：拥有强大的人才标签设计功能，可根据学校自定义人才标签，标签条件完全汉化，无需代码开发，员工根据标签，自动产生人才画像功能，提供多样的显示组件样式，比如基本信息、科研信息、学历信息、绩效考核等，可以不同模式展示人才画像。</w:t>
            </w:r>
            <w:r>
              <w:rPr>
                <w:rFonts w:hint="eastAsia" w:hAnsi="宋体"/>
                <w:b/>
                <w:bCs/>
                <w:color w:val="auto"/>
                <w:kern w:val="2"/>
                <w:sz w:val="21"/>
                <w:szCs w:val="21"/>
                <w:highlight w:val="none"/>
              </w:rPr>
              <w:t>（注：响应文件中提供产品功能截图）</w:t>
            </w:r>
          </w:p>
          <w:p>
            <w:pPr>
              <w:pStyle w:val="10"/>
              <w:numPr>
                <w:ilvl w:val="0"/>
                <w:numId w:val="2"/>
              </w:numPr>
              <w:rPr>
                <w:rFonts w:hint="eastAsia" w:hAnsi="宋体"/>
                <w:color w:val="auto"/>
                <w:kern w:val="2"/>
                <w:sz w:val="21"/>
                <w:szCs w:val="21"/>
                <w:highlight w:val="none"/>
              </w:rPr>
            </w:pPr>
            <w:r>
              <w:rPr>
                <w:rFonts w:hint="eastAsia" w:hAnsi="宋体"/>
                <w:color w:val="auto"/>
                <w:kern w:val="2"/>
                <w:sz w:val="21"/>
                <w:szCs w:val="21"/>
                <w:highlight w:val="none"/>
              </w:rPr>
              <w:t>需提供历史时点功能，可按固定频率或手工保存相关时点的信息，以便于信息的回溯与分析；</w:t>
            </w:r>
          </w:p>
          <w:p>
            <w:pPr>
              <w:pStyle w:val="10"/>
              <w:numPr>
                <w:ilvl w:val="0"/>
                <w:numId w:val="2"/>
              </w:numPr>
              <w:rPr>
                <w:rFonts w:hint="eastAsia" w:hAnsi="宋体"/>
                <w:color w:val="auto"/>
                <w:kern w:val="2"/>
                <w:sz w:val="21"/>
                <w:szCs w:val="21"/>
                <w:highlight w:val="none"/>
              </w:rPr>
            </w:pPr>
            <w:r>
              <w:rPr>
                <w:rFonts w:hint="eastAsia" w:hAnsi="宋体"/>
                <w:color w:val="auto"/>
                <w:kern w:val="2"/>
                <w:sz w:val="21"/>
                <w:szCs w:val="21"/>
                <w:highlight w:val="none"/>
              </w:rPr>
              <w:t>系统应预置高校常用的预警条件，如合同到期、生日到期、即将退休等预警，预警名称、内容需支持自定义设置，预警规则需支持汉化计算公式；</w:t>
            </w:r>
          </w:p>
          <w:p>
            <w:pPr>
              <w:pStyle w:val="10"/>
              <w:numPr>
                <w:ilvl w:val="0"/>
                <w:numId w:val="2"/>
              </w:numPr>
              <w:rPr>
                <w:rFonts w:hint="eastAsia" w:hAnsi="宋体"/>
                <w:color w:val="auto"/>
                <w:kern w:val="2"/>
                <w:sz w:val="21"/>
                <w:szCs w:val="21"/>
                <w:highlight w:val="none"/>
              </w:rPr>
            </w:pPr>
            <w:r>
              <w:rPr>
                <w:rFonts w:hint="eastAsia" w:hAnsi="宋体"/>
                <w:color w:val="auto"/>
                <w:kern w:val="2"/>
                <w:sz w:val="21"/>
                <w:szCs w:val="21"/>
                <w:highlight w:val="none"/>
              </w:rPr>
              <w:t>支持自定义教职工信息采集方案，根据学校实际需要按需自定义教职工信息采集内容；</w:t>
            </w:r>
          </w:p>
          <w:p>
            <w:pPr>
              <w:autoSpaceDE w:val="0"/>
              <w:autoSpaceDN w:val="0"/>
              <w:adjustRightInd w:val="0"/>
              <w:snapToGrid w:val="0"/>
              <w:jc w:val="left"/>
              <w:rPr>
                <w:rFonts w:hint="eastAsia" w:hAnsi="宋体"/>
                <w:color w:val="auto"/>
                <w:szCs w:val="21"/>
                <w:highlight w:val="none"/>
              </w:rPr>
            </w:pPr>
            <w:r>
              <w:rPr>
                <w:rFonts w:hint="eastAsia" w:ascii="宋体" w:hAnsi="宋体" w:cs="宋体"/>
                <w:color w:val="auto"/>
                <w:szCs w:val="21"/>
                <w:highlight w:val="none"/>
              </w:rPr>
              <w:t>★15、可自定义文件特性规则，通过扫描方式对指定文件的特性进行检测，发现可疑文件。</w:t>
            </w:r>
            <w:r>
              <w:rPr>
                <w:rFonts w:hint="eastAsia" w:ascii="宋体" w:hAnsi="宋体" w:cs="宋体"/>
                <w:b/>
                <w:bCs/>
                <w:color w:val="auto"/>
                <w:szCs w:val="21"/>
                <w:highlight w:val="none"/>
              </w:rPr>
              <w:t>（注：</w:t>
            </w:r>
            <w:r>
              <w:rPr>
                <w:rFonts w:hint="eastAsia" w:hAnsi="宋体" w:cs="宋体"/>
                <w:b/>
                <w:bCs/>
                <w:color w:val="auto"/>
                <w:szCs w:val="21"/>
                <w:highlight w:val="none"/>
              </w:rPr>
              <w:t>响应</w:t>
            </w:r>
            <w:r>
              <w:rPr>
                <w:rFonts w:hint="eastAsia" w:ascii="宋体" w:hAnsi="宋体" w:cs="宋体"/>
                <w:b/>
                <w:bCs/>
                <w:color w:val="auto"/>
                <w:szCs w:val="21"/>
                <w:highlight w:val="none"/>
              </w:rPr>
              <w:t>文件中提供产品功能截图）</w:t>
            </w:r>
          </w:p>
          <w:p>
            <w:pPr>
              <w:pStyle w:val="10"/>
              <w:rPr>
                <w:rFonts w:hAnsi="宋体"/>
                <w:color w:val="auto"/>
                <w:sz w:val="21"/>
                <w:szCs w:val="21"/>
                <w:highlight w:val="none"/>
              </w:rPr>
            </w:pPr>
            <w:r>
              <w:rPr>
                <w:rFonts w:hint="eastAsia" w:hAnsi="宋体"/>
                <w:color w:val="auto"/>
                <w:kern w:val="2"/>
                <w:sz w:val="21"/>
                <w:szCs w:val="21"/>
                <w:highlight w:val="none"/>
              </w:rPr>
              <w:t>（三）</w:t>
            </w:r>
            <w:r>
              <w:rPr>
                <w:rFonts w:hint="eastAsia" w:hAnsi="宋体"/>
                <w:color w:val="auto"/>
                <w:sz w:val="21"/>
                <w:szCs w:val="21"/>
                <w:highlight w:val="none"/>
              </w:rPr>
              <w:t>人事异动</w:t>
            </w:r>
          </w:p>
          <w:p>
            <w:pPr>
              <w:pStyle w:val="10"/>
              <w:rPr>
                <w:rFonts w:hint="eastAsia" w:hAnsi="宋体"/>
                <w:color w:val="auto"/>
                <w:sz w:val="21"/>
                <w:szCs w:val="21"/>
                <w:highlight w:val="none"/>
              </w:rPr>
            </w:pPr>
            <w:r>
              <w:rPr>
                <w:rFonts w:hint="eastAsia" w:hAnsi="宋体"/>
                <w:color w:val="auto"/>
                <w:sz w:val="21"/>
                <w:szCs w:val="21"/>
                <w:highlight w:val="none"/>
              </w:rPr>
              <w:t>1、能够由学校灵活自行设计各种人员调配业务表单和流程，不需要厂商二次开发。</w:t>
            </w:r>
          </w:p>
          <w:p>
            <w:pPr>
              <w:pStyle w:val="10"/>
              <w:rPr>
                <w:rFonts w:hint="eastAsia" w:hAnsi="宋体"/>
                <w:color w:val="auto"/>
                <w:sz w:val="21"/>
                <w:szCs w:val="21"/>
                <w:highlight w:val="none"/>
              </w:rPr>
            </w:pPr>
            <w:r>
              <w:rPr>
                <w:rFonts w:hint="eastAsia" w:hAnsi="宋体"/>
                <w:color w:val="auto"/>
                <w:sz w:val="21"/>
                <w:szCs w:val="21"/>
                <w:highlight w:val="none"/>
              </w:rPr>
              <w:t>2、能够支持不同院系、部门、部门或流程节点相关人员的分工应用，灵活指定应用类型及内容，满足校院两级管理的信息维护及业务上报等应用。</w:t>
            </w:r>
          </w:p>
          <w:p>
            <w:pPr>
              <w:pStyle w:val="10"/>
              <w:rPr>
                <w:rFonts w:hint="eastAsia" w:hAnsi="宋体"/>
                <w:color w:val="auto"/>
                <w:sz w:val="21"/>
                <w:szCs w:val="21"/>
                <w:highlight w:val="none"/>
              </w:rPr>
            </w:pPr>
            <w:r>
              <w:rPr>
                <w:rFonts w:hint="eastAsia" w:hAnsi="宋体"/>
                <w:color w:val="auto"/>
                <w:sz w:val="21"/>
                <w:szCs w:val="21"/>
                <w:highlight w:val="none"/>
              </w:rPr>
              <w:t>3、一个业务流程结束后，可以根据关联关系，自动引发另一个业务流程，提高人事业务的协同性程度；</w:t>
            </w:r>
          </w:p>
          <w:p>
            <w:pPr>
              <w:pStyle w:val="10"/>
              <w:rPr>
                <w:rFonts w:hint="eastAsia" w:hAnsi="宋体"/>
                <w:color w:val="auto"/>
                <w:sz w:val="21"/>
                <w:szCs w:val="21"/>
                <w:highlight w:val="none"/>
              </w:rPr>
            </w:pPr>
            <w:r>
              <w:rPr>
                <w:rFonts w:hint="eastAsia" w:hAnsi="宋体"/>
                <w:color w:val="auto"/>
                <w:sz w:val="21"/>
                <w:szCs w:val="21"/>
                <w:highlight w:val="none"/>
              </w:rPr>
              <w:t>4、各项流程需要主动推送到相关人员，并有任务提醒或邮件、短信通知。</w:t>
            </w:r>
          </w:p>
          <w:p>
            <w:pPr>
              <w:pStyle w:val="10"/>
              <w:rPr>
                <w:rFonts w:hint="eastAsia" w:hAnsi="宋体"/>
                <w:color w:val="auto"/>
                <w:sz w:val="21"/>
                <w:szCs w:val="21"/>
                <w:highlight w:val="none"/>
              </w:rPr>
            </w:pPr>
            <w:r>
              <w:rPr>
                <w:rFonts w:hint="eastAsia" w:hAnsi="宋体"/>
                <w:color w:val="auto"/>
                <w:sz w:val="21"/>
                <w:szCs w:val="21"/>
                <w:highlight w:val="none"/>
              </w:rPr>
              <w:t>5、流程干系人能够对流程的审批节点及进度实时监控。</w:t>
            </w:r>
          </w:p>
          <w:p>
            <w:pPr>
              <w:pStyle w:val="10"/>
              <w:rPr>
                <w:rFonts w:hint="eastAsia" w:hAnsi="宋体"/>
                <w:color w:val="auto"/>
                <w:sz w:val="21"/>
                <w:szCs w:val="21"/>
                <w:highlight w:val="none"/>
              </w:rPr>
            </w:pPr>
            <w:r>
              <w:rPr>
                <w:rFonts w:hint="eastAsia" w:hAnsi="宋体"/>
                <w:color w:val="auto"/>
                <w:sz w:val="21"/>
                <w:szCs w:val="21"/>
                <w:highlight w:val="none"/>
              </w:rPr>
              <w:t>6、人员调配涉及的相关计算公式需做汉化处理，方便相关业务老师编写，提升系统易用性；</w:t>
            </w:r>
          </w:p>
          <w:p>
            <w:pPr>
              <w:rPr>
                <w:rFonts w:hint="eastAsia" w:hAnsi="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lang w:eastAsia="zh-CN"/>
              </w:rPr>
              <w:t>、</w:t>
            </w:r>
            <w:r>
              <w:rPr>
                <w:rFonts w:hint="eastAsia" w:ascii="宋体" w:hAnsi="宋体" w:cs="宋体"/>
                <w:color w:val="auto"/>
                <w:szCs w:val="21"/>
                <w:highlight w:val="none"/>
              </w:rPr>
              <w:t>支持自动清点服务器存在的安装包和类库，至少支持RPM，DPKG等常见系统安装程序。</w:t>
            </w:r>
            <w:r>
              <w:rPr>
                <w:rFonts w:hint="eastAsia" w:ascii="宋体" w:hAnsi="宋体" w:cs="宋体"/>
                <w:b/>
                <w:bCs/>
                <w:color w:val="auto"/>
                <w:szCs w:val="21"/>
                <w:highlight w:val="none"/>
              </w:rPr>
              <w:t>（注：</w:t>
            </w:r>
            <w:r>
              <w:rPr>
                <w:rFonts w:hint="eastAsia" w:hAnsi="宋体" w:cs="宋体"/>
                <w:b/>
                <w:bCs/>
                <w:color w:val="auto"/>
                <w:szCs w:val="21"/>
                <w:highlight w:val="none"/>
              </w:rPr>
              <w:t>响应</w:t>
            </w:r>
            <w:r>
              <w:rPr>
                <w:rFonts w:hint="eastAsia" w:ascii="宋体" w:hAnsi="宋体" w:cs="宋体"/>
                <w:b/>
                <w:bCs/>
                <w:color w:val="auto"/>
                <w:szCs w:val="21"/>
                <w:highlight w:val="none"/>
              </w:rPr>
              <w:t>文件中提供产品功能截图）</w:t>
            </w:r>
          </w:p>
          <w:p>
            <w:pPr>
              <w:pStyle w:val="6"/>
              <w:ind w:firstLine="0" w:firstLineChars="0"/>
              <w:rPr>
                <w:rFonts w:ascii="宋体" w:hAnsi="宋体" w:cs="宋体"/>
                <w:color w:val="auto"/>
                <w:sz w:val="21"/>
                <w:szCs w:val="21"/>
                <w:highlight w:val="none"/>
              </w:rPr>
            </w:pPr>
            <w:r>
              <w:rPr>
                <w:rFonts w:hint="eastAsia" w:ascii="宋体" w:hAnsi="宋体" w:cs="宋体"/>
                <w:color w:val="auto"/>
                <w:sz w:val="21"/>
                <w:szCs w:val="21"/>
                <w:highlight w:val="none"/>
              </w:rPr>
              <w:t>（四）工资管理</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1、我校编内人员、合同制职工、离退休人员、返聘等编内、编外人员执行不同的薪资管理体系。系统能够满足多种不同的工资结构；</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2、预置多种工资标准表，如管理人员、专技人员、工勤人员的岗位工资标准、薪级工资标准；并能够对工资标准表进行灵活的增加、修改、删除等操作；</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3、能完成新聘用人员工资确定、年度增加薪级工资、岗位变动工资调整、调整基本工资标准、调整津贴补贴标准等所有调资业务；</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4、能按照规定格式实现各种调资业务审批表的修改和新建，并能够在审批表中设置相关条件、公式，满足事业单位工资变动审批要求；</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5、各种工资变动审批表均能够输出为上级部门要求的文件格式，并能在线调整、打印；</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6、工资调整业务支持流程审批的定义，并自动记录职工的工资变动情况，提供工资补发、补扣等自动处理机制，历次变动情况可以归档备查；</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7、工资核算时可直接引用其他业务模块数据，如考勤、绩效、奖惩等各项数据，自动核算绩效工资、考勤扣款、保险扣款、应发、应纳税所得额、税、实发等项目；</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8、能够通过导入excel、或手工调整等方式引入外部数据（如考勤、考核结果等），参与工资计算；</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9、要能够输出不同格式的工资明细报表和统计报表、历史工资报表，例如工资发放花名册、发放差异表、工资计算审批单等等，并能够对各种表格进行灵活的新增、调整和删除等；</w:t>
            </w:r>
          </w:p>
          <w:p>
            <w:pPr>
              <w:rPr>
                <w:rFonts w:hint="eastAsia"/>
                <w:color w:val="auto"/>
                <w:highlight w:val="none"/>
              </w:rPr>
            </w:pPr>
            <w:r>
              <w:rPr>
                <w:rFonts w:hint="eastAsia" w:ascii="宋体" w:hAnsi="宋体" w:cs="宋体"/>
                <w:color w:val="auto"/>
                <w:szCs w:val="21"/>
                <w:highlight w:val="none"/>
              </w:rPr>
              <w:t>★10、能对不同工资体系中的工资项目及其计算公式进行新增、修改、删除等操作，计算公式全部汉化，且内置常用计算函数，便于学校自己对工资体系的调整和完善。</w:t>
            </w:r>
            <w:r>
              <w:rPr>
                <w:rFonts w:hint="eastAsia" w:ascii="宋体" w:hAnsi="宋体" w:cs="宋体"/>
                <w:b/>
                <w:bCs/>
                <w:color w:val="auto"/>
                <w:szCs w:val="21"/>
                <w:highlight w:val="none"/>
              </w:rPr>
              <w:t>（注：</w:t>
            </w:r>
            <w:r>
              <w:rPr>
                <w:rFonts w:hint="eastAsia" w:hAnsi="宋体" w:cs="宋体"/>
                <w:b/>
                <w:bCs/>
                <w:color w:val="auto"/>
                <w:szCs w:val="21"/>
                <w:highlight w:val="none"/>
              </w:rPr>
              <w:t>响应</w:t>
            </w:r>
            <w:r>
              <w:rPr>
                <w:rFonts w:hint="eastAsia" w:ascii="宋体" w:hAnsi="宋体" w:cs="宋体"/>
                <w:b/>
                <w:bCs/>
                <w:color w:val="auto"/>
                <w:szCs w:val="21"/>
                <w:highlight w:val="none"/>
              </w:rPr>
              <w:t>文件中提供产品功能截图）</w:t>
            </w:r>
          </w:p>
          <w:p>
            <w:pPr>
              <w:pStyle w:val="6"/>
              <w:ind w:firstLine="0" w:firstLineChars="0"/>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五</w:t>
            </w:r>
            <w:r>
              <w:rPr>
                <w:rFonts w:hint="eastAsia" w:ascii="宋体" w:hAnsi="宋体" w:cs="宋体"/>
                <w:color w:val="auto"/>
                <w:sz w:val="21"/>
                <w:szCs w:val="21"/>
                <w:highlight w:val="none"/>
              </w:rPr>
              <w:t>）保险管理</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1、满足学校保险项目的灵活定义，包括基本养老保险、医疗保险、失业保险、工伤保险、生育保险、补充医疗、住房公积金、职业年金等；</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2、支持编内、编外人员不同的社保类别定义；</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3、根据国家政策完成社保、公积金等基本数据的维护，包括缴费比例、缴费基数上限、下限的确定、计算规则的确定，能够进行批量导入、手动调整、归档等操作；</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4、根据工资发放的实际情况，统计工资总额并与缴费基数联动，用于社保基数的年度调整；</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5、基数及缴费额既能自动计算，又能手工调整；系统需支持汉化计算公式且可以灵活调整；</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6、对保险的各种项目、台账等可进行多个方面的分析，如按社保缴纳情况、参保人员情况，缴费基数、年度增减变化情况、社保成本情况等进行统计分析，并支持打印输出。</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六</w:t>
            </w:r>
            <w:r>
              <w:rPr>
                <w:rFonts w:hint="eastAsia" w:ascii="宋体" w:hAnsi="宋体" w:cs="宋体"/>
                <w:color w:val="auto"/>
                <w:sz w:val="21"/>
                <w:szCs w:val="21"/>
                <w:highlight w:val="none"/>
              </w:rPr>
              <w:t>）招聘管理</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1、系统提供招聘门户，可嵌入到校园官网中，应聘者可以通过招聘门户查看招聘岗位、填写简历、应聘、查看应聘状态与结果等；</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2、支持招聘批次计划管理，对不同类型、不同层次人员能够灵活设置招聘计划，包括招聘批次、招聘部门、招聘人数、招聘流程等；</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3、支持招聘岗位管理，包括岗位名称、工作内容、人员要求等信息，并能够对不同类别的招聘岗位设置不同的招聘流程；</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4、提供简历筛选功能，能够进行人岗自动匹配，条件筛选设置等，方便进行简历筛选；</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5、对不同招聘岗位，支持自定义不同招聘流程，招聘流程在系统中支持自定义设置；</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6、对笔试人员，需能够管理考场，自动分配考生，自动生成准考证号，考生在线打印考试准考证，准考证格式可灵活定义，在系统中记录笔试结果；</w:t>
            </w:r>
          </w:p>
          <w:p>
            <w:pPr>
              <w:autoSpaceDE w:val="0"/>
              <w:autoSpaceDN w:val="0"/>
              <w:adjustRightInd w:val="0"/>
              <w:snapToGrid w:val="0"/>
              <w:jc w:val="left"/>
              <w:rPr>
                <w:rFonts w:hint="eastAsia"/>
                <w:color w:val="auto"/>
                <w:highlight w:val="none"/>
              </w:rPr>
            </w:pPr>
            <w:r>
              <w:rPr>
                <w:rFonts w:hint="eastAsia" w:ascii="宋体" w:hAnsi="宋体" w:cs="宋体"/>
                <w:color w:val="auto"/>
                <w:szCs w:val="21"/>
                <w:highlight w:val="none"/>
              </w:rPr>
              <w:t>★7、可自定义恶意进程名与进程参数实时监控服务器的恶意进程启动行为。</w:t>
            </w:r>
            <w:r>
              <w:rPr>
                <w:rFonts w:hint="eastAsia" w:ascii="宋体" w:hAnsi="宋体" w:cs="宋体"/>
                <w:b/>
                <w:bCs/>
                <w:color w:val="auto"/>
                <w:szCs w:val="21"/>
                <w:highlight w:val="none"/>
              </w:rPr>
              <w:t>（注：</w:t>
            </w:r>
            <w:r>
              <w:rPr>
                <w:rFonts w:hint="eastAsia" w:hAnsi="宋体" w:cs="宋体"/>
                <w:b/>
                <w:bCs/>
                <w:color w:val="auto"/>
                <w:szCs w:val="21"/>
                <w:highlight w:val="none"/>
              </w:rPr>
              <w:t>响应</w:t>
            </w:r>
            <w:r>
              <w:rPr>
                <w:rFonts w:hint="eastAsia" w:ascii="宋体" w:hAnsi="宋体" w:cs="宋体"/>
                <w:b/>
                <w:bCs/>
                <w:color w:val="auto"/>
                <w:szCs w:val="21"/>
                <w:highlight w:val="none"/>
              </w:rPr>
              <w:t>文件中提供产品功能截图）</w:t>
            </w:r>
          </w:p>
          <w:p>
            <w:pPr>
              <w:pStyle w:val="6"/>
              <w:ind w:firstLine="0" w:firstLineChars="0"/>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七</w:t>
            </w:r>
            <w:r>
              <w:rPr>
                <w:rFonts w:hint="eastAsia" w:ascii="宋体" w:hAnsi="宋体" w:cs="宋体"/>
                <w:color w:val="auto"/>
                <w:sz w:val="21"/>
                <w:szCs w:val="21"/>
                <w:highlight w:val="none"/>
              </w:rPr>
              <w:t>）考核评价</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对教职工的年度考核、满意度调查以及对领导力、师德评价等考核多采用360评估的方式进行评价，从不同维度，不同人员参与评分，综合各项指标给出考核分数及等级。</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1、考核体系灵活，支持360度考核、民主测评以及师德考评等考核应用；</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2、考核对象与范围：可对个人或组织等考核对象进行；</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3、考核计划，多套考核计划同时进行，满足对不同类别人员或组织的考核同时进行，节省考核时间；</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4、考核周期：支持年度、季度、月度或不定期考核，满足满足对平时、年度考核的要求；</w:t>
            </w:r>
          </w:p>
          <w:p>
            <w:pPr>
              <w:pStyle w:val="6"/>
              <w:ind w:firstLine="0" w:firstLineChars="0"/>
              <w:rPr>
                <w:rFonts w:hint="eastAsia"/>
                <w:color w:val="auto"/>
                <w:highlight w:val="none"/>
              </w:rPr>
            </w:pPr>
            <w:r>
              <w:rPr>
                <w:rFonts w:hint="eastAsia" w:ascii="宋体" w:hAnsi="宋体" w:cs="宋体"/>
                <w:color w:val="auto"/>
                <w:sz w:val="21"/>
                <w:szCs w:val="21"/>
                <w:highlight w:val="none"/>
              </w:rPr>
              <w:t>5、匿名性：支持实名或匿名考核，确保考核安全。</w:t>
            </w:r>
          </w:p>
          <w:p>
            <w:pPr>
              <w:pStyle w:val="6"/>
              <w:ind w:firstLine="0" w:firstLineChars="0"/>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八</w:t>
            </w:r>
            <w:r>
              <w:rPr>
                <w:rFonts w:hint="eastAsia" w:ascii="宋体" w:hAnsi="宋体" w:cs="宋体"/>
                <w:color w:val="auto"/>
                <w:sz w:val="21"/>
                <w:szCs w:val="21"/>
                <w:highlight w:val="none"/>
              </w:rPr>
              <w:t>）党建管理</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1、在人事信息子集中增加党费管理子集，员工可自助查询；</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2、提供对员工中党员的档案管理功能，并可根据实际情况增加、修改党员类别，如党员、预备党员、入党积极分子等；</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3、可根据自身需要增加、修改员工中党员信息管理指标项，实现对党员信息全面、准确的管理；</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4、实现入党申请、转预备、转正等流程申请和审批管理。</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九</w:t>
            </w:r>
            <w:r>
              <w:rPr>
                <w:rFonts w:hint="eastAsia" w:ascii="宋体" w:hAnsi="宋体" w:cs="宋体"/>
                <w:color w:val="auto"/>
                <w:sz w:val="21"/>
                <w:szCs w:val="21"/>
                <w:highlight w:val="none"/>
              </w:rPr>
              <w:t>）师资培养</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1、系统支持教职工在线提交年度培训计划表，可自定义维护培训计划的相关指标，并提交到分管领导进行审批。</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2、支持对教职工进修业务信息的登记；支持教职工进修业务的申请、审核及线上审批；支持教职工进修业务结果的登记。</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3、支持对教职工访学业务信息的登记；支持教职工访学业务的申请、审核及线上审批；支持教职工访学业务结果的登记。</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4、支持对教职工其他培训信息的登记；支持教职工其他培训信息的申请、审核及线上审批；支持教职工其他培训结果的登记。</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十</w:t>
            </w:r>
            <w:r>
              <w:rPr>
                <w:rFonts w:hint="eastAsia" w:ascii="宋体" w:hAnsi="宋体" w:cs="宋体"/>
                <w:color w:val="auto"/>
                <w:sz w:val="21"/>
                <w:szCs w:val="21"/>
                <w:highlight w:val="none"/>
              </w:rPr>
              <w:t>）报表管理</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1、内部或临时的各种统计报表能够方便地制作与应用，登记表、花名册、统计报表、业务表单等各类表单可如在word中画表般制作或修改，表内各指标可直接引用现有人员信息集内所有指标；</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2、各种报表的数据能够实时自动生成，并且有准确性的校验功能，提高报表工作效率；</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3、各种报表能够保存历史数据，便于不同时期的报表进行对比分析；各种报表能够导出excel格式；</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4、能够对报表数据进行“反查”，展现数据来源，控制错误的数据来源；</w:t>
            </w:r>
          </w:p>
          <w:p>
            <w:pPr>
              <w:rPr>
                <w:rFonts w:hint="eastAsia" w:ascii="宋体" w:hAnsi="宋体" w:cs="宋体"/>
                <w:color w:val="auto"/>
                <w:szCs w:val="21"/>
                <w:highlight w:val="none"/>
              </w:rPr>
            </w:pPr>
            <w:r>
              <w:rPr>
                <w:rFonts w:hint="eastAsia" w:ascii="宋体" w:hAnsi="宋体" w:cs="宋体"/>
                <w:color w:val="auto"/>
                <w:szCs w:val="21"/>
                <w:highlight w:val="none"/>
              </w:rPr>
              <w:t>5、上级要求的报表格式发生变动，业务人员能够灵活修改、新增各种统计报表，无需软件厂商二次开发；</w:t>
            </w:r>
          </w:p>
          <w:p>
            <w:pPr>
              <w:rPr>
                <w:rFonts w:hint="eastAsia" w:ascii="宋体" w:hAnsi="宋体" w:cs="宋体"/>
                <w:color w:val="auto"/>
                <w:szCs w:val="21"/>
                <w:highlight w:val="none"/>
              </w:rPr>
            </w:pPr>
            <w:r>
              <w:rPr>
                <w:rFonts w:hint="eastAsia" w:ascii="宋体" w:hAnsi="宋体" w:cs="宋体"/>
                <w:color w:val="auto"/>
                <w:szCs w:val="21"/>
                <w:highlight w:val="none"/>
              </w:rPr>
              <w:t>★6、支持批量配置白名单规则，批量按照连接进程、进程树、目标主机IP和端口加入白名单。</w:t>
            </w:r>
            <w:r>
              <w:rPr>
                <w:rFonts w:hint="eastAsia" w:ascii="宋体" w:hAnsi="宋体" w:cs="宋体"/>
                <w:b/>
                <w:bCs/>
                <w:color w:val="auto"/>
                <w:szCs w:val="21"/>
                <w:highlight w:val="none"/>
              </w:rPr>
              <w:t>（注：</w:t>
            </w:r>
            <w:r>
              <w:rPr>
                <w:rFonts w:hint="eastAsia" w:hAnsi="宋体" w:cs="宋体"/>
                <w:b/>
                <w:bCs/>
                <w:color w:val="auto"/>
                <w:szCs w:val="21"/>
                <w:highlight w:val="none"/>
              </w:rPr>
              <w:t>响应</w:t>
            </w:r>
            <w:r>
              <w:rPr>
                <w:rFonts w:hint="eastAsia" w:ascii="宋体" w:hAnsi="宋体" w:cs="宋体"/>
                <w:b/>
                <w:bCs/>
                <w:color w:val="auto"/>
                <w:szCs w:val="21"/>
                <w:highlight w:val="none"/>
              </w:rPr>
              <w:t>文件中提供产品功能截图）</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十一</w:t>
            </w:r>
            <w:r>
              <w:rPr>
                <w:rFonts w:hint="eastAsia" w:ascii="宋体" w:hAnsi="宋体" w:cs="宋体"/>
                <w:color w:val="auto"/>
                <w:sz w:val="21"/>
                <w:szCs w:val="21"/>
                <w:highlight w:val="none"/>
              </w:rPr>
              <w:t>）自助服务</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1、能够为全体教职工开通账号及对不同人员进行相应的授权；</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2、教职工能够查看自己的档案信息，如工资、福利、学历信息、培训信息、职称信息等，发现错误记录能够申请修改，经相关部门审核后方可入库；</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3、能够进行各种人事业务的办理，如请假申请、公出申请、转正申请等，实时了解申请进度；</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4、能够查看每月工资条，包括查看统计时间段（如年度、季度）内工资汇总信息；</w:t>
            </w:r>
          </w:p>
          <w:p>
            <w:pPr>
              <w:rPr>
                <w:rFonts w:hint="eastAsia"/>
                <w:color w:val="auto"/>
                <w:highlight w:val="none"/>
              </w:rPr>
            </w:pPr>
            <w:r>
              <w:rPr>
                <w:color w:val="auto"/>
                <w:highlight w:val="none"/>
              </w:rPr>
              <w:t>5</w:t>
            </w:r>
            <w:r>
              <w:rPr>
                <w:rFonts w:hint="eastAsia"/>
                <w:color w:val="auto"/>
                <w:highlight w:val="none"/>
              </w:rPr>
              <w:t>、能够查看学校上传的人事规章制度，下载相关的人事表格；</w:t>
            </w:r>
          </w:p>
          <w:p>
            <w:pPr>
              <w:autoSpaceDE w:val="0"/>
              <w:autoSpaceDN w:val="0"/>
              <w:adjustRightInd w:val="0"/>
              <w:snapToGrid w:val="0"/>
              <w:jc w:val="left"/>
              <w:rPr>
                <w:rFonts w:ascii="宋体" w:hAnsi="宋体" w:cs="宋体"/>
                <w:color w:val="auto"/>
                <w:szCs w:val="21"/>
                <w:highlight w:val="none"/>
              </w:rPr>
            </w:pPr>
            <w:r>
              <w:rPr>
                <w:rFonts w:hint="eastAsia" w:ascii="宋体" w:hAnsi="宋体" w:cs="宋体"/>
                <w:color w:val="auto"/>
                <w:szCs w:val="21"/>
                <w:highlight w:val="none"/>
              </w:rPr>
              <w:t>★6、支持自动清点系统中配置的所有计划任务，并按照任务类型进行分类，至少包括：Crontab计划任务，At计划任务，Batch计划任务。</w:t>
            </w:r>
            <w:r>
              <w:rPr>
                <w:rFonts w:hint="eastAsia" w:ascii="宋体" w:hAnsi="宋体" w:cs="宋体"/>
                <w:b/>
                <w:bCs/>
                <w:color w:val="auto"/>
                <w:szCs w:val="21"/>
                <w:highlight w:val="none"/>
              </w:rPr>
              <w:t>（注：</w:t>
            </w:r>
            <w:r>
              <w:rPr>
                <w:rFonts w:hint="eastAsia" w:hAnsi="宋体" w:cs="宋体"/>
                <w:b/>
                <w:bCs/>
                <w:color w:val="auto"/>
                <w:szCs w:val="21"/>
                <w:highlight w:val="none"/>
              </w:rPr>
              <w:t>响应</w:t>
            </w:r>
            <w:r>
              <w:rPr>
                <w:rFonts w:hint="eastAsia" w:ascii="宋体" w:hAnsi="宋体" w:cs="宋体"/>
                <w:b/>
                <w:bCs/>
                <w:color w:val="auto"/>
                <w:szCs w:val="21"/>
                <w:highlight w:val="none"/>
              </w:rPr>
              <w:t>文件中提供产品功能截图）</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hAnsi="宋体" w:cs="宋体"/>
                <w:color w:val="auto"/>
                <w:sz w:val="21"/>
                <w:szCs w:val="21"/>
                <w:highlight w:val="none"/>
              </w:rPr>
              <w:t>十二</w:t>
            </w:r>
            <w:r>
              <w:rPr>
                <w:rFonts w:hint="eastAsia" w:ascii="宋体" w:hAnsi="宋体" w:cs="宋体"/>
                <w:color w:val="auto"/>
                <w:sz w:val="21"/>
                <w:szCs w:val="21"/>
                <w:highlight w:val="none"/>
              </w:rPr>
              <w:t>）自助证明打印服务</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1、自助终端需提供多种登录方式：身份证登录、账号登录等；</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2、需支持人事证明自助打印功能以及其他信息浏览功能，可打印的证明种类有：在职证明、收入证明、出国签证等，可根据学校的需求适时增加其他打印服务。</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（十三）移动服务</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为了提高人力资源系统的应用效率，保证数据的及时查询展示，方便领导决策及员工日常查询需求，将常用的统计分析、报表等在移动端进行应用。系统需提供基于企业微信、钉钉、其他移动APP办公平台。</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1、通过移动服务端查看本人权限范围内职工信息；</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2、通过移动服务完成各项业务审批，查询审批进度；</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3、提供职工薪资福利查询以及个税附加申报信息修改和调整；</w:t>
            </w:r>
          </w:p>
          <w:p>
            <w:pPr>
              <w:rPr>
                <w:rFonts w:hint="eastAsia"/>
                <w:color w:val="auto"/>
                <w:highlight w:val="none"/>
              </w:rPr>
            </w:pPr>
            <w:r>
              <w:rPr>
                <w:rFonts w:hint="eastAsia" w:ascii="宋体" w:hAnsi="宋体" w:cs="宋体"/>
                <w:color w:val="auto"/>
                <w:szCs w:val="21"/>
                <w:highlight w:val="none"/>
              </w:rPr>
              <w:t>4、提供团队人才结构分析，实时了解人员状态。</w:t>
            </w:r>
          </w:p>
          <w:p>
            <w:pPr>
              <w:pStyle w:val="6"/>
              <w:ind w:firstLine="0" w:firstLineChars="0"/>
              <w:rPr>
                <w:rFonts w:ascii="宋体" w:hAnsi="宋体" w:cs="宋体"/>
                <w:color w:val="auto"/>
                <w:sz w:val="21"/>
                <w:szCs w:val="21"/>
                <w:highlight w:val="none"/>
              </w:rPr>
            </w:pPr>
            <w:r>
              <w:rPr>
                <w:rFonts w:hint="eastAsia" w:ascii="宋体" w:hAnsi="宋体" w:cs="宋体"/>
                <w:color w:val="auto"/>
                <w:sz w:val="21"/>
                <w:szCs w:val="21"/>
                <w:highlight w:val="none"/>
              </w:rPr>
              <w:t>（十四）数据集成</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1、实现与智慧校园平台统一身份认证。</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2、实现与智慧校园平台和学校数据中心的数据同步。</w:t>
            </w:r>
          </w:p>
          <w:p>
            <w:pPr>
              <w:rPr>
                <w:rFonts w:hint="eastAsia" w:ascii="宋体" w:hAnsi="宋体" w:cs="宋体"/>
                <w:color w:val="auto"/>
                <w:szCs w:val="21"/>
                <w:highlight w:val="none"/>
              </w:rPr>
            </w:pPr>
            <w:r>
              <w:rPr>
                <w:rFonts w:hint="eastAsia" w:ascii="宋体" w:hAnsi="宋体" w:cs="宋体"/>
                <w:color w:val="auto"/>
                <w:szCs w:val="21"/>
                <w:highlight w:val="none"/>
              </w:rPr>
              <w:t>3、与学校财务信息化平台对接，根据学校实际需求实现与财务信息化平台数据对接。</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（十五）系统管理</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★1、系统首页支持个性化配置，支持自定义各类系统主题，系统主题颜色支持自定义，不限制数量；</w:t>
            </w:r>
            <w:r>
              <w:rPr>
                <w:rFonts w:hint="eastAsia" w:ascii="宋体" w:hAnsi="宋体" w:cs="宋体"/>
                <w:b/>
                <w:bCs/>
                <w:color w:val="auto"/>
                <w:sz w:val="21"/>
                <w:szCs w:val="21"/>
                <w:highlight w:val="none"/>
              </w:rPr>
              <w:t>（注：</w:t>
            </w:r>
            <w:r>
              <w:rPr>
                <w:rFonts w:hint="eastAsia" w:hAnsi="宋体" w:cs="宋体"/>
                <w:b/>
                <w:bCs/>
                <w:color w:val="auto"/>
                <w:sz w:val="21"/>
                <w:szCs w:val="21"/>
                <w:highlight w:val="none"/>
              </w:rPr>
              <w:t>响应</w:t>
            </w:r>
            <w:r>
              <w:rPr>
                <w:rFonts w:hint="eastAsia" w:ascii="宋体" w:hAnsi="宋体" w:cs="宋体"/>
                <w:b/>
                <w:bCs/>
                <w:color w:val="auto"/>
                <w:sz w:val="21"/>
                <w:szCs w:val="21"/>
                <w:highlight w:val="none"/>
              </w:rPr>
              <w:t>文件中提供产品功能截图）</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2、系统可由单位随时针对单位、岗位、人员信息集及指标，进行增、删、改操作，指标可定义为代码、日期、文本、数字、多媒体等各种类型；</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可针对角色、用户、教职工分别进行授权，授权可精细化管理，可以对人员库、管理范围、信息指标集、业务表单、统计报表、花名册、登记表等分别进行授权，信息指标集可精细到任何一个指标进行读、写、无的操作；</w:t>
            </w:r>
          </w:p>
          <w:p>
            <w:pPr>
              <w:rPr>
                <w:rFonts w:hint="eastAsia"/>
                <w:color w:val="auto"/>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可自定义系统配置规则，通过扫描方式对指定的系统配置文件内容进行检测，发现可以配置。</w:t>
            </w:r>
            <w:r>
              <w:rPr>
                <w:rFonts w:hint="eastAsia" w:ascii="宋体" w:hAnsi="宋体" w:cs="宋体"/>
                <w:b/>
                <w:bCs/>
                <w:color w:val="auto"/>
                <w:szCs w:val="21"/>
                <w:highlight w:val="none"/>
              </w:rPr>
              <w:t>（注：</w:t>
            </w:r>
            <w:r>
              <w:rPr>
                <w:rFonts w:hint="eastAsia" w:hAnsi="宋体" w:cs="宋体"/>
                <w:b/>
                <w:bCs/>
                <w:color w:val="auto"/>
                <w:szCs w:val="21"/>
                <w:highlight w:val="none"/>
              </w:rPr>
              <w:t>响应</w:t>
            </w:r>
            <w:r>
              <w:rPr>
                <w:rFonts w:hint="eastAsia" w:ascii="宋体" w:hAnsi="宋体" w:cs="宋体"/>
                <w:b/>
                <w:bCs/>
                <w:color w:val="auto"/>
                <w:szCs w:val="21"/>
                <w:highlight w:val="none"/>
              </w:rPr>
              <w:t>文件中提供产品功能截图）</w:t>
            </w:r>
          </w:p>
          <w:p>
            <w:pPr>
              <w:pStyle w:val="6"/>
              <w:ind w:firstLine="0" w:firstLineChars="0"/>
              <w:rPr>
                <w:rFonts w:ascii="宋体" w:hAnsi="宋体" w:cs="宋体"/>
                <w:color w:val="auto"/>
                <w:sz w:val="21"/>
                <w:szCs w:val="21"/>
                <w:highlight w:val="none"/>
              </w:rPr>
            </w:pPr>
            <w:r>
              <w:rPr>
                <w:rFonts w:hint="eastAsia" w:ascii="宋体" w:hAnsi="宋体" w:cs="宋体"/>
                <w:color w:val="auto"/>
                <w:sz w:val="21"/>
                <w:szCs w:val="21"/>
                <w:highlight w:val="none"/>
              </w:rPr>
              <w:t>5、在预警平台上，可以自定义要进行预警的事件包括预警触发的条件、预警信息的内容、预警的时间设置、预警信息的接收者、接收方式等。预警条件全部汉化，无需代码开发；</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6、可通过前台手工配置，无需编写代码，即可实现相关系统数据接收或发送，定时任务的自动执行。如：中间表数据同步、人员组织机构同步、数据联动、考勤同步数据等；</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★7、支持通过前台配置数据视图，无需在数据库中编写sql语句，可视化选择即可实现数据视图和数据接收设置，设置完后，可推送外部系统所需人事信息，接收人事所需外部系统信息；</w:t>
            </w:r>
            <w:r>
              <w:rPr>
                <w:rFonts w:hint="eastAsia" w:ascii="宋体" w:hAnsi="宋体" w:cs="宋体"/>
                <w:b/>
                <w:bCs/>
                <w:color w:val="auto"/>
                <w:sz w:val="21"/>
                <w:szCs w:val="21"/>
                <w:highlight w:val="none"/>
              </w:rPr>
              <w:t>（注：</w:t>
            </w:r>
            <w:r>
              <w:rPr>
                <w:rFonts w:hint="eastAsia" w:hAnsi="宋体" w:cs="宋体"/>
                <w:b/>
                <w:bCs/>
                <w:color w:val="auto"/>
                <w:sz w:val="21"/>
                <w:szCs w:val="21"/>
                <w:highlight w:val="none"/>
              </w:rPr>
              <w:t>响应</w:t>
            </w:r>
            <w:r>
              <w:rPr>
                <w:rFonts w:hint="eastAsia" w:ascii="宋体" w:hAnsi="宋体" w:cs="宋体"/>
                <w:b/>
                <w:bCs/>
                <w:color w:val="auto"/>
                <w:sz w:val="21"/>
                <w:szCs w:val="21"/>
                <w:highlight w:val="none"/>
              </w:rPr>
              <w:t>文件中提供产品功能截图）</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8、可对人事系统中使用到的表单进行完全自定义设置，比如登记表、花名册、业务表单、统计报表等。表单制作简单、易学，类似word画表工具</w:t>
            </w:r>
            <w:r>
              <w:rPr>
                <w:rFonts w:hint="eastAsia" w:hAnsi="宋体" w:cs="宋体"/>
                <w:color w:val="auto"/>
                <w:sz w:val="21"/>
                <w:szCs w:val="21"/>
                <w:highlight w:val="none"/>
              </w:rPr>
              <w:t>，</w:t>
            </w:r>
            <w:r>
              <w:rPr>
                <w:rFonts w:hint="eastAsia" w:ascii="宋体" w:hAnsi="宋体" w:cs="宋体"/>
                <w:color w:val="auto"/>
                <w:sz w:val="21"/>
                <w:szCs w:val="21"/>
                <w:highlight w:val="none"/>
              </w:rPr>
              <w:t>提取数据无需编写代码；</w:t>
            </w:r>
          </w:p>
          <w:p>
            <w:pPr>
              <w:rPr>
                <w:rFonts w:hint="eastAsia" w:ascii="宋体" w:hAnsi="宋体" w:cs="宋体"/>
                <w:color w:val="auto"/>
                <w:szCs w:val="21"/>
                <w:highlight w:val="none"/>
              </w:rPr>
            </w:pPr>
            <w:r>
              <w:rPr>
                <w:rFonts w:hint="eastAsia" w:ascii="宋体" w:hAnsi="宋体" w:cs="宋体"/>
                <w:color w:val="auto"/>
                <w:szCs w:val="21"/>
                <w:highlight w:val="none"/>
              </w:rPr>
              <w:t>9、详细记载人员使用功能、时间、登录 IP 地址、用户名、单位、操作事件；</w:t>
            </w:r>
          </w:p>
          <w:p>
            <w:pPr>
              <w:autoSpaceDE w:val="0"/>
              <w:autoSpaceDN w:val="0"/>
              <w:adjustRightInd w:val="0"/>
              <w:snapToGrid w:val="0"/>
              <w:jc w:val="left"/>
              <w:rPr>
                <w:rFonts w:hint="eastAsia" w:ascii="宋体" w:hAnsi="宋体" w:cs="Arial"/>
                <w:color w:val="auto"/>
                <w:szCs w:val="21"/>
                <w:highlight w:val="none"/>
              </w:rPr>
            </w:pPr>
            <w:r>
              <w:rPr>
                <w:rFonts w:hint="eastAsia" w:ascii="宋体" w:hAnsi="宋体" w:cs="宋体"/>
                <w:color w:val="auto"/>
                <w:szCs w:val="21"/>
                <w:highlight w:val="none"/>
              </w:rPr>
              <w:t>10、支持自动清点系统中的所有启动项、Xinetd托管服务，及各启动项在不同模式下的开启/关闭状态配置。</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套</w:t>
            </w:r>
          </w:p>
        </w:tc>
        <w:tc>
          <w:tcPr>
            <w:tcW w:w="555"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ascii="宋体" w:hAnsi="宋体" w:eastAsia="宋体" w:cs="宋体"/>
                <w:color w:val="auto"/>
                <w:sz w:val="21"/>
                <w:szCs w:val="21"/>
                <w:highlight w:val="none"/>
              </w:rPr>
            </w:pPr>
          </w:p>
          <w:p>
            <w:pPr>
              <w:pStyle w:val="10"/>
              <w:jc w:val="center"/>
              <w:rPr>
                <w:rFonts w:hint="eastAsia" w:hAnsi="宋体"/>
                <w:color w:val="auto"/>
                <w:kern w:val="2"/>
                <w:sz w:val="21"/>
                <w:szCs w:val="21"/>
                <w:highlight w:val="none"/>
              </w:rPr>
            </w:pPr>
            <w:r>
              <w:rPr>
                <w:rFonts w:hint="eastAsia" w:hAnsi="宋体"/>
                <w:color w:val="auto"/>
                <w:kern w:val="2"/>
                <w:sz w:val="21"/>
                <w:szCs w:val="21"/>
                <w:highlight w:val="none"/>
              </w:rPr>
              <w:t>软件</w:t>
            </w:r>
          </w:p>
          <w:p>
            <w:pPr>
              <w:pStyle w:val="10"/>
              <w:jc w:val="center"/>
              <w:rPr>
                <w:rFonts w:hint="eastAsia" w:hAnsi="宋体"/>
                <w:color w:val="auto"/>
                <w:kern w:val="2"/>
                <w:sz w:val="21"/>
                <w:szCs w:val="21"/>
                <w:highlight w:val="none"/>
              </w:rPr>
            </w:pPr>
            <w:r>
              <w:rPr>
                <w:rFonts w:hint="eastAsia" w:hAnsi="宋体"/>
                <w:color w:val="auto"/>
                <w:kern w:val="2"/>
                <w:sz w:val="21"/>
                <w:szCs w:val="21"/>
                <w:highlight w:val="none"/>
              </w:rPr>
              <w:t>和信</w:t>
            </w:r>
          </w:p>
          <w:p>
            <w:pPr>
              <w:pStyle w:val="10"/>
              <w:jc w:val="center"/>
              <w:rPr>
                <w:rFonts w:hint="eastAsia" w:hAnsi="宋体"/>
                <w:color w:val="auto"/>
                <w:kern w:val="2"/>
                <w:sz w:val="21"/>
                <w:szCs w:val="21"/>
                <w:highlight w:val="none"/>
              </w:rPr>
            </w:pPr>
            <w:r>
              <w:rPr>
                <w:rFonts w:hint="eastAsia" w:hAnsi="宋体"/>
                <w:color w:val="auto"/>
                <w:kern w:val="2"/>
                <w:sz w:val="21"/>
                <w:szCs w:val="21"/>
                <w:highlight w:val="none"/>
              </w:rPr>
              <w:t>息技</w:t>
            </w:r>
          </w:p>
          <w:p>
            <w:pPr>
              <w:pStyle w:val="10"/>
              <w:jc w:val="center"/>
              <w:rPr>
                <w:rFonts w:hint="eastAsia" w:hAnsi="宋体"/>
                <w:color w:val="auto"/>
                <w:kern w:val="2"/>
                <w:sz w:val="21"/>
                <w:szCs w:val="21"/>
                <w:highlight w:val="none"/>
              </w:rPr>
            </w:pPr>
            <w:r>
              <w:rPr>
                <w:rFonts w:hint="eastAsia" w:hAnsi="宋体"/>
                <w:color w:val="auto"/>
                <w:kern w:val="2"/>
                <w:sz w:val="21"/>
                <w:szCs w:val="21"/>
                <w:highlight w:val="none"/>
              </w:rPr>
              <w:t>术服</w:t>
            </w:r>
          </w:p>
          <w:p>
            <w:pPr>
              <w:pStyle w:val="1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务业</w:t>
            </w:r>
          </w:p>
          <w:p>
            <w:pPr>
              <w:pStyle w:val="11"/>
              <w:jc w:val="center"/>
              <w:rPr>
                <w:rFonts w:hint="eastAsia" w:ascii="宋体" w:hAnsi="宋体" w:eastAsia="宋体" w:cs="宋体"/>
                <w:color w:val="auto"/>
                <w:sz w:val="21"/>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1"/>
              <w:jc w:val="left"/>
              <w:rPr>
                <w:rFonts w:hint="eastAsia" w:ascii="Arial" w:hAnsi="Arial" w:cs="Arial"/>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组织人事处部门网站建设</w:t>
            </w:r>
          </w:p>
        </w:tc>
        <w:tc>
          <w:tcPr>
            <w:tcW w:w="4958"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根据学校要求提供定制开发组织人事处部门网站服务。</w:t>
            </w:r>
          </w:p>
        </w:tc>
        <w:tc>
          <w:tcPr>
            <w:tcW w:w="58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套</w:t>
            </w:r>
          </w:p>
        </w:tc>
        <w:tc>
          <w:tcPr>
            <w:tcW w:w="555"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825"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hAnsi="宋体"/>
                <w:color w:val="auto"/>
                <w:kern w:val="2"/>
                <w:sz w:val="21"/>
                <w:szCs w:val="21"/>
                <w:highlight w:val="none"/>
              </w:rPr>
            </w:pPr>
            <w:r>
              <w:rPr>
                <w:rFonts w:hint="eastAsia" w:hAnsi="宋体"/>
                <w:color w:val="auto"/>
                <w:kern w:val="2"/>
                <w:sz w:val="21"/>
                <w:szCs w:val="21"/>
                <w:highlight w:val="none"/>
              </w:rPr>
              <w:t>软件</w:t>
            </w:r>
          </w:p>
          <w:p>
            <w:pPr>
              <w:pStyle w:val="10"/>
              <w:jc w:val="center"/>
              <w:rPr>
                <w:rFonts w:hint="eastAsia" w:hAnsi="宋体"/>
                <w:color w:val="auto"/>
                <w:kern w:val="2"/>
                <w:sz w:val="21"/>
                <w:szCs w:val="21"/>
                <w:highlight w:val="none"/>
              </w:rPr>
            </w:pPr>
            <w:r>
              <w:rPr>
                <w:rFonts w:hint="eastAsia" w:hAnsi="宋体"/>
                <w:color w:val="auto"/>
                <w:kern w:val="2"/>
                <w:sz w:val="21"/>
                <w:szCs w:val="21"/>
                <w:highlight w:val="none"/>
              </w:rPr>
              <w:t>和信</w:t>
            </w:r>
          </w:p>
          <w:p>
            <w:pPr>
              <w:pStyle w:val="10"/>
              <w:jc w:val="center"/>
              <w:rPr>
                <w:rFonts w:hint="eastAsia" w:hAnsi="宋体"/>
                <w:color w:val="auto"/>
                <w:kern w:val="2"/>
                <w:sz w:val="21"/>
                <w:szCs w:val="21"/>
                <w:highlight w:val="none"/>
              </w:rPr>
            </w:pPr>
            <w:r>
              <w:rPr>
                <w:rFonts w:hint="eastAsia" w:hAnsi="宋体"/>
                <w:color w:val="auto"/>
                <w:kern w:val="2"/>
                <w:sz w:val="21"/>
                <w:szCs w:val="21"/>
                <w:highlight w:val="none"/>
              </w:rPr>
              <w:t>息技</w:t>
            </w:r>
          </w:p>
          <w:p>
            <w:pPr>
              <w:pStyle w:val="10"/>
              <w:jc w:val="center"/>
              <w:rPr>
                <w:rFonts w:hint="eastAsia" w:hAnsi="宋体"/>
                <w:color w:val="auto"/>
                <w:kern w:val="2"/>
                <w:sz w:val="21"/>
                <w:szCs w:val="21"/>
                <w:highlight w:val="none"/>
              </w:rPr>
            </w:pPr>
            <w:r>
              <w:rPr>
                <w:rFonts w:hint="eastAsia" w:hAnsi="宋体"/>
                <w:color w:val="auto"/>
                <w:kern w:val="2"/>
                <w:sz w:val="21"/>
                <w:szCs w:val="21"/>
                <w:highlight w:val="none"/>
              </w:rPr>
              <w:t>术服</w:t>
            </w:r>
          </w:p>
          <w:p>
            <w:pPr>
              <w:pStyle w:val="6"/>
              <w:ind w:firstLine="0" w:firstLine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务业</w:t>
            </w:r>
          </w:p>
        </w:tc>
        <w:tc>
          <w:tcPr>
            <w:tcW w:w="735"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ascii="Arial" w:hAnsi="Arial" w:cs="Arial"/>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auto"/>
                <w:kern w:val="0"/>
                <w:szCs w:val="21"/>
                <w:highlight w:val="none"/>
              </w:rPr>
            </w:pPr>
            <w:r>
              <w:rPr>
                <w:rFonts w:hint="eastAsia" w:ascii="宋体" w:hAnsi="宋体" w:cs="宋体"/>
                <w:color w:val="auto"/>
                <w:kern w:val="0"/>
                <w:szCs w:val="21"/>
                <w:highlight w:val="none"/>
              </w:rPr>
              <w:t>3</w:t>
            </w:r>
          </w:p>
        </w:tc>
        <w:tc>
          <w:tcPr>
            <w:tcW w:w="1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会议一体机</w:t>
            </w:r>
          </w:p>
        </w:tc>
        <w:tc>
          <w:tcPr>
            <w:tcW w:w="4958" w:type="dxa"/>
            <w:tcBorders>
              <w:top w:val="single" w:color="auto" w:sz="4" w:space="0"/>
              <w:left w:val="single" w:color="auto" w:sz="4" w:space="0"/>
              <w:bottom w:val="single" w:color="auto" w:sz="4" w:space="0"/>
              <w:right w:val="single" w:color="auto" w:sz="4" w:space="0"/>
            </w:tcBorders>
            <w:vAlign w:val="center"/>
          </w:tcPr>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1、整机屏幕采用86英寸液晶显示器。整机采用LED液晶A规屏，显示比例16:9。整机采用一体设计，外部无任何可见内部功能模块连接线。</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2、整机为双系统设计，嵌入式安卓操作系统版本为Android11；同时嵌入式Android操作系统下可实现windows系统中常用的教学应用功能，如白板书写、WPS软件使用和网页浏览，安卓系统ram≥4G；rom≥32G 。</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3、为满足实际需求，可便捷外接所需的设备，整机前置USB3.0接口≥3个；HDMI接口≥1个；全功能 Type-C接口≥1个（具备音视频传输、触控传输、充电、U盘数据传输功能，快速充电功能，接管摄像头），且前置接口采用可防护的磁吸式盖板，使用安全便捷；侧置输入接口具备1路HDMI、1路RS232、2路USB接口；侧置输出接口具备1路音频输出、1路触控USB输出；</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4、前置接口具备翻转盖板，翻转角度≥180°；在有U盘插入时盖板能对U盘进行保护，防止推拉黑板误关对U盘造成损伤；</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5、通过一根线（无需重复连接触摸信号）连接到整机的电脑或手机在投屏的同时即可直接读写整机前置USB接口的移动存储设备数据，连接整机前置USB接口的翻页笔和无线鼠标外接设备可直接使用于外接电脑。</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★6、外接电脑设备经双头Type-C线连接至整机，可将整机网络共享给外接电脑，并支持反向触控控制功能。</w:t>
            </w:r>
            <w:r>
              <w:rPr>
                <w:rFonts w:hint="eastAsia" w:ascii="宋体" w:hAnsi="宋体" w:cs="宋体"/>
                <w:b/>
                <w:bCs/>
                <w:color w:val="auto"/>
                <w:sz w:val="21"/>
                <w:szCs w:val="21"/>
                <w:highlight w:val="none"/>
              </w:rPr>
              <w:t>（提供封面具有CNAS标志的检测报告复印件或扫描件或影印件，或提供承诺函承诺成交通知书发放后签订合同前提供CNAS检测报告交采购人查验。）</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7、整机内置非独立的高清摄像头，可用于远程巡课，拍摄范围可以涵盖整机距离摄像头垂直法线左右水平距离各大于等于4米，左右最边缘深度大于等于2.3米范围内。</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★8、整机内置≥1600万像素摄像头麦克风，无需外接线材连接，任何可见外接线材及模块化拼接痕迹，未占用整机设备端口，支持远程巡课、简易录播的应用，摄像视场角≥140°。</w:t>
            </w:r>
            <w:r>
              <w:rPr>
                <w:rFonts w:hint="eastAsia" w:ascii="宋体" w:hAnsi="宋体" w:cs="宋体"/>
                <w:b/>
                <w:bCs/>
                <w:color w:val="auto"/>
                <w:sz w:val="21"/>
                <w:szCs w:val="21"/>
                <w:highlight w:val="none"/>
              </w:rPr>
              <w:t>（提供封面具有CNAS标志的检测报告复印件或扫描件或影印件，或提供承诺函承诺成交通知书发放后签订合同前提供CNAS检测报告交采购人查验。）</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9、整机内置至少8阵列麦克风，拾音距离≥12米。</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10、整机扬声器在100%音量下，可做到1米处声压级≥90db，10米处声压级≥78dB，能够有效保障教室后排学生听觉感受。 </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★11、整机搭配具有主动供电形式的NFC标签支持带NFC功能的手机、平板，通过接触NFC标签，接触即可实现手机与大屏的连接并同步画面，无需其它操作设置，支持不少于4台手机、平板同时连接并显示。</w:t>
            </w:r>
            <w:r>
              <w:rPr>
                <w:rFonts w:hint="eastAsia" w:ascii="宋体" w:hAnsi="宋体" w:cs="宋体"/>
                <w:b/>
                <w:bCs/>
                <w:color w:val="auto"/>
                <w:sz w:val="21"/>
                <w:szCs w:val="21"/>
                <w:highlight w:val="none"/>
              </w:rPr>
              <w:t>（提供封面具有CNAS标志的检测报告复印件或扫描件或影印件，或提供承诺函承诺成交通知书发放后签订合同前提供CNAS检测报告交采购人查验。）</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12、内置无线传屏接收端，无需外接接收部件，无线传屏发射器与整机匹配后即可实现传屏功能，将外部电脑的屏幕画面通过无线方式传输到整机上显示。</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13、整机内置支持2.4GHz和5GHz双频WiFi，支持蓝牙5.2；Wi-Fi和AP热点工作距离≥15m，AP热点支持50个以上用户终端在线网络连接。</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★14、整机具有物联传感器，安卓系统可监控教室温度、湿度，并支持上传到云端，云端可查看各教室温度、湿度情况。</w:t>
            </w:r>
            <w:r>
              <w:rPr>
                <w:rFonts w:hint="eastAsia" w:ascii="宋体" w:hAnsi="宋体" w:cs="宋体"/>
                <w:b/>
                <w:bCs/>
                <w:color w:val="auto"/>
                <w:sz w:val="21"/>
                <w:szCs w:val="21"/>
                <w:highlight w:val="none"/>
              </w:rPr>
              <w:t>（提供封面具有CNAS标志的检测报告复印件或扫描件或影印件，或提供承诺函承诺成交通知书发放后签订合同前提供CNAS检测报告交采购人查验。）</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15. Android 系统下支持4K UI。</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16. 一体机支持Windows+安卓双系统下40点触控。</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17. 为适应未来无线网络发展，无需更换设备，整机支持Wi-Fi 6版本，Wi-Fi制式支持802.11 a/b/g/n/ac/ax，整机内置无线网络模块，PC模块无任何外接或转接天线、网卡可同时实现Wi-Fi无线上网连接和AP无线热点发射。Wi-Fi和AP热点均支持双频2.4G &amp; 5G 。</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18、侧边栏支持整机支持高级音效及图像模式调节。音效模式不少于四种，标准、音乐、听力、电影，且具备环绕声模式的开关，可以对平衡、低音、高音及数字声音输出的设置；图像模式不少于四种，标准、动态、亮丽、用户，且具备亮度、对比度、饱和度、色调和锐度的调节和色温的选择。</w:t>
            </w:r>
            <w:r>
              <w:rPr>
                <w:rFonts w:hint="eastAsia" w:ascii="宋体" w:hAnsi="宋体" w:cs="宋体"/>
                <w:b/>
                <w:bCs/>
                <w:color w:val="auto"/>
                <w:sz w:val="21"/>
                <w:szCs w:val="21"/>
                <w:highlight w:val="none"/>
              </w:rPr>
              <w:t>（提供封面具有CNAS标志的检测报告复印件或扫描件或影印件，或提供承诺函承诺成交通知书发放后签订合同前提供CNAS检测报告交采购人查验。）</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19、快捷小工具：支持自定义悬浮球菜单中的小工具功能，用户在任意通道下可调取系统工具，聚光灯、批注、熄屏、锁屏、硬件自检、内存加速等小工具，也可以调取应用软件；并支持根据用户习惯任意调整显示顺序，方便老师组合使用</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20、当整机处于黑暗环境中并无人操作，1分钟后整机将可以自动进入熄屏模式。</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21、整机具备智能手势识别功能，在任意信号源通道下均可识别五指上、下、左、右方向手势，五指画O、画~、左右晃动、缩/放方向手势滑动并调用相应功能。支持将各手势滑动方向自定义设置为无操作、熄屏、批注、桌面、半屏模式。</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22、嵌入式Android操作系统下，白板支持对已经书写的笔迹和形状的颜色进行更换。</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★23、设备支持人脸解锁功能，录入到人脸库后，设备可在1秒内可完成人脸识别及解锁。</w:t>
            </w:r>
            <w:r>
              <w:rPr>
                <w:rFonts w:hint="eastAsia" w:ascii="宋体" w:hAnsi="宋体" w:cs="宋体"/>
                <w:b/>
                <w:bCs/>
                <w:color w:val="auto"/>
                <w:sz w:val="21"/>
                <w:szCs w:val="21"/>
                <w:highlight w:val="none"/>
              </w:rPr>
              <w:t>（提供封面具有CNAS标志的检测报告复印件或扫描件或影印件，或提供承诺函承诺成交通知书发放后签订合同前提供CNAS检测报告交采购人查验。）</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24、嵌入式Android操作系统下，互动白板支持不同背景颜色，同时提供学科背景，如：五线谱、信纸、田字格、英文格、篮球和足球场地平面图。</w:t>
            </w:r>
          </w:p>
          <w:p>
            <w:pPr>
              <w:pStyle w:val="6"/>
              <w:ind w:firstLine="0" w:firstLineChars="0"/>
              <w:rPr>
                <w:rFonts w:hint="eastAsia" w:ascii="宋体" w:hAnsi="宋体" w:cs="宋体"/>
                <w:color w:val="auto"/>
                <w:sz w:val="21"/>
                <w:szCs w:val="21"/>
                <w:highlight w:val="none"/>
              </w:rPr>
            </w:pPr>
            <w:r>
              <w:rPr>
                <w:rFonts w:hint="eastAsia" w:ascii="宋体" w:hAnsi="宋体" w:cs="宋体"/>
                <w:color w:val="auto"/>
                <w:sz w:val="21"/>
                <w:szCs w:val="21"/>
                <w:highlight w:val="none"/>
              </w:rPr>
              <w:t>25、无PC状态下，嵌入式系统内置互动白板支持十笔书写及手掌擦除（手掌擦除面积根据手掌与屏幕的接触面大小自动调整），白板书写内容可以PDF、IWB和SVG格式导出。支持10种以上平面图形工具。支持8种以上立体图形工具。</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台</w:t>
            </w:r>
          </w:p>
        </w:tc>
        <w:tc>
          <w:tcPr>
            <w:tcW w:w="555"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ascii="宋体" w:hAnsi="宋体" w:eastAsia="宋体" w:cs="宋体"/>
                <w:color w:val="auto"/>
                <w:kern w:val="0"/>
                <w:sz w:val="21"/>
                <w:szCs w:val="21"/>
                <w:highlight w:val="none"/>
              </w:rPr>
            </w:pPr>
          </w:p>
          <w:p>
            <w:pPr>
              <w:pStyle w:val="11"/>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工业</w:t>
            </w:r>
          </w:p>
          <w:p>
            <w:pPr>
              <w:pStyle w:val="11"/>
              <w:jc w:val="center"/>
              <w:rPr>
                <w:rFonts w:hint="eastAsia" w:ascii="宋体" w:hAnsi="宋体" w:eastAsia="宋体" w:cs="宋体"/>
                <w:color w:val="auto"/>
                <w:kern w:val="0"/>
                <w:sz w:val="21"/>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1"/>
              <w:jc w:val="center"/>
              <w:rPr>
                <w:rFonts w:hint="eastAsia" w:ascii="Arial" w:hAnsi="Arial" w:cs="Arial"/>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9630" w:type="dxa"/>
            <w:gridSpan w:val="7"/>
            <w:tcBorders>
              <w:top w:val="single" w:color="auto" w:sz="4" w:space="0"/>
              <w:left w:val="single" w:color="auto" w:sz="4" w:space="0"/>
              <w:bottom w:val="single" w:color="auto" w:sz="4" w:space="0"/>
              <w:right w:val="single" w:color="auto" w:sz="4" w:space="0"/>
            </w:tcBorders>
          </w:tcPr>
          <w:p>
            <w:pPr>
              <w:widowControl/>
              <w:jc w:val="left"/>
              <w:rPr>
                <w:rFonts w:ascii="宋体" w:hAnsi="宋体"/>
                <w:color w:val="auto"/>
                <w:szCs w:val="21"/>
                <w:highlight w:val="none"/>
              </w:rPr>
            </w:pPr>
            <w:r>
              <w:rPr>
                <w:rFonts w:hint="eastAsia" w:ascii="宋体" w:hAnsi="宋体"/>
                <w:color w:val="auto"/>
                <w:szCs w:val="21"/>
                <w:highlight w:val="none"/>
              </w:rPr>
              <w:t>说明：</w:t>
            </w:r>
            <w:r>
              <w:rPr>
                <w:rFonts w:hint="eastAsia" w:ascii="宋体" w:hAnsi="宋体"/>
                <w:b/>
                <w:bCs/>
                <w:color w:val="auto"/>
                <w:szCs w:val="21"/>
                <w:highlight w:val="none"/>
              </w:rPr>
              <w:t>1、售后服务要求</w:t>
            </w:r>
            <w:r>
              <w:rPr>
                <w:rFonts w:hint="eastAsia" w:ascii="宋体" w:hAnsi="宋体"/>
                <w:color w:val="auto"/>
                <w:szCs w:val="21"/>
                <w:highlight w:val="none"/>
              </w:rPr>
              <w:t>：</w:t>
            </w:r>
          </w:p>
          <w:p>
            <w:pPr>
              <w:widowControl/>
              <w:jc w:val="left"/>
              <w:rPr>
                <w:rFonts w:hint="eastAsia" w:ascii="宋体" w:hAnsi="宋体"/>
                <w:color w:val="auto"/>
                <w:szCs w:val="21"/>
                <w:highlight w:val="none"/>
              </w:rPr>
            </w:pPr>
            <w:r>
              <w:rPr>
                <w:rFonts w:hint="eastAsia" w:ascii="宋体" w:hAnsi="宋体"/>
                <w:color w:val="auto"/>
                <w:szCs w:val="21"/>
                <w:highlight w:val="none"/>
              </w:rPr>
              <w:t>(1)供应商需提供完整可执行的售后服务方案。服务期间成交人应指定专人负责安庆职业技术学院项目售后技术支持工作，同时提供固话、手机号、QQ等多种联系方式，并依据具体情况提供电话或邮件咨询服务、远程协助服务或上门服务。提供7*24小时的电话服务，处理响应速度应在1小时内、一般性问题应于2小时内远程协助解决，重大问题（需上门服务）最长不超过4小时。</w:t>
            </w:r>
          </w:p>
          <w:p>
            <w:pPr>
              <w:pStyle w:val="2"/>
              <w:spacing w:line="240" w:lineRule="auto"/>
              <w:rPr>
                <w:rFonts w:hint="eastAsia"/>
                <w:color w:val="auto"/>
                <w:highlight w:val="none"/>
              </w:rPr>
            </w:pPr>
            <w:r>
              <w:rPr>
                <w:rFonts w:hint="eastAsia"/>
                <w:color w:val="auto"/>
                <w:highlight w:val="none"/>
              </w:rPr>
              <w:t>(2)人事管理信息系统以标准接口开放，免费提供与第三方软件对接。</w:t>
            </w:r>
          </w:p>
          <w:p>
            <w:pPr>
              <w:rPr>
                <w:rFonts w:hint="eastAsia"/>
                <w:color w:val="auto"/>
                <w:highlight w:val="none"/>
              </w:rPr>
            </w:pPr>
            <w:r>
              <w:rPr>
                <w:rFonts w:hint="eastAsia" w:ascii="宋体" w:hAnsi="宋体" w:cs="Times New Roman"/>
                <w:b/>
                <w:color w:val="auto"/>
                <w:kern w:val="2"/>
                <w:sz w:val="21"/>
                <w:highlight w:val="none"/>
                <w:shd w:val="clear" w:color="auto" w:fill="FFFFFF"/>
                <w:lang w:val="en-US" w:eastAsia="zh-CN" w:bidi="ar-SA"/>
              </w:rPr>
              <w:t>(</w:t>
            </w:r>
            <w:r>
              <w:rPr>
                <w:rFonts w:hint="eastAsia" w:ascii="宋体" w:hAnsi="宋体" w:eastAsia="宋体" w:cs="Times New Roman"/>
                <w:b/>
                <w:color w:val="auto"/>
                <w:kern w:val="2"/>
                <w:sz w:val="21"/>
                <w:highlight w:val="none"/>
                <w:shd w:val="clear" w:color="auto" w:fill="FFFFFF"/>
                <w:lang w:val="en-US" w:eastAsia="zh-CN" w:bidi="ar-SA"/>
              </w:rPr>
              <w:t>3</w:t>
            </w:r>
            <w:r>
              <w:rPr>
                <w:rFonts w:hint="eastAsia" w:ascii="宋体" w:hAnsi="宋体" w:cs="Times New Roman"/>
                <w:b/>
                <w:color w:val="auto"/>
                <w:kern w:val="2"/>
                <w:sz w:val="21"/>
                <w:highlight w:val="none"/>
                <w:shd w:val="clear" w:color="auto" w:fill="FFFFFF"/>
                <w:lang w:val="en-US" w:eastAsia="zh-CN" w:bidi="ar-SA"/>
              </w:rPr>
              <w:t>)</w:t>
            </w:r>
            <w:r>
              <w:rPr>
                <w:rFonts w:hint="eastAsia" w:ascii="宋体" w:hAnsi="宋体" w:eastAsia="宋体" w:cs="Times New Roman"/>
                <w:b/>
                <w:color w:val="auto"/>
                <w:kern w:val="2"/>
                <w:sz w:val="21"/>
                <w:highlight w:val="none"/>
                <w:shd w:val="clear" w:color="auto" w:fill="FFFFFF"/>
                <w:lang w:val="en-US" w:eastAsia="zh-CN" w:bidi="ar-SA"/>
              </w:rPr>
              <w:t>配合采购人完成二级等级保护测评和备案。</w:t>
            </w:r>
          </w:p>
          <w:p>
            <w:pPr>
              <w:widowControl/>
              <w:jc w:val="left"/>
              <w:rPr>
                <w:rFonts w:hint="eastAsia" w:ascii="宋体" w:hAnsi="宋体"/>
                <w:color w:val="auto"/>
                <w:szCs w:val="21"/>
                <w:highlight w:val="none"/>
              </w:rPr>
            </w:pPr>
            <w:r>
              <w:rPr>
                <w:rFonts w:hint="eastAsia" w:ascii="宋体" w:hAnsi="宋体"/>
                <w:color w:val="auto"/>
                <w:szCs w:val="21"/>
                <w:highlight w:val="none"/>
              </w:rPr>
              <w:t>2、响应人的响应文件必须标明所投货物的品牌与参数，保证原厂正品供货。</w:t>
            </w:r>
          </w:p>
          <w:p>
            <w:pPr>
              <w:rPr>
                <w:rFonts w:hint="eastAsia"/>
                <w:color w:val="auto"/>
                <w:szCs w:val="21"/>
                <w:highlight w:val="none"/>
              </w:rPr>
            </w:pPr>
            <w:r>
              <w:rPr>
                <w:rFonts w:hint="eastAsia" w:ascii="宋体" w:hAnsi="宋体" w:cs="宋体"/>
                <w:color w:val="auto"/>
                <w:szCs w:val="21"/>
                <w:highlight w:val="none"/>
              </w:rPr>
              <w:t>3</w:t>
            </w:r>
            <w:r>
              <w:rPr>
                <w:rFonts w:hint="eastAsia"/>
                <w:color w:val="auto"/>
                <w:szCs w:val="21"/>
                <w:highlight w:val="none"/>
              </w:rPr>
              <w:t>、本项目主要标的为表中序号为</w:t>
            </w:r>
            <w:r>
              <w:rPr>
                <w:color w:val="auto"/>
                <w:szCs w:val="21"/>
                <w:highlight w:val="none"/>
                <w:u w:val="single"/>
              </w:rPr>
              <w:t xml:space="preserve"> 1 </w:t>
            </w:r>
            <w:r>
              <w:rPr>
                <w:rFonts w:hint="eastAsia"/>
                <w:color w:val="auto"/>
                <w:szCs w:val="21"/>
                <w:highlight w:val="none"/>
              </w:rPr>
              <w:t>的设备，主要标的名称、品牌、型号、数量、单价等信息</w:t>
            </w:r>
            <w:r>
              <w:rPr>
                <w:rFonts w:hint="eastAsia"/>
                <w:color w:val="auto"/>
                <w:szCs w:val="21"/>
                <w:highlight w:val="none"/>
                <w:lang w:val="en-US" w:eastAsia="zh-CN"/>
              </w:rPr>
              <w:t>将在成交结果公告中公示</w:t>
            </w:r>
            <w:r>
              <w:rPr>
                <w:rFonts w:hint="eastAsia"/>
                <w:color w:val="auto"/>
                <w:szCs w:val="21"/>
                <w:highlight w:val="none"/>
              </w:rPr>
              <w:t>。</w:t>
            </w:r>
          </w:p>
          <w:p>
            <w:pPr>
              <w:widowControl/>
              <w:jc w:val="left"/>
              <w:rPr>
                <w:rFonts w:ascii="宋体" w:hAnsi="宋体"/>
                <w:color w:val="auto"/>
                <w:szCs w:val="21"/>
                <w:highlight w:val="none"/>
              </w:rPr>
            </w:pPr>
            <w:r>
              <w:rPr>
                <w:rFonts w:hint="eastAsia" w:ascii="宋体" w:hAnsi="宋体"/>
                <w:color w:val="auto"/>
                <w:szCs w:val="21"/>
                <w:highlight w:val="none"/>
              </w:rPr>
              <w:t>4、本项目技术参数中若有要求提供证明资料（著作权登记证书、检测报告、承诺函、3C认证证书等证明材料）均在成交通知书发出后</w:t>
            </w:r>
            <w:r>
              <w:rPr>
                <w:rFonts w:hint="eastAsia" w:ascii="宋体" w:hAnsi="宋体"/>
                <w:color w:val="auto"/>
                <w:szCs w:val="21"/>
                <w:highlight w:val="none"/>
                <w:lang w:val="en-US" w:eastAsia="zh-CN"/>
              </w:rPr>
              <w:t>合同签订前</w:t>
            </w:r>
            <w:r>
              <w:rPr>
                <w:rFonts w:hint="eastAsia" w:ascii="宋体" w:hAnsi="宋体"/>
                <w:color w:val="auto"/>
                <w:szCs w:val="21"/>
                <w:highlight w:val="none"/>
              </w:rPr>
              <w:t>提供原件由采购人核查，同时将逐条核对所有技术参数及要求，如发现与实际情况不符、虚假响应等，采购人有权解除合同并报监管部门，由此产生的责任与后果均由成交人承担。</w:t>
            </w:r>
          </w:p>
          <w:p>
            <w:pPr>
              <w:widowControl/>
              <w:jc w:val="left"/>
              <w:rPr>
                <w:rFonts w:hint="eastAsia" w:ascii="宋体" w:hAnsi="宋体"/>
                <w:color w:val="auto"/>
                <w:szCs w:val="21"/>
                <w:highlight w:val="none"/>
              </w:rPr>
            </w:pPr>
            <w:r>
              <w:rPr>
                <w:rFonts w:hint="eastAsia" w:ascii="宋体" w:hAnsi="宋体"/>
                <w:color w:val="auto"/>
                <w:szCs w:val="21"/>
                <w:highlight w:val="none"/>
              </w:rPr>
              <w:t>5、响应人应按照磋商文件要求提供证明材料。若响应人提供了磋商文件未要求的证明材料，磋商小组</w:t>
            </w:r>
          </w:p>
          <w:p>
            <w:pPr>
              <w:widowControl/>
              <w:jc w:val="left"/>
              <w:rPr>
                <w:rFonts w:hint="eastAsia" w:ascii="宋体" w:hAnsi="宋体"/>
                <w:color w:val="auto"/>
                <w:szCs w:val="21"/>
                <w:highlight w:val="none"/>
              </w:rPr>
            </w:pPr>
            <w:r>
              <w:rPr>
                <w:rFonts w:hint="eastAsia" w:ascii="宋体" w:hAnsi="宋体"/>
                <w:color w:val="auto"/>
                <w:szCs w:val="21"/>
                <w:highlight w:val="none"/>
              </w:rPr>
              <w:t>将不予评审。</w:t>
            </w:r>
          </w:p>
          <w:p>
            <w:pPr>
              <w:pStyle w:val="2"/>
              <w:spacing w:line="240" w:lineRule="auto"/>
              <w:rPr>
                <w:rFonts w:hint="eastAsia"/>
                <w:color w:val="auto"/>
                <w:szCs w:val="21"/>
                <w:highlight w:val="none"/>
              </w:rPr>
            </w:pPr>
            <w:r>
              <w:rPr>
                <w:rFonts w:hint="eastAsia"/>
                <w:b w:val="0"/>
                <w:bCs/>
                <w:color w:val="auto"/>
                <w:szCs w:val="21"/>
                <w:highlight w:val="none"/>
              </w:rPr>
              <w:t>6、响应人提供的证明材料须清晰的反映评审内容，如因材料模糊不清，导致磋商小组无法辨认的，磋商小组可以不予认可，一切后果由响应人自行承担。</w:t>
            </w:r>
          </w:p>
        </w:tc>
      </w:tr>
    </w:tbl>
    <w:p>
      <w:pPr>
        <w:pStyle w:val="2"/>
        <w:ind w:firstLine="413" w:firstLineChars="196"/>
        <w:rPr>
          <w:rFonts w:hint="eastAsia"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三、人员培训要求</w:t>
      </w:r>
    </w:p>
    <w:p>
      <w:pPr>
        <w:widowControl/>
        <w:spacing w:line="440" w:lineRule="exact"/>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货物安装、调试、验收合格后，成交人应对采购人的相关人员进行免费现场培训。培训内容包括基本操作、保养维修、常见故障及解决办法等。</w:t>
      </w:r>
    </w:p>
    <w:p>
      <w:pPr>
        <w:pStyle w:val="2"/>
        <w:spacing w:line="440" w:lineRule="exact"/>
        <w:ind w:firstLine="413" w:firstLineChars="196"/>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四、货物质量及售后服务要求</w:t>
      </w:r>
    </w:p>
    <w:p>
      <w:pPr>
        <w:widowControl/>
        <w:spacing w:line="440" w:lineRule="exact"/>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1、货物质量：成交人提供的货物必须是全新、原装、合格正品，完全符合国家规定的质量标准和厂方的标准。货物完好，配件齐全。</w:t>
      </w:r>
    </w:p>
    <w:p>
      <w:pPr>
        <w:widowControl/>
        <w:spacing w:line="440" w:lineRule="exact"/>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2、保修及售后服务：依据商品的保修条款及售后服务条款，提供原厂质保，质保期按照国家规定，且不低于所供品牌向用户承诺的质保期限，磋商文件另有约定的从其约定。质保期从货物验收合格后算起。</w:t>
      </w:r>
    </w:p>
    <w:p>
      <w:pPr>
        <w:pStyle w:val="2"/>
        <w:spacing w:line="440" w:lineRule="exact"/>
        <w:ind w:firstLine="413" w:firstLineChars="196"/>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五、验收     </w:t>
      </w:r>
    </w:p>
    <w:p>
      <w:pPr>
        <w:widowControl/>
        <w:spacing w:line="440" w:lineRule="exact"/>
        <w:ind w:firstLine="405"/>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成交人和采购人双方共同实施验收工作，结果和验收报告经双方确认后生效。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968F9"/>
    <w:multiLevelType w:val="singleLevel"/>
    <w:tmpl w:val="D23968F9"/>
    <w:lvl w:ilvl="0" w:tentative="0">
      <w:start w:val="2"/>
      <w:numFmt w:val="chineseCounting"/>
      <w:suff w:val="nothing"/>
      <w:lvlText w:val="%1、"/>
      <w:lvlJc w:val="left"/>
      <w:rPr>
        <w:rFonts w:hint="eastAsia"/>
      </w:rPr>
    </w:lvl>
  </w:abstractNum>
  <w:abstractNum w:abstractNumId="1">
    <w:nsid w:val="485CC973"/>
    <w:multiLevelType w:val="singleLevel"/>
    <w:tmpl w:val="485CC973"/>
    <w:lvl w:ilvl="0" w:tentative="0">
      <w:start w:val="12"/>
      <w:numFmt w:val="decimal"/>
      <w:suff w:val="nothing"/>
      <w:lvlText w:val="%1、"/>
      <w:lvlJc w:val="left"/>
    </w:lvl>
  </w:abstractNum>
  <w:num w:numId="1">
    <w:abstractNumId w:val="0"/>
    <w:lvlOverride w:ilvl="0">
      <w:startOverride w:val="2"/>
    </w:lvlOverride>
  </w:num>
  <w:num w:numId="2">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MTM2OTgzZWYzMDE3ZjJjZDgyMzM1Y2M5NTYyZGIifQ=="/>
  </w:docVars>
  <w:rsids>
    <w:rsidRoot w:val="4CA80521"/>
    <w:rsid w:val="4CA8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Indent"/>
    <w:basedOn w:val="1"/>
    <w:next w:val="4"/>
    <w:qFormat/>
    <w:uiPriority w:val="0"/>
    <w:pPr>
      <w:ind w:firstLine="645"/>
    </w:pPr>
    <w:rPr>
      <w:sz w:val="20"/>
    </w:rPr>
  </w:style>
  <w:style w:type="paragraph" w:styleId="4">
    <w:name w:val="envelope return"/>
    <w:basedOn w:val="1"/>
    <w:unhideWhenUsed/>
    <w:qFormat/>
    <w:uiPriority w:val="99"/>
    <w:pPr>
      <w:snapToGrid w:val="0"/>
    </w:pPr>
    <w:rPr>
      <w:rFonts w:ascii="Arial" w:hAnsi="Arial"/>
    </w:rPr>
  </w:style>
  <w:style w:type="paragraph" w:styleId="5">
    <w:name w:val="Plain Text"/>
    <w:basedOn w:val="1"/>
    <w:qFormat/>
    <w:uiPriority w:val="99"/>
    <w:rPr>
      <w:rFonts w:ascii="宋体" w:hAnsi="Courier New" w:cs="Courier New"/>
      <w:szCs w:val="21"/>
    </w:rPr>
  </w:style>
  <w:style w:type="paragraph" w:styleId="6">
    <w:name w:val="Body Text First Indent 2"/>
    <w:basedOn w:val="3"/>
    <w:next w:val="1"/>
    <w:qFormat/>
    <w:uiPriority w:val="0"/>
    <w:pPr>
      <w:ind w:firstLine="420" w:firstLineChars="200"/>
    </w:pPr>
  </w:style>
  <w:style w:type="paragraph" w:customStyle="1" w:styleId="9">
    <w:name w:val="正文 New"/>
    <w:basedOn w:val="1"/>
    <w:qFormat/>
    <w:uiPriority w:val="0"/>
    <w:pPr>
      <w:spacing w:before="100" w:beforeAutospacing="1" w:after="100" w:afterAutospacing="1" w:line="440" w:lineRule="exact"/>
      <w:ind w:left="357" w:hanging="357"/>
    </w:pPr>
    <w:rPr>
      <w:szCs w:val="21"/>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无间隔1"/>
    <w:qFormat/>
    <w:uiPriority w:val="0"/>
    <w:pPr>
      <w:widowControl w:val="0"/>
      <w:jc w:val="both"/>
    </w:pPr>
    <w:rPr>
      <w:rFonts w:ascii="Calibri" w:hAnsi="Calibri" w:eastAsia="微软雅黑"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2023-10-19T05:36:00Z</dcterms:created>
  <dc:creator>叶叶叶</dc:creator>
  <cp:lastModifiedBy>叶叶叶</cp:lastModifiedBy>
  <dcterms:modified xsi:type="dcterms:W3CDTF">2023-10-19T05:36:44Z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64C39C1C21A84953824564FB4DCDA724_11</vt:lpwstr>
  </property>
</Properties>
</file>